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23,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KemPharm,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208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200" w:type="dxa"/>
            <w:vAlign w:val="bottom"/>
            <w:gridSpan w:val="3"/>
          </w:tcPr>
          <w:p>
            <w:pPr>
              <w:jc w:val="center"/>
              <w:ind w:left="3973"/>
              <w:spacing w:after="0"/>
              <w:rPr>
                <w:sz w:val="20"/>
                <w:szCs w:val="20"/>
                <w:color w:val="auto"/>
              </w:rPr>
            </w:pPr>
            <w:r>
              <w:rPr>
                <w:rFonts w:ascii="Arial" w:cs="Arial" w:eastAsia="Arial" w:hAnsi="Arial"/>
                <w:sz w:val="18"/>
                <w:szCs w:val="18"/>
                <w:b w:val="1"/>
                <w:bCs w:val="1"/>
                <w:color w:val="auto"/>
                <w:w w:val="89"/>
              </w:rPr>
              <w:t>20-5894398</w:t>
            </w:r>
          </w:p>
        </w:tc>
      </w:tr>
      <w:tr>
        <w:trPr>
          <w:trHeight w:val="149"/>
        </w:trPr>
        <w:tc>
          <w:tcPr>
            <w:tcW w:w="2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Incorporation or organization)</w:t>
            </w:r>
          </w:p>
        </w:tc>
        <w:tc>
          <w:tcPr>
            <w:tcW w:w="5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2080" w:type="dxa"/>
            <w:vAlign w:val="bottom"/>
          </w:tcPr>
          <w:p>
            <w:pPr>
              <w:spacing w:after="0"/>
              <w:rPr>
                <w:sz w:val="24"/>
                <w:szCs w:val="24"/>
                <w:color w:val="auto"/>
              </w:rPr>
            </w:pPr>
          </w:p>
        </w:tc>
        <w:tc>
          <w:tcPr>
            <w:tcW w:w="5200" w:type="dxa"/>
            <w:vAlign w:val="bottom"/>
            <w:gridSpan w:val="3"/>
          </w:tcPr>
          <w:p>
            <w:pPr>
              <w:jc w:val="center"/>
              <w:ind w:right="1748"/>
              <w:spacing w:after="0"/>
              <w:rPr>
                <w:sz w:val="20"/>
                <w:szCs w:val="20"/>
                <w:color w:val="auto"/>
              </w:rPr>
            </w:pPr>
            <w:r>
              <w:rPr>
                <w:rFonts w:ascii="Arial" w:cs="Arial" w:eastAsia="Arial" w:hAnsi="Arial"/>
                <w:sz w:val="18"/>
                <w:szCs w:val="18"/>
                <w:b w:val="1"/>
                <w:bCs w:val="1"/>
                <w:color w:val="auto"/>
                <w:w w:val="90"/>
              </w:rPr>
              <w:t>2656 Crosspark Road, Suite 100</w:t>
            </w:r>
          </w:p>
        </w:tc>
      </w:tr>
      <w:tr>
        <w:trPr>
          <w:trHeight w:val="234"/>
        </w:trPr>
        <w:tc>
          <w:tcPr>
            <w:tcW w:w="2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3"/>
              </w:rPr>
              <w:t>Coralville, IA 52241</w:t>
            </w:r>
          </w:p>
        </w:tc>
      </w:tr>
      <w:tr>
        <w:trPr>
          <w:trHeight w:val="230"/>
        </w:trPr>
        <w:tc>
          <w:tcPr>
            <w:tcW w:w="2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2320" w:type="dxa"/>
            <w:vAlign w:val="bottom"/>
          </w:tcPr>
          <w:p>
            <w:pPr>
              <w:spacing w:after="0"/>
              <w:rPr>
                <w:sz w:val="19"/>
                <w:szCs w:val="19"/>
                <w:color w:val="auto"/>
              </w:rPr>
            </w:pPr>
          </w:p>
        </w:tc>
      </w:tr>
      <w:tr>
        <w:trPr>
          <w:trHeight w:val="265"/>
        </w:trPr>
        <w:tc>
          <w:tcPr>
            <w:tcW w:w="2080" w:type="dxa"/>
            <w:vAlign w:val="bottom"/>
          </w:tcPr>
          <w:p>
            <w:pPr>
              <w:spacing w:after="0"/>
              <w:rPr>
                <w:sz w:val="23"/>
                <w:szCs w:val="23"/>
                <w:color w:val="auto"/>
              </w:rPr>
            </w:pPr>
          </w:p>
        </w:tc>
        <w:tc>
          <w:tcPr>
            <w:tcW w:w="5200" w:type="dxa"/>
            <w:vAlign w:val="bottom"/>
            <w:gridSpan w:val="3"/>
          </w:tcPr>
          <w:p>
            <w:pPr>
              <w:jc w:val="center"/>
              <w:ind w:right="1728"/>
              <w:spacing w:after="0"/>
              <w:rPr>
                <w:sz w:val="20"/>
                <w:szCs w:val="20"/>
                <w:color w:val="auto"/>
              </w:rPr>
            </w:pPr>
            <w:r>
              <w:rPr>
                <w:rFonts w:ascii="Arial" w:cs="Arial" w:eastAsia="Arial" w:hAnsi="Arial"/>
                <w:sz w:val="14"/>
                <w:szCs w:val="14"/>
                <w:b w:val="1"/>
                <w:bCs w:val="1"/>
                <w:color w:val="auto"/>
                <w:w w:val="91"/>
              </w:rPr>
              <w:t>(Address of principal executive offices) (Zip code)</w:t>
            </w:r>
          </w:p>
        </w:tc>
      </w:tr>
      <w:tr>
        <w:trPr>
          <w:trHeight w:val="309"/>
        </w:trPr>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2"/>
          </w:tcPr>
          <w:p>
            <w:pPr>
              <w:jc w:val="center"/>
              <w:ind w:right="2228"/>
              <w:spacing w:after="0"/>
              <w:rPr>
                <w:sz w:val="20"/>
                <w:szCs w:val="20"/>
                <w:color w:val="auto"/>
              </w:rPr>
            </w:pPr>
            <w:r>
              <w:rPr>
                <w:rFonts w:ascii="Arial" w:cs="Arial" w:eastAsia="Arial" w:hAnsi="Arial"/>
                <w:sz w:val="18"/>
                <w:szCs w:val="18"/>
                <w:b w:val="1"/>
                <w:bCs w:val="1"/>
                <w:color w:val="auto"/>
                <w:w w:val="91"/>
              </w:rPr>
              <w:t>2014 Equity Incentive Plan</w:t>
            </w:r>
          </w:p>
        </w:tc>
      </w:tr>
      <w:tr>
        <w:trPr>
          <w:trHeight w:val="243"/>
        </w:trPr>
        <w:tc>
          <w:tcPr>
            <w:tcW w:w="2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2320" w:type="dxa"/>
            <w:vAlign w:val="bottom"/>
          </w:tcPr>
          <w:p>
            <w:pPr>
              <w:spacing w:after="0"/>
              <w:rPr>
                <w:sz w:val="21"/>
                <w:szCs w:val="21"/>
                <w:color w:val="auto"/>
              </w:rPr>
            </w:pPr>
          </w:p>
        </w:tc>
      </w:tr>
      <w:tr>
        <w:trPr>
          <w:trHeight w:val="265"/>
        </w:trPr>
        <w:tc>
          <w:tcPr>
            <w:tcW w:w="2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4"/>
                <w:szCs w:val="14"/>
                <w:b w:val="1"/>
                <w:bCs w:val="1"/>
                <w:color w:val="auto"/>
                <w:w w:val="94"/>
              </w:rPr>
              <w:t>(Full title of the plan)</w:t>
            </w:r>
          </w:p>
        </w:tc>
      </w:tr>
      <w:tr>
        <w:trPr>
          <w:trHeight w:val="291"/>
        </w:trPr>
        <w:tc>
          <w:tcPr>
            <w:tcW w:w="2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2"/>
          </w:tcPr>
          <w:p>
            <w:pPr>
              <w:jc w:val="center"/>
              <w:ind w:right="2228"/>
              <w:spacing w:after="0"/>
              <w:rPr>
                <w:sz w:val="20"/>
                <w:szCs w:val="20"/>
                <w:color w:val="auto"/>
              </w:rPr>
            </w:pPr>
            <w:r>
              <w:rPr>
                <w:rFonts w:ascii="Arial" w:cs="Arial" w:eastAsia="Arial" w:hAnsi="Arial"/>
                <w:sz w:val="18"/>
                <w:szCs w:val="18"/>
                <w:b w:val="1"/>
                <w:bCs w:val="1"/>
                <w:color w:val="auto"/>
                <w:w w:val="93"/>
              </w:rPr>
              <w:t>Travis C. Mickle, Ph.D.</w:t>
            </w:r>
          </w:p>
        </w:tc>
      </w:tr>
      <w:tr>
        <w:trPr>
          <w:trHeight w:val="216"/>
        </w:trPr>
        <w:tc>
          <w:tcPr>
            <w:tcW w:w="2080" w:type="dxa"/>
            <w:vAlign w:val="bottom"/>
          </w:tcPr>
          <w:p>
            <w:pPr>
              <w:spacing w:after="0"/>
              <w:rPr>
                <w:sz w:val="18"/>
                <w:szCs w:val="18"/>
                <w:color w:val="auto"/>
              </w:rPr>
            </w:pPr>
          </w:p>
        </w:tc>
        <w:tc>
          <w:tcPr>
            <w:tcW w:w="5200" w:type="dxa"/>
            <w:vAlign w:val="bottom"/>
            <w:gridSpan w:val="3"/>
          </w:tcPr>
          <w:p>
            <w:pPr>
              <w:jc w:val="center"/>
              <w:ind w:right="1728"/>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gridSpan w:val="2"/>
          </w:tcPr>
          <w:p>
            <w:pPr>
              <w:jc w:val="center"/>
              <w:ind w:right="2228"/>
              <w:spacing w:after="0"/>
              <w:rPr>
                <w:sz w:val="20"/>
                <w:szCs w:val="20"/>
                <w:color w:val="auto"/>
              </w:rPr>
            </w:pPr>
            <w:r>
              <w:rPr>
                <w:rFonts w:ascii="Arial" w:cs="Arial" w:eastAsia="Arial" w:hAnsi="Arial"/>
                <w:sz w:val="18"/>
                <w:szCs w:val="18"/>
                <w:b w:val="1"/>
                <w:bCs w:val="1"/>
                <w:color w:val="auto"/>
                <w:w w:val="94"/>
              </w:rPr>
              <w:t>KemPharm, Inc.</w:t>
            </w:r>
          </w:p>
        </w:tc>
      </w:tr>
      <w:tr>
        <w:trPr>
          <w:trHeight w:val="216"/>
        </w:trPr>
        <w:tc>
          <w:tcPr>
            <w:tcW w:w="2080" w:type="dxa"/>
            <w:vAlign w:val="bottom"/>
          </w:tcPr>
          <w:p>
            <w:pPr>
              <w:spacing w:after="0"/>
              <w:rPr>
                <w:sz w:val="18"/>
                <w:szCs w:val="18"/>
                <w:color w:val="auto"/>
              </w:rPr>
            </w:pPr>
          </w:p>
        </w:tc>
        <w:tc>
          <w:tcPr>
            <w:tcW w:w="5200" w:type="dxa"/>
            <w:vAlign w:val="bottom"/>
            <w:gridSpan w:val="3"/>
          </w:tcPr>
          <w:p>
            <w:pPr>
              <w:jc w:val="center"/>
              <w:ind w:right="1748"/>
              <w:spacing w:after="0"/>
              <w:rPr>
                <w:sz w:val="20"/>
                <w:szCs w:val="20"/>
                <w:color w:val="auto"/>
              </w:rPr>
            </w:pPr>
            <w:r>
              <w:rPr>
                <w:rFonts w:ascii="Arial" w:cs="Arial" w:eastAsia="Arial" w:hAnsi="Arial"/>
                <w:sz w:val="18"/>
                <w:szCs w:val="18"/>
                <w:b w:val="1"/>
                <w:bCs w:val="1"/>
                <w:color w:val="auto"/>
                <w:w w:val="90"/>
              </w:rPr>
              <w:t>2656 Crosspark Road, Suite 100</w:t>
            </w:r>
          </w:p>
        </w:tc>
      </w:tr>
      <w:tr>
        <w:trPr>
          <w:trHeight w:val="216"/>
        </w:trPr>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3"/>
              </w:rPr>
              <w:t>Coralville, IA 52241</w:t>
            </w:r>
          </w:p>
        </w:tc>
      </w:tr>
      <w:tr>
        <w:trPr>
          <w:trHeight w:val="234"/>
        </w:trPr>
        <w:tc>
          <w:tcPr>
            <w:tcW w:w="2080" w:type="dxa"/>
            <w:vAlign w:val="bottom"/>
          </w:tcPr>
          <w:p>
            <w:pPr>
              <w:spacing w:after="0"/>
              <w:rPr>
                <w:sz w:val="20"/>
                <w:szCs w:val="20"/>
                <w:color w:val="auto"/>
              </w:rPr>
            </w:pPr>
          </w:p>
        </w:tc>
        <w:tc>
          <w:tcPr>
            <w:tcW w:w="2880" w:type="dxa"/>
            <w:vAlign w:val="bottom"/>
            <w:gridSpan w:val="2"/>
          </w:tcPr>
          <w:p>
            <w:pPr>
              <w:jc w:val="center"/>
              <w:ind w:left="433"/>
              <w:spacing w:after="0"/>
              <w:rPr>
                <w:sz w:val="20"/>
                <w:szCs w:val="20"/>
                <w:color w:val="auto"/>
              </w:rPr>
            </w:pPr>
            <w:r>
              <w:rPr>
                <w:rFonts w:ascii="Arial" w:cs="Arial" w:eastAsia="Arial" w:hAnsi="Arial"/>
                <w:sz w:val="18"/>
                <w:szCs w:val="18"/>
                <w:b w:val="1"/>
                <w:bCs w:val="1"/>
                <w:color w:val="auto"/>
                <w:w w:val="90"/>
              </w:rPr>
              <w:t>(319) 665-2575</w:t>
            </w:r>
          </w:p>
        </w:tc>
        <w:tc>
          <w:tcPr>
            <w:tcW w:w="2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04" w:lineRule="exact"/>
        <w:rPr>
          <w:sz w:val="24"/>
          <w:szCs w:val="24"/>
          <w:color w:val="auto"/>
        </w:rPr>
      </w:pPr>
    </w:p>
    <w:tbl>
      <w:tblPr>
        <w:tblLayout w:type="fixed"/>
        <w:tblInd w:w="15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508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3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Brent B. Siler</w:t>
            </w:r>
          </w:p>
        </w:tc>
        <w:tc>
          <w:tcPr>
            <w:tcW w:w="508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R. LaDuane Clifton</w:t>
            </w:r>
          </w:p>
        </w:tc>
      </w:tr>
      <w:tr>
        <w:trPr>
          <w:trHeight w:val="216"/>
        </w:trPr>
        <w:tc>
          <w:tcPr>
            <w:tcW w:w="3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Matthew P. Dubofsky</w:t>
            </w:r>
          </w:p>
        </w:tc>
        <w:tc>
          <w:tcPr>
            <w:tcW w:w="508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Cooley LLP</w:t>
            </w:r>
          </w:p>
        </w:tc>
        <w:tc>
          <w:tcPr>
            <w:tcW w:w="5080" w:type="dxa"/>
            <w:vAlign w:val="bottom"/>
          </w:tcPr>
          <w:p>
            <w:pPr>
              <w:jc w:val="center"/>
              <w:ind w:left="2530"/>
              <w:spacing w:after="0"/>
              <w:rPr>
                <w:sz w:val="20"/>
                <w:szCs w:val="20"/>
                <w:color w:val="auto"/>
              </w:rPr>
            </w:pPr>
            <w:r>
              <w:rPr>
                <w:rFonts w:ascii="Arial" w:cs="Arial" w:eastAsia="Arial" w:hAnsi="Arial"/>
                <w:sz w:val="18"/>
                <w:szCs w:val="18"/>
                <w:b w:val="1"/>
                <w:bCs w:val="1"/>
                <w:color w:val="auto"/>
                <w:w w:val="95"/>
              </w:rPr>
              <w:t>KemPharm, Inc.</w:t>
            </w:r>
          </w:p>
        </w:tc>
      </w:tr>
      <w:tr>
        <w:trPr>
          <w:trHeight w:val="216"/>
        </w:trPr>
        <w:tc>
          <w:tcPr>
            <w:tcW w:w="3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380 Interlocken Crescent, Suite 900</w:t>
            </w:r>
          </w:p>
        </w:tc>
        <w:tc>
          <w:tcPr>
            <w:tcW w:w="5080" w:type="dxa"/>
            <w:vAlign w:val="bottom"/>
          </w:tcPr>
          <w:p>
            <w:pPr>
              <w:jc w:val="center"/>
              <w:ind w:left="2530"/>
              <w:spacing w:after="0"/>
              <w:rPr>
                <w:sz w:val="20"/>
                <w:szCs w:val="20"/>
                <w:color w:val="auto"/>
              </w:rPr>
            </w:pPr>
            <w:r>
              <w:rPr>
                <w:rFonts w:ascii="Arial" w:cs="Arial" w:eastAsia="Arial" w:hAnsi="Arial"/>
                <w:sz w:val="18"/>
                <w:szCs w:val="18"/>
                <w:b w:val="1"/>
                <w:bCs w:val="1"/>
                <w:color w:val="auto"/>
                <w:w w:val="90"/>
              </w:rPr>
              <w:t>2656 Crosspark Road, Suite 100</w:t>
            </w:r>
          </w:p>
        </w:tc>
      </w:tr>
      <w:tr>
        <w:trPr>
          <w:trHeight w:val="216"/>
        </w:trPr>
        <w:tc>
          <w:tcPr>
            <w:tcW w:w="32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Broomfield, CO 80021</w:t>
            </w:r>
          </w:p>
        </w:tc>
        <w:tc>
          <w:tcPr>
            <w:tcW w:w="5080" w:type="dxa"/>
            <w:vAlign w:val="bottom"/>
          </w:tcPr>
          <w:p>
            <w:pPr>
              <w:jc w:val="center"/>
              <w:ind w:left="2530"/>
              <w:spacing w:after="0"/>
              <w:rPr>
                <w:sz w:val="20"/>
                <w:szCs w:val="20"/>
                <w:color w:val="auto"/>
              </w:rPr>
            </w:pPr>
            <w:r>
              <w:rPr>
                <w:rFonts w:ascii="Arial" w:cs="Arial" w:eastAsia="Arial" w:hAnsi="Arial"/>
                <w:sz w:val="18"/>
                <w:szCs w:val="18"/>
                <w:b w:val="1"/>
                <w:bCs w:val="1"/>
                <w:color w:val="auto"/>
                <w:w w:val="93"/>
              </w:rPr>
              <w:t>Coralville, IA 52241</w:t>
            </w:r>
          </w:p>
        </w:tc>
      </w:tr>
      <w:tr>
        <w:trPr>
          <w:trHeight w:val="234"/>
        </w:trPr>
        <w:tc>
          <w:tcPr>
            <w:tcW w:w="326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(720) 566-4000</w:t>
            </w:r>
          </w:p>
        </w:tc>
        <w:tc>
          <w:tcPr>
            <w:tcW w:w="5080" w:type="dxa"/>
            <w:vAlign w:val="bottom"/>
          </w:tcPr>
          <w:p>
            <w:pPr>
              <w:jc w:val="center"/>
              <w:ind w:left="2530"/>
              <w:spacing w:after="0"/>
              <w:rPr>
                <w:sz w:val="20"/>
                <w:szCs w:val="20"/>
                <w:color w:val="auto"/>
              </w:rPr>
            </w:pPr>
            <w:r>
              <w:rPr>
                <w:rFonts w:ascii="Arial" w:cs="Arial" w:eastAsia="Arial" w:hAnsi="Arial"/>
                <w:sz w:val="18"/>
                <w:szCs w:val="18"/>
                <w:b w:val="1"/>
                <w:bCs w:val="1"/>
                <w:color w:val="auto"/>
                <w:w w:val="92"/>
              </w:rPr>
              <w:t>(319) 655-2575</w:t>
            </w:r>
          </w:p>
        </w:tc>
      </w:tr>
    </w:tbl>
    <w:p>
      <w:pPr>
        <w:spacing w:after="0" w:line="107"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gridSpan w:val="2"/>
          </w:tcPr>
          <w:p>
            <w:pPr>
              <w:spacing w:after="0"/>
              <w:rPr>
                <w:sz w:val="20"/>
                <w:szCs w:val="20"/>
                <w:color w:val="auto"/>
              </w:rPr>
            </w:pPr>
            <w:r>
              <w:rPr>
                <w:rFonts w:ascii="Arial" w:cs="Arial" w:eastAsia="Arial" w:hAnsi="Arial"/>
                <w:sz w:val="18"/>
                <w:szCs w:val="18"/>
                <w:color w:val="auto"/>
                <w:w w:val="98"/>
              </w:rPr>
              <w:t>Large accelerated filer</w:t>
            </w:r>
          </w:p>
        </w:tc>
        <w:tc>
          <w:tcPr>
            <w:tcW w:w="18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2"/>
          </w:tcPr>
          <w:p>
            <w:pPr>
              <w:ind w:left="600"/>
              <w:spacing w:after="0"/>
              <w:rPr>
                <w:sz w:val="20"/>
                <w:szCs w:val="20"/>
                <w:color w:val="auto"/>
              </w:rPr>
            </w:pPr>
            <w:r>
              <w:rPr>
                <w:rFonts w:ascii="Arial" w:cs="Arial" w:eastAsia="Arial" w:hAnsi="Arial"/>
                <w:sz w:val="18"/>
                <w:szCs w:val="18"/>
                <w:color w:val="auto"/>
                <w:w w:val="92"/>
              </w:rPr>
              <w:t>Accelerated filer</w:t>
            </w:r>
          </w:p>
        </w:tc>
        <w:tc>
          <w:tcPr>
            <w:tcW w:w="1060" w:type="dxa"/>
            <w:vAlign w:val="bottom"/>
          </w:tcPr>
          <w:p>
            <w:pPr>
              <w:spacing w:after="0"/>
              <w:rPr>
                <w:sz w:val="24"/>
                <w:szCs w:val="24"/>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gridSpan w:val="4"/>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18"/>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60" w:type="dxa"/>
            <w:vAlign w:val="bottom"/>
            <w:gridSpan w:val="5"/>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1"/>
        </w:trPr>
        <w:tc>
          <w:tcPr>
            <w:tcW w:w="20" w:type="dxa"/>
            <w:vAlign w:val="bottom"/>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gridSpan w:val="2"/>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gridSpan w:val="2"/>
          </w:tcPr>
          <w:p>
            <w:pPr>
              <w:jc w:val="center"/>
              <w:ind w:left="4"/>
              <w:spacing w:after="0" w:line="106"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1"/>
              <w:spacing w:after="0" w:line="106" w:lineRule="exact"/>
              <w:rPr>
                <w:sz w:val="20"/>
                <w:szCs w:val="20"/>
                <w:color w:val="auto"/>
              </w:rPr>
            </w:pPr>
            <w:r>
              <w:rPr>
                <w:rFonts w:ascii="Arial" w:cs="Arial" w:eastAsia="Arial" w:hAnsi="Arial"/>
                <w:sz w:val="12"/>
                <w:szCs w:val="12"/>
                <w:b w:val="1"/>
                <w:bCs w:val="1"/>
                <w:color w:val="auto"/>
              </w:rPr>
              <w:t>Proposed Maximum</w:t>
            </w: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20" w:type="dxa"/>
            <w:vAlign w:val="bottom"/>
          </w:tcPr>
          <w:p>
            <w:pPr>
              <w:jc w:val="center"/>
              <w:ind w:right="259"/>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9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8"/>
              <w:spacing w:after="0" w:line="158"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1"/>
              <w:spacing w:after="0" w:line="158"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3"/>
                <w:szCs w:val="13"/>
                <w:color w:val="auto"/>
              </w:rPr>
            </w:pPr>
          </w:p>
        </w:tc>
        <w:tc>
          <w:tcPr>
            <w:tcW w:w="1060" w:type="dxa"/>
            <w:vAlign w:val="bottom"/>
          </w:tcPr>
          <w:p>
            <w:pPr>
              <w:jc w:val="center"/>
              <w:ind w:left="82"/>
              <w:spacing w:after="0" w:line="158" w:lineRule="exact"/>
              <w:rPr>
                <w:sz w:val="20"/>
                <w:szCs w:val="20"/>
                <w:color w:val="auto"/>
              </w:rPr>
            </w:pPr>
            <w:r>
              <w:rPr>
                <w:rFonts w:ascii="Arial" w:cs="Arial" w:eastAsia="Arial" w:hAnsi="Arial"/>
                <w:sz w:val="14"/>
                <w:szCs w:val="14"/>
                <w:b w:val="1"/>
                <w:bCs w:val="1"/>
                <w:color w:val="auto"/>
                <w:w w:val="94"/>
              </w:rPr>
              <w:t>Amount of</w:t>
            </w:r>
          </w:p>
        </w:tc>
        <w:tc>
          <w:tcPr>
            <w:tcW w:w="28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1"/>
              </w:rPr>
              <w:t>to be Registered</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Price Per Share(2)</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4"/>
              </w:rPr>
              <w:t>Offering Price(2)</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Common Stock, par value $0.0001 per share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87"/>
              </w:rPr>
              <w:t>579,638 shares</w:t>
            </w:r>
          </w:p>
        </w:tc>
        <w:tc>
          <w:tcPr>
            <w:tcW w:w="1600" w:type="dxa"/>
            <w:vAlign w:val="bottom"/>
            <w:tcBorders>
              <w:bottom w:val="single" w:sz="8" w:color="auto"/>
              <w:right w:val="single" w:sz="8" w:color="auto"/>
            </w:tcBorders>
            <w:gridSpan w:val="2"/>
          </w:tcPr>
          <w:p>
            <w:pPr>
              <w:jc w:val="center"/>
              <w:ind w:left="24"/>
              <w:spacing w:after="0"/>
              <w:rPr>
                <w:sz w:val="20"/>
                <w:szCs w:val="20"/>
                <w:color w:val="auto"/>
              </w:rPr>
            </w:pPr>
            <w:r>
              <w:rPr>
                <w:rFonts w:ascii="Arial" w:cs="Arial" w:eastAsia="Arial" w:hAnsi="Arial"/>
                <w:sz w:val="18"/>
                <w:szCs w:val="18"/>
                <w:color w:val="auto"/>
                <w:w w:val="90"/>
              </w:rPr>
              <w:t>$13.20</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90"/>
              </w:rPr>
              <w:t>$7,651,221.60</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82"/>
              <w:spacing w:after="0"/>
              <w:rPr>
                <w:sz w:val="20"/>
                <w:szCs w:val="20"/>
                <w:color w:val="auto"/>
              </w:rPr>
            </w:pPr>
            <w:r>
              <w:rPr>
                <w:rFonts w:ascii="Arial" w:cs="Arial" w:eastAsia="Arial" w:hAnsi="Arial"/>
                <w:sz w:val="18"/>
                <w:szCs w:val="18"/>
                <w:color w:val="auto"/>
                <w:w w:val="89"/>
              </w:rPr>
              <w:t>$770.48</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jc w:val="both"/>
        <w:ind w:left="460" w:right="30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the Registrant’s common stock, par value $0.0001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that become issuable under the 2014 Equity Incentive Plan (the “</w:t>
      </w:r>
      <w:r>
        <w:rPr>
          <w:rFonts w:ascii="Arial" w:cs="Arial" w:eastAsia="Arial" w:hAnsi="Arial"/>
          <w:sz w:val="18"/>
          <w:szCs w:val="18"/>
          <w:b w:val="1"/>
          <w:bCs w:val="1"/>
          <w:i w:val="1"/>
          <w:iCs w:val="1"/>
          <w:color w:val="auto"/>
        </w:rPr>
        <w:t>2014 Plan</w:t>
      </w:r>
      <w:r>
        <w:rPr>
          <w:rFonts w:ascii="Arial" w:cs="Arial" w:eastAsia="Arial" w:hAnsi="Arial"/>
          <w:sz w:val="18"/>
          <w:szCs w:val="18"/>
          <w:color w:val="auto"/>
        </w:rPr>
        <w:t>”) by reason of any stock dividend, stock split, recapitalization or other similar transaction effected without receipt of consideration that increases the number of the Registrant’s outstanding shares of Common Stock.</w:t>
      </w:r>
    </w:p>
    <w:p>
      <w:pPr>
        <w:spacing w:after="0" w:line="1" w:lineRule="exact"/>
        <w:rPr>
          <w:rFonts w:ascii="Arial" w:cs="Arial" w:eastAsia="Arial" w:hAnsi="Arial"/>
          <w:sz w:val="18"/>
          <w:szCs w:val="18"/>
          <w:color w:val="auto"/>
        </w:rPr>
      </w:pPr>
    </w:p>
    <w:p>
      <w:pPr>
        <w:ind w:left="460" w:right="52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amount of the registration fee pursuant to Rule 457(h) and Rule 457(c) promulgated under the Securities Act. The offering price per share and the aggregate offering price are based upon the average high and low prices of the Registrant’s Common Stock as reported on the NASDAQ Global Market on March 17, 2016. The chart below details the calculations of the registration fee:</w:t>
      </w:r>
    </w:p>
    <w:p>
      <w:pPr>
        <w:spacing w:after="0" w:line="40"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Securities</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Offering Price Per</w:t>
            </w:r>
          </w:p>
        </w:tc>
        <w:tc>
          <w:tcPr>
            <w:tcW w:w="1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Share(2)</w:t>
            </w:r>
          </w:p>
        </w:tc>
        <w:tc>
          <w:tcPr>
            <w:tcW w:w="13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6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shares reserved for future grant under the 2014 Plan</w:t>
            </w: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73"/>
              </w:rPr>
              <w:t>Additional</w:t>
            </w:r>
          </w:p>
        </w:tc>
        <w:tc>
          <w:tcPr>
            <w:tcW w:w="46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579,638</w:t>
            </w:r>
          </w:p>
        </w:tc>
        <w:tc>
          <w:tcPr>
            <w:tcW w:w="5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7,651,221.60</w:t>
            </w:r>
          </w:p>
        </w:tc>
        <w:tc>
          <w:tcPr>
            <w:tcW w:w="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Proposed Maximum Aggregate Offering Price</w:t>
            </w:r>
          </w:p>
        </w:tc>
        <w:tc>
          <w:tcPr>
            <w:tcW w:w="6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7,651,221.60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Registration Fee</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770.48(3)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connection with the registration of unsold securities pursuant to a Registration Statement on Form S-1 (Registration No. 333-208633), which was</w:t>
      </w:r>
    </w:p>
    <w:p>
      <w:pPr>
        <w:sectPr>
          <w:pgSz w:w="11900" w:h="16838" w:orient="portrait"/>
          <w:cols w:equalWidth="0" w:num="1">
            <w:col w:w="11420"/>
          </w:cols>
          <w:pgMar w:left="240" w:top="229" w:right="23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initially filed on December 18, 2015, the registrant previously paid $6,312, a portion of which fee shall be applied to offset this registration fee in its entirety in accordance with Rule 457(p)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125730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168910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700" w:top="125" w:right="5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579,638 shares of the Registrant’s Common Stock to be issued pursuant to the Registrant’s 2014 Plan.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 OF CONTENTS OF REGISTRATION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ON FORM S-8</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Registrant is hereby registering an additional 579,638 shares of the Registrant’s Common Stock to be issued pursuant to the Registrant’s 2014 Plan. The contents of the Registration Statement on Form S-8 (File No. 333-203703), as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April 29, 2015, are incorporated herein by reference and made a part of this Registration Statement.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140" w:type="dxa"/>
            <w:vAlign w:val="bottom"/>
          </w:tcPr>
          <w:p>
            <w:pPr>
              <w:spacing w:after="0"/>
              <w:rPr>
                <w:sz w:val="24"/>
                <w:szCs w:val="24"/>
                <w:color w:val="auto"/>
              </w:rPr>
            </w:pPr>
          </w:p>
        </w:tc>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140" w:type="dxa"/>
            <w:vAlign w:val="bottom"/>
          </w:tcPr>
          <w:p>
            <w:pPr>
              <w:spacing w:after="0"/>
              <w:rPr>
                <w:sz w:val="14"/>
                <w:szCs w:val="14"/>
                <w:color w:val="auto"/>
              </w:rPr>
            </w:pPr>
          </w:p>
        </w:tc>
        <w:tc>
          <w:tcPr>
            <w:tcW w:w="4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Amended and Restated Certificate of Incorporation,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Amended and Restated Bylaws,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(4)</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2014 Equity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(5)</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Form of Stock Option Grant Notice and Stock Option Agreement under 2014 Equity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(6)</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w w:val="91"/>
              </w:rPr>
              <w:t>Form of Restricted Stock Unit Grant Notice and Restricted Stock Unit Award Agreement under 2014 Equity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23.1</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23.2</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24.1</w:t>
            </w:r>
          </w:p>
        </w:tc>
        <w:tc>
          <w:tcPr>
            <w:tcW w:w="280" w:type="dxa"/>
            <w:vAlign w:val="bottom"/>
          </w:tcPr>
          <w:p>
            <w:pPr>
              <w:spacing w:after="0"/>
              <w:rPr>
                <w:sz w:val="24"/>
                <w:szCs w:val="24"/>
                <w:color w:val="auto"/>
              </w:rPr>
            </w:pPr>
          </w:p>
        </w:tc>
        <w:tc>
          <w:tcPr>
            <w:tcW w:w="9300" w:type="dxa"/>
            <w:vAlign w:val="bottom"/>
            <w:gridSpan w:val="3"/>
          </w:tcPr>
          <w:p>
            <w:pPr>
              <w:ind w:left="360"/>
              <w:spacing w:after="0"/>
              <w:rPr>
                <w:sz w:val="20"/>
                <w:szCs w:val="20"/>
                <w:color w:val="auto"/>
              </w:rPr>
            </w:pPr>
            <w:r>
              <w:rPr>
                <w:rFonts w:ascii="Arial" w:cs="Arial" w:eastAsia="Arial" w:hAnsi="Arial"/>
                <w:sz w:val="18"/>
                <w:szCs w:val="18"/>
                <w:color w:val="auto"/>
              </w:rPr>
              <w:t>Power of Attorney (included on the signature page of this Form S-8).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3.1 to the Registrant’s Current Report on Form 8-K (File No. 001-36913), filed with the Commission on April 21, 2015, and incorporated by reference herein.</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3.2 to the Registrant’s Current Report on Form 8-K (File No. 001-36913), filed with the Commission on April 21, 2015, and incorporated by reference herein.</w:t>
      </w:r>
    </w:p>
    <w:p>
      <w:pPr>
        <w:ind w:left="460" w:right="5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4.2 to Amendment No. 2 to the Registrant’s Registration Statement on Form S-1 (File No. 333-202660), filed with the Commission on April 9, 2015, and incorporated by reference herein.</w:t>
      </w:r>
    </w:p>
    <w:p>
      <w:pPr>
        <w:ind w:left="460" w:right="1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4.7 to the Registrant’s Registration Statement on Form S-8 (File No. 333-203703), filed with the Commission on April 29, 2015, and incorporated by reference herein.</w:t>
      </w:r>
    </w:p>
    <w:p>
      <w:pPr>
        <w:ind w:left="460" w:right="7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10.15 to the Registrant’s Registration Statement on Form S-1 (File No. 333-202660), filed with the Commission on March 11, 2015, and incorporated by reference herein.</w:t>
      </w:r>
    </w:p>
    <w:p>
      <w:pPr>
        <w:ind w:left="460" w:right="70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10.16 to the Registrant’s Registration Statement on Form S-1 (File No. 333-202660), filed with the Commission on March 11, 2015, and incorporated by reference herein.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Coralville, State of Iowa, on this 23</w:t>
      </w:r>
      <w:r>
        <w:rPr>
          <w:rFonts w:ascii="Arial" w:cs="Arial" w:eastAsia="Arial" w:hAnsi="Arial"/>
          <w:sz w:val="15"/>
          <w:szCs w:val="15"/>
          <w:color w:val="auto"/>
        </w:rPr>
        <w:t>rd</w:t>
      </w:r>
      <w:r>
        <w:rPr>
          <w:rFonts w:ascii="Arial" w:cs="Arial" w:eastAsia="Arial" w:hAnsi="Arial"/>
          <w:sz w:val="18"/>
          <w:szCs w:val="18"/>
          <w:color w:val="auto"/>
        </w:rPr>
        <w:t xml:space="preserve"> day of March, 2016.</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EM</w:t>
      </w:r>
      <w:r>
        <w:rPr>
          <w:rFonts w:ascii="Arial" w:cs="Arial" w:eastAsia="Arial" w:hAnsi="Arial"/>
          <w:sz w:val="18"/>
          <w:szCs w:val="18"/>
          <w:b w:val="1"/>
          <w:bCs w:val="1"/>
          <w:color w:val="auto"/>
        </w:rPr>
        <w:t>P</w:t>
      </w:r>
      <w:r>
        <w:rPr>
          <w:rFonts w:ascii="Arial" w:cs="Arial" w:eastAsia="Arial" w:hAnsi="Arial"/>
          <w:sz w:val="15"/>
          <w:szCs w:val="15"/>
          <w:b w:val="1"/>
          <w:bCs w:val="1"/>
          <w:color w:val="auto"/>
        </w:rPr>
        <w:t>HARM</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Travis C. Mickle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Travis C. Mickle,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Travis C. Mickle, Ph.D. and R. LaDuane Clifton, and each or any one of them, his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52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6"/>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Travis C. Mickle</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President, Chief Executive Officer and 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23,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3"/>
              </w:rPr>
              <w:t>Travis C. Mickle, Ph.D.</w:t>
            </w:r>
          </w:p>
        </w:tc>
        <w:tc>
          <w:tcPr>
            <w:tcW w:w="5020" w:type="dxa"/>
            <w:vAlign w:val="bottom"/>
            <w:gridSpan w:val="3"/>
          </w:tcPr>
          <w:p>
            <w:pPr>
              <w:jc w:val="center"/>
              <w:ind w:left="190"/>
              <w:spacing w:after="0"/>
              <w:rPr>
                <w:sz w:val="20"/>
                <w:szCs w:val="20"/>
                <w:color w:val="auto"/>
              </w:rPr>
            </w:pPr>
            <w:r>
              <w:rPr>
                <w:rFonts w:ascii="Arial" w:cs="Arial" w:eastAsia="Arial" w:hAnsi="Arial"/>
                <w:sz w:val="18"/>
                <w:szCs w:val="18"/>
                <w:i w:val="1"/>
                <w:iCs w:val="1"/>
                <w:color w:val="auto"/>
                <w:w w:val="94"/>
              </w:rPr>
              <w:t>(Principal Executive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R. LaDuane Clifton</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Chief Financial Officer and Secretary</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23,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R. LaDuane Clifton, CPA</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Danny L. Thompson</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23,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Danny L. Thompson</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Matthew R. Plooster</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23,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1"/>
              </w:rPr>
              <w:t>Matthew R. Plooster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Richard W. Pascoe</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23,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8"/>
              </w:rPr>
              <w:t>Richard W. Pascoe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Joseph B. Saluri</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23,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88"/>
              </w:rPr>
              <w:t>Joseph B. Saluri</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Tierney</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23, 2016</w:t>
            </w:r>
          </w:p>
        </w:tc>
      </w:tr>
      <w:tr>
        <w:trPr>
          <w:trHeight w:val="224"/>
        </w:trPr>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3"/>
              </w:rPr>
              <w:t>David Tierney</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4"/>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00" w:type="dxa"/>
            <w:vAlign w:val="bottom"/>
          </w:tcPr>
          <w:p>
            <w:pPr>
              <w:jc w:val="right"/>
              <w:ind w:right="9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958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4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Amended and Restated Certificate of Incorporation,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Amended and Restated Bylaws,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(4)</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2014 Equity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(5)</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Form of Stock Option Grant Notice and Stock Option Agreement under 2014 Equity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(6)</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w w:val="91"/>
              </w:rPr>
              <w:t>Form of Restricted Stock Unit Grant Notice and Restricted Stock Unit Award Agreement under 2014 Equity Incentive Plan.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23.1</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23.2</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24.1</w:t>
            </w:r>
          </w:p>
        </w:tc>
        <w:tc>
          <w:tcPr>
            <w:tcW w:w="958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the signature page of this Form S-8).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as Exhibit 3.1 to the Registrant’s Current Report on Form 8-K (File No. 001-36913), filed with the Commission on April 21, 2015, and incorporated by reference herein.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as Exhibit 3.2 to the Registrant’s Current Report on Form 8-K (File No. 001-36913), filed with the Commission on April 21, 2015, and incorporated by reference herein.</w:t>
      </w:r>
    </w:p>
    <w:p>
      <w:pPr>
        <w:ind w:left="460" w:right="4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as Exhibit 4.2 to Amendment No. 2 to the Registrant’s Registration Statement on Form S-1 (File No. 333-202660), filed with the Commission on April 9, 2015, and incorporated by reference herein.</w:t>
      </w: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as Exhibit 4.7 to the Registrant’s Registration Statement on Form S-8 (File No. 333-203703), filed with the Commission on April 29, 2015, and incorporated by reference herein.</w:t>
      </w:r>
    </w:p>
    <w:p>
      <w:pPr>
        <w:ind w:left="460" w:right="6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as Exhibit 10.15 to the Registrant’s Registration Statement on Form S-1 (File No. 333-202660), filed with the Commission on March 11, 2015, and incorporated by reference herein.</w:t>
      </w:r>
    </w:p>
    <w:p>
      <w:pPr>
        <w:ind w:left="460" w:right="64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as Exhibit 10.16 to the Registrant’s Registration Statement on Form S-1 (File No. 333-202660), filed with the Commission on March 11, 2015, and incorporated by reference herein.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6" w:name="page7"/>
    <w:bookmarkEnd w:id="6"/>
    <w:p>
      <w:pPr>
        <w:spacing w:after="0"/>
        <w:tabs>
          <w:tab w:leader="none" w:pos="10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66495"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66495" cy="420370"/>
                    </a:xfrm>
                    <a:prstGeom prst="rect">
                      <a:avLst/>
                    </a:prstGeom>
                    <a:noFill/>
                  </pic:spPr>
                </pic:pic>
              </a:graphicData>
            </a:graphic>
          </wp:anchor>
        </w:drawing>
        <w:t>Matthew P. Dubofsky</w:t>
      </w:r>
      <w:r>
        <w:rPr>
          <w:sz w:val="20"/>
          <w:szCs w:val="20"/>
          <w:color w:val="auto"/>
        </w:rPr>
        <w:tab/>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5.1</w:t>
      </w:r>
    </w:p>
    <w:p>
      <w:pPr>
        <w:spacing w:after="0" w:line="27" w:lineRule="exact"/>
        <w:rPr>
          <w:sz w:val="20"/>
          <w:szCs w:val="20"/>
          <w:color w:val="auto"/>
        </w:rPr>
      </w:pPr>
    </w:p>
    <w:p>
      <w:pPr>
        <w:ind w:right="9620" w:firstLine="8"/>
        <w:spacing w:after="0" w:line="323" w:lineRule="auto"/>
        <w:tabs>
          <w:tab w:leader="none" w:pos="196" w:val="left"/>
        </w:tabs>
        <w:numPr>
          <w:ilvl w:val="0"/>
          <w:numId w:val="5"/>
        </w:numPr>
        <w:rPr>
          <w:rFonts w:ascii="Arial" w:cs="Arial" w:eastAsia="Arial" w:hAnsi="Arial"/>
          <w:sz w:val="16"/>
          <w:szCs w:val="16"/>
          <w:color w:val="auto"/>
        </w:rPr>
      </w:pPr>
      <w:r>
        <w:rPr>
          <w:rFonts w:ascii="Arial" w:cs="Arial" w:eastAsia="Arial" w:hAnsi="Arial"/>
          <w:sz w:val="16"/>
          <w:szCs w:val="16"/>
          <w:color w:val="auto"/>
        </w:rPr>
        <w:t>+1 720 566 4244 mdubofsky@cooley.com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KemPharm,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2656 Crosspark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Coralville, Iowa 52241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have requested our opinion, as counsel to KemPharm,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covering the offering of up to 579,638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pursuant to the Company’s 2014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this opinion, we have examined and relied upon (a) the Registration Statement and the related prospectus, (b) the Company’s Amended and Restated Certificate of Incorporation, and the Company’s Amended and Restated Bylaws, each as currently in effect, (c) the Plan and (d) the originals or copies certified to our satisfaction of such records, documents, certificates, memoranda and other instruments as in our judgment are necessary or appropriate to enable us to render the opinion expressed below. We have assumed the genuineness and authenticity of all documents submitted to us as originals and the conformity to originals of all documents submitted to us as copies thereof. As to certain factual matters, we have relied upon a certificate of an officer of the Company and have not sought to independently verify such matters.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opinion is expressed only with respect to the federal laws of the United States of America and the General Corporation Law of the State of Delaware. We express no opinion as to whether the laws of any particular jurisdiction other than those identified above are applicable to the subject matter of this opinion. We are not rendering any opinion as to compliance with any federal or state antifraud law, rule or regulation relating to securities, or to the sale or issuance thereof.</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certain deferred payment arrangements, which will be fully paid and nonassessable when such deferred payments are made in full).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OOLEY</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Matthew P. Dubofsky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Matthew P. Dubofsky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380 INTERLOCKEN CRESCENT, SUITE 900, BROOMFIELD, CO 80021-8023 T: (720) 566-4000 F: (720) 566-4099 WWW.COOLEY.COM</w:t>
      </w:r>
    </w:p>
    <w:p>
      <w:pPr>
        <w:sectPr>
          <w:pgSz w:w="11900" w:h="16838" w:orient="portrait"/>
          <w:cols w:equalWidth="0" w:num="1">
            <w:col w:w="11420"/>
          </w:cols>
          <w:pgMar w:left="240" w:top="1026"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2014 Equity Incentive Plan of KemPharm, Inc. of our report dated March 15, 2016, with respect to the financial statements of KemPharm, Inc. included in its Annual Report (Form 10-K) for the year ended December 31, 2015,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2019-12-08T17:46:16Z</dcterms:created>
  <dcterms:modified xsi:type="dcterms:W3CDTF">2019-12-08T17:46:16Z</dcterms:modified>
</cp:coreProperties>
</file>