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813748.xml.htm"/>
      <w:bookmarkStart w:id="1" w:name="kswkform4_178181374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Calder Douglas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ZEVRA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FEDERAL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ZEVRA THERAPEUTICS, INC.</w:t>
              </w:r>
            </w:hyperlink>
            <w:r>
              <w:rPr/>
              <w:t xml:space="preserve"> [ </w:t>
            </w:r>
            <w:r>
              <w:rPr>
                <w:rFonts w:ascii="Times;serif" w:hAnsi="Times;serif"/>
                <w:color w:val="0000FF"/>
                <w:sz w:val="24"/>
                <w:shd w:fill="FFFFFF" w:val="clear"/>
              </w:rPr>
              <w:t>ZVRA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8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71"/>
        <w:gridCol w:w="276"/>
        <w:gridCol w:w="906"/>
        <w:gridCol w:w="801"/>
        <w:gridCol w:w="891"/>
        <w:gridCol w:w="801"/>
        <w:gridCol w:w="801"/>
        <w:gridCol w:w="936"/>
        <w:gridCol w:w="831"/>
        <w:gridCol w:w="846"/>
      </w:tblGrid>
      <w:tr>
        <w:trPr>
          <w:tblHeader w:val="true"/>
        </w:trPr>
        <w:tc>
          <w:tcPr>
            <w:tcW w:w="120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11.17</w:t>
            </w: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30,000</w:t>
            </w:r>
            <w:r>
              <w:rPr>
                <w:rFonts w:ascii="Times;serif" w:hAnsi="Times;serif"/>
                <w:color w:val="008000"/>
                <w:position w:val="7"/>
                <w:sz w:val="16"/>
                <w:sz w:val="20"/>
                <w:shd w:fill="FFFFFF" w:val="clear"/>
              </w:rPr>
              <w:t>(2)</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06/03/2036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exercise price is equal to the closing price of the Issuer's common stock on the Nasdaq Global Select Market on the date of grant, June 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grant was awarded as compensation for the Reporting Person's service on the Issuer's board of directors pursuant to the Issuer's tenth amended and restated non-employee director compensation policy.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One hundred percent (100%) of the shares subject to the option shall vest on the earlier of (i) the first anniversary of the date of grant, (ii) the date that is one day prior to the first annual stockholders meeting occurring after the grant date or (iii) immediately prior to a change in control of the Issuer, subject in each case to the Reporting Person's continued service on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Timothy J. Sangiovanni, Attorney-in-Fact for Douglas W. Calder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10445" TargetMode="External"/><Relationship Id="rId5" Type="http://schemas.openxmlformats.org/officeDocument/2006/relationships/hyperlink" Target="http://www.sec.gov/cgi-bin/browse-edgar?action=getcompany&amp;CIK=00014346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705</Words>
  <Characters>3769</Characters>
  <CharactersWithSpaces>4410</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