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735.xml.htm"/>
      <w:bookmarkStart w:id="1" w:name="kswkform4_17818137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Anderson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ZEVRA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FEDERAL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ZEVRA THERAPEUTICS, INC.</w:t>
              </w:r>
            </w:hyperlink>
            <w:r>
              <w:rPr/>
              <w:t xml:space="preserve"> [ </w:t>
            </w:r>
            <w:r>
              <w:rPr>
                <w:rFonts w:ascii="Times;serif" w:hAnsi="Times;serif"/>
                <w:color w:val="0000FF"/>
                <w:sz w:val="24"/>
                <w:shd w:fill="FFFFFF" w:val="clear"/>
              </w:rPr>
              <w:t>ZVRA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11.17</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30,000</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price is equal to the closing price of the Issuer's common stock on the Nasdaq Global Select Market on the date of grant,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grant was awarded as compensation for the Reporting Person's service on the Issuer's board of directors pursuant to the Issuer's tenth amended and restated non-employee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 hundred percent (100%) of the shares subject to the option shall vest on the earlier of (i) the first anniversary of the date of grant, (ii) the date that is one day prior to the first annual stockholders meeting occurring after the grant date or (iii) immediately prior to a change in control of the Issuer, subject in each case to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J. Sangiovanni, Attorney-in-Fact for Thomas Anderson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2903" TargetMode="External"/><Relationship Id="rId5" Type="http://schemas.openxmlformats.org/officeDocument/2006/relationships/hyperlink" Target="http://www.sec.gov/cgi-bin/browse-edgar?action=getcompany&amp;CIK=0001434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703</Words>
  <Characters>3768</Characters>
  <CharactersWithSpaces>4407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