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522605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169545</wp:posOffset>
            </wp:positionV>
            <wp:extent cx="178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186690</wp:posOffset>
            </wp:positionV>
            <wp:extent cx="178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 w:lineRule="exact"/>
        <w:rPr>
          <w:sz w:val="24"/>
          <w:szCs w:val="24"/>
          <w:color w:val="auto"/>
        </w:rPr>
      </w:pPr>
    </w:p>
    <w:p>
      <w:pPr>
        <w:ind w:left="3900" w:right="1940" w:hanging="3897"/>
        <w:spacing w:after="0" w:line="496" w:lineRule="auto"/>
        <w:tabs>
          <w:tab w:leader="none" w:pos="56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17" w:lineRule="exact"/>
        <w:rPr>
          <w:sz w:val="24"/>
          <w:szCs w:val="24"/>
          <w:color w:val="auto"/>
        </w:rPr>
      </w:pPr>
    </w:p>
    <w:p>
      <w:pPr>
        <w:ind w:left="560" w:hanging="557"/>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7" w:lineRule="exact"/>
        <w:rPr>
          <w:sz w:val="24"/>
          <w:szCs w:val="24"/>
          <w:color w:val="auto"/>
        </w:rPr>
      </w:pPr>
    </w:p>
    <w:p>
      <w:pPr>
        <w:ind w:left="3380"/>
        <w:spacing w:after="0"/>
        <w:tabs>
          <w:tab w:leader="none" w:pos="67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3649345</wp:posOffset>
            </wp:positionH>
            <wp:positionV relativeFrom="paragraph">
              <wp:posOffset>-3810</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183515</wp:posOffset>
            </wp:positionV>
            <wp:extent cx="1784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8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1"/>
          <w:szCs w:val="41"/>
          <w:b w:val="1"/>
          <w:bCs w:val="1"/>
          <w:color w:val="auto"/>
        </w:rPr>
        <w:t>Zevra Therapeutics,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169545</wp:posOffset>
            </wp:positionV>
            <wp:extent cx="1784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392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080" w:type="dxa"/>
            <w:vAlign w:val="bottom"/>
          </w:tcPr>
          <w:p>
            <w:pPr>
              <w:spacing w:after="0"/>
              <w:rPr>
                <w:sz w:val="17"/>
                <w:szCs w:val="17"/>
                <w:color w:val="auto"/>
              </w:rPr>
            </w:pPr>
          </w:p>
        </w:tc>
        <w:tc>
          <w:tcPr>
            <w:tcW w:w="3000" w:type="dxa"/>
            <w:vAlign w:val="bottom"/>
          </w:tcPr>
          <w:p>
            <w:pPr>
              <w:jc w:val="right"/>
              <w:ind w:right="1154"/>
              <w:spacing w:after="0"/>
              <w:rPr>
                <w:sz w:val="20"/>
                <w:szCs w:val="20"/>
                <w:color w:val="auto"/>
              </w:rPr>
            </w:pPr>
            <w:r>
              <w:rPr>
                <w:rFonts w:ascii="Times New Roman" w:cs="Times New Roman" w:eastAsia="Times New Roman" w:hAnsi="Times New Roman"/>
                <w:sz w:val="17"/>
                <w:szCs w:val="17"/>
                <w:b w:val="1"/>
                <w:bCs w:val="1"/>
                <w:color w:val="auto"/>
              </w:rPr>
              <w:t>20-5894398</w:t>
            </w:r>
          </w:p>
        </w:tc>
        <w:tc>
          <w:tcPr>
            <w:tcW w:w="0" w:type="dxa"/>
            <w:vAlign w:val="bottom"/>
          </w:tcPr>
          <w:p>
            <w:pPr>
              <w:spacing w:after="0"/>
              <w:rPr>
                <w:sz w:val="1"/>
                <w:szCs w:val="1"/>
                <w:color w:val="auto"/>
              </w:rPr>
            </w:pPr>
          </w:p>
        </w:tc>
      </w:tr>
      <w:tr>
        <w:trPr>
          <w:trHeight w:val="227"/>
        </w:trPr>
        <w:tc>
          <w:tcPr>
            <w:tcW w:w="5060" w:type="dxa"/>
            <w:vAlign w:val="bottom"/>
            <w:gridSpan w:val="3"/>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tc>
        <w:tc>
          <w:tcPr>
            <w:tcW w:w="2080" w:type="dxa"/>
            <w:vAlign w:val="bottom"/>
          </w:tcPr>
          <w:p>
            <w:pPr>
              <w:spacing w:after="0"/>
              <w:rPr>
                <w:sz w:val="19"/>
                <w:szCs w:val="19"/>
                <w:color w:val="auto"/>
              </w:rPr>
            </w:pPr>
          </w:p>
        </w:tc>
        <w:tc>
          <w:tcPr>
            <w:tcW w:w="300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tc>
        <w:tc>
          <w:tcPr>
            <w:tcW w:w="0" w:type="dxa"/>
            <w:vAlign w:val="bottom"/>
          </w:tcPr>
          <w:p>
            <w:pPr>
              <w:spacing w:after="0"/>
              <w:rPr>
                <w:sz w:val="1"/>
                <w:szCs w:val="1"/>
                <w:color w:val="auto"/>
              </w:rPr>
            </w:pPr>
          </w:p>
        </w:tc>
      </w:tr>
      <w:tr>
        <w:trPr>
          <w:trHeight w:val="392"/>
        </w:trPr>
        <w:tc>
          <w:tcPr>
            <w:tcW w:w="5060" w:type="dxa"/>
            <w:vAlign w:val="bottom"/>
            <w:gridSpan w:val="3"/>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rPr>
              <w:t>1180 Celebration Boulevard, Suite 103, Celebration, FL</w:t>
            </w:r>
          </w:p>
        </w:tc>
        <w:tc>
          <w:tcPr>
            <w:tcW w:w="2080" w:type="dxa"/>
            <w:vAlign w:val="bottom"/>
          </w:tcPr>
          <w:p>
            <w:pPr>
              <w:spacing w:after="0"/>
              <w:rPr>
                <w:sz w:val="24"/>
                <w:szCs w:val="24"/>
                <w:color w:val="auto"/>
              </w:rPr>
            </w:pPr>
          </w:p>
        </w:tc>
        <w:tc>
          <w:tcPr>
            <w:tcW w:w="3000" w:type="dxa"/>
            <w:vAlign w:val="bottom"/>
          </w:tcPr>
          <w:p>
            <w:pPr>
              <w:jc w:val="right"/>
              <w:ind w:right="1354"/>
              <w:spacing w:after="0"/>
              <w:rPr>
                <w:sz w:val="20"/>
                <w:szCs w:val="20"/>
                <w:color w:val="auto"/>
              </w:rPr>
            </w:pPr>
            <w:r>
              <w:rPr>
                <w:rFonts w:ascii="Times New Roman" w:cs="Times New Roman" w:eastAsia="Times New Roman" w:hAnsi="Times New Roman"/>
                <w:sz w:val="17"/>
                <w:szCs w:val="17"/>
                <w:b w:val="1"/>
                <w:bCs w:val="1"/>
                <w:color w:val="auto"/>
              </w:rPr>
              <w:t>34747</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92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2080" w:type="dxa"/>
            <w:vAlign w:val="bottom"/>
          </w:tcPr>
          <w:p>
            <w:pPr>
              <w:spacing w:after="0"/>
              <w:rPr>
                <w:sz w:val="19"/>
                <w:szCs w:val="19"/>
                <w:color w:val="auto"/>
              </w:rPr>
            </w:pPr>
          </w:p>
        </w:tc>
        <w:tc>
          <w:tcPr>
            <w:tcW w:w="300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(Zip Code)</w:t>
            </w: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jc w:val="center"/>
              <w:ind w:right="874"/>
              <w:spacing w:after="0"/>
              <w:rPr>
                <w:sz w:val="20"/>
                <w:szCs w:val="20"/>
                <w:color w:val="auto"/>
              </w:rPr>
            </w:pPr>
            <w:r>
              <w:rPr>
                <w:rFonts w:ascii="Times New Roman" w:cs="Times New Roman" w:eastAsia="Times New Roman" w:hAnsi="Times New Roman"/>
                <w:sz w:val="17"/>
                <w:szCs w:val="17"/>
                <w:b w:val="1"/>
                <w:bCs w:val="1"/>
                <w:color w:val="auto"/>
              </w:rPr>
              <w:t>(321) 939-3416</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90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tc>
        <w:tc>
          <w:tcPr>
            <w:tcW w:w="0" w:type="dxa"/>
            <w:vAlign w:val="bottom"/>
          </w:tcPr>
          <w:p>
            <w:pPr>
              <w:spacing w:after="0"/>
              <w:rPr>
                <w:sz w:val="1"/>
                <w:szCs w:val="1"/>
                <w:color w:val="auto"/>
              </w:rPr>
            </w:pPr>
          </w:p>
        </w:tc>
      </w:tr>
      <w:tr>
        <w:trPr>
          <w:trHeight w:val="619"/>
        </w:trPr>
        <w:tc>
          <w:tcPr>
            <w:tcW w:w="1140" w:type="dxa"/>
            <w:vAlign w:val="bottom"/>
          </w:tcPr>
          <w:p>
            <w:pPr>
              <w:spacing w:after="0"/>
              <w:rPr>
                <w:sz w:val="24"/>
                <w:szCs w:val="24"/>
                <w:color w:val="auto"/>
              </w:rPr>
            </w:pPr>
          </w:p>
        </w:tc>
        <w:tc>
          <w:tcPr>
            <w:tcW w:w="90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413"/>
        </w:trPr>
        <w:tc>
          <w:tcPr>
            <w:tcW w:w="5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right w:val="single" w:sz="8" w:color="auto"/>
            </w:tcBorders>
          </w:tcPr>
          <w:p>
            <w:pPr>
              <w:spacing w:after="0"/>
              <w:rPr>
                <w:sz w:val="15"/>
                <w:szCs w:val="15"/>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9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874"/>
              <w:spacing w:after="0"/>
              <w:rPr>
                <w:sz w:val="20"/>
                <w:szCs w:val="20"/>
                <w:color w:val="auto"/>
              </w:rPr>
            </w:pPr>
            <w:r>
              <w:rPr>
                <w:rFonts w:ascii="Times New Roman" w:cs="Times New Roman" w:eastAsia="Times New Roman" w:hAnsi="Times New Roman"/>
                <w:sz w:val="17"/>
                <w:szCs w:val="17"/>
                <w:color w:val="auto"/>
              </w:rPr>
              <w:t>Trading Symbol</w:t>
            </w:r>
          </w:p>
        </w:tc>
        <w:tc>
          <w:tcPr>
            <w:tcW w:w="30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Name of each exchange on which</w:t>
            </w:r>
          </w:p>
        </w:tc>
        <w:tc>
          <w:tcPr>
            <w:tcW w:w="0" w:type="dxa"/>
            <w:vAlign w:val="bottom"/>
          </w:tcPr>
          <w:p>
            <w:pPr>
              <w:spacing w:after="0"/>
              <w:rPr>
                <w:sz w:val="1"/>
                <w:szCs w:val="1"/>
                <w:color w:val="auto"/>
              </w:rPr>
            </w:pPr>
          </w:p>
        </w:tc>
      </w:tr>
      <w:tr>
        <w:trPr>
          <w:trHeight w:val="120"/>
        </w:trPr>
        <w:tc>
          <w:tcPr>
            <w:tcW w:w="114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vMerge w:val="continue"/>
          </w:tcPr>
          <w:p>
            <w:pPr>
              <w:spacing w:after="0"/>
              <w:rPr>
                <w:sz w:val="10"/>
                <w:szCs w:val="10"/>
                <w:color w:val="auto"/>
              </w:rPr>
            </w:pPr>
          </w:p>
        </w:tc>
        <w:tc>
          <w:tcPr>
            <w:tcW w:w="920" w:type="dxa"/>
            <w:vAlign w:val="bottom"/>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registered</w:t>
            </w:r>
          </w:p>
        </w:tc>
        <w:tc>
          <w:tcPr>
            <w:tcW w:w="0" w:type="dxa"/>
            <w:vAlign w:val="bottom"/>
          </w:tcPr>
          <w:p>
            <w:pPr>
              <w:spacing w:after="0"/>
              <w:rPr>
                <w:sz w:val="1"/>
                <w:szCs w:val="1"/>
                <w:color w:val="auto"/>
              </w:rPr>
            </w:pPr>
          </w:p>
        </w:tc>
      </w:tr>
      <w:tr>
        <w:trPr>
          <w:trHeight w:val="119"/>
        </w:trPr>
        <w:tc>
          <w:tcPr>
            <w:tcW w:w="1140" w:type="dxa"/>
            <w:vAlign w:val="bottom"/>
            <w:tcBorders>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14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Common Stock, $0.0001 par value per</w:t>
            </w:r>
          </w:p>
        </w:tc>
        <w:tc>
          <w:tcPr>
            <w:tcW w:w="920" w:type="dxa"/>
            <w:vAlign w:val="bottom"/>
          </w:tcPr>
          <w:p>
            <w:pPr>
              <w:spacing w:after="0"/>
              <w:rPr>
                <w:sz w:val="14"/>
                <w:szCs w:val="14"/>
                <w:color w:val="auto"/>
              </w:rPr>
            </w:pPr>
          </w:p>
        </w:tc>
        <w:tc>
          <w:tcPr>
            <w:tcW w:w="2080" w:type="dxa"/>
            <w:vAlign w:val="bottom"/>
            <w:tcBorders>
              <w:right w:val="single" w:sz="8" w:color="auto"/>
            </w:tcBorders>
          </w:tcPr>
          <w:p>
            <w:pPr>
              <w:jc w:val="center"/>
              <w:ind w:right="874"/>
              <w:spacing w:after="0" w:line="167" w:lineRule="exact"/>
              <w:rPr>
                <w:sz w:val="20"/>
                <w:szCs w:val="20"/>
                <w:color w:val="auto"/>
              </w:rPr>
            </w:pPr>
            <w:r>
              <w:rPr>
                <w:rFonts w:ascii="Times New Roman" w:cs="Times New Roman" w:eastAsia="Times New Roman" w:hAnsi="Times New Roman"/>
                <w:sz w:val="17"/>
                <w:szCs w:val="17"/>
                <w:color w:val="auto"/>
              </w:rPr>
              <w:t>ZVRA</w:t>
            </w:r>
          </w:p>
        </w:tc>
        <w:tc>
          <w:tcPr>
            <w:tcW w:w="300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r>
        <w:trPr>
          <w:trHeight w:val="219"/>
        </w:trPr>
        <w:tc>
          <w:tcPr>
            <w:tcW w:w="1140" w:type="dxa"/>
            <w:vAlign w:val="bottom"/>
            <w:tcBorders>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92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bl>
    <w:p>
      <w:pPr>
        <w:spacing w:after="0" w:line="18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Accelerated filer</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6"/>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1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Emerging growth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4" w:lineRule="exact"/>
        <w:rPr>
          <w:sz w:val="24"/>
          <w:szCs w:val="24"/>
          <w:color w:val="auto"/>
        </w:rPr>
      </w:pPr>
    </w:p>
    <w:p>
      <w:pPr>
        <w:spacing w:after="0" w:line="196" w:lineRule="exact"/>
        <w:tabs>
          <w:tab w:leader="none" w:pos="8000" w:val="left"/>
          <w:tab w:leader="none" w:pos="87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3, 2024, the registrant had 41,853,494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238125</wp:posOffset>
            </wp:positionV>
            <wp:extent cx="713867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639445</wp:posOffset>
            </wp:positionV>
            <wp:extent cx="713867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2700"/>
                    </a:xfrm>
                    <a:prstGeom prst="rect">
                      <a:avLst/>
                    </a:prstGeom>
                    <a:noFill/>
                  </pic:spPr>
                </pic:pic>
              </a:graphicData>
            </a:graphic>
          </wp:anchor>
        </w:drawing>
      </w:r>
    </w:p>
    <w:p>
      <w:pPr>
        <w:sectPr>
          <w:pgSz w:w="11900" w:h="16838" w:orient="portrait"/>
          <w:cols w:equalWidth="0" w:num="1">
            <w:col w:w="11240"/>
          </w:cols>
          <w:pgMar w:left="320" w:top="1049" w:right="339" w:bottom="6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700" w:type="dxa"/>
            <w:vAlign w:val="bottom"/>
            <w:gridSpan w:val="27"/>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664"/>
        </w:trPr>
        <w:tc>
          <w:tcPr>
            <w:tcW w:w="9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auto"/>
              </w:rPr>
              <w:t>INDEX</w:t>
            </w: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13"/>
          </w:tcPr>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ZEVRA THERAPEUTICS,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0" w:type="dxa"/>
            <w:vAlign w:val="bottom"/>
            <w:gridSpan w:val="12"/>
          </w:tcPr>
          <w:p>
            <w:pPr>
              <w:jc w:val="center"/>
              <w:ind w:right="3960"/>
              <w:spacing w:after="0"/>
              <w:rPr>
                <w:sz w:val="20"/>
                <w:szCs w:val="20"/>
                <w:color w:val="auto"/>
              </w:rPr>
            </w:pPr>
            <w:r>
              <w:rPr>
                <w:rFonts w:ascii="Times New Roman" w:cs="Times New Roman" w:eastAsia="Times New Roman" w:hAnsi="Times New Roman"/>
                <w:sz w:val="17"/>
                <w:szCs w:val="17"/>
                <w:b w:val="1"/>
                <w:bCs w:val="1"/>
                <w:color w:val="auto"/>
                <w:w w:val="99"/>
              </w:rPr>
              <w:t>FORM 10-Q</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1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9"/>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6"/>
        </w:trPr>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520" w:type="dxa"/>
            <w:vAlign w:val="bottom"/>
            <w:gridSpan w:val="14"/>
            <w:shd w:val="clear" w:color="auto" w:fill="CCEEFF"/>
          </w:tcPr>
          <w:p>
            <w:pPr>
              <w:jc w:val="center"/>
              <w:ind w:right="3060"/>
              <w:spacing w:after="0" w:line="167" w:lineRule="exact"/>
              <w:rPr>
                <w:sz w:val="20"/>
                <w:szCs w:val="20"/>
                <w:color w:val="auto"/>
              </w:rPr>
            </w:pPr>
            <w:r>
              <w:rPr>
                <w:rFonts w:ascii="Times New Roman" w:cs="Times New Roman" w:eastAsia="Times New Roman" w:hAnsi="Times New Roman"/>
                <w:sz w:val="17"/>
                <w:szCs w:val="17"/>
                <w:b w:val="1"/>
                <w:bCs w:val="1"/>
                <w:color w:val="0000EE"/>
              </w:rPr>
              <w:t>PART I — FINANCIAL INFORMATION</w:t>
            </w: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6"/>
        </w:trPr>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68"/>
        </w:trPr>
        <w:tc>
          <w:tcPr>
            <w:tcW w:w="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1.</w:t>
            </w:r>
          </w:p>
        </w:tc>
        <w:tc>
          <w:tcPr>
            <w:tcW w:w="9780" w:type="dxa"/>
            <w:vAlign w:val="bottom"/>
            <w:gridSpan w:val="26"/>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0000EE"/>
              </w:rPr>
              <w:t>UNAUDITED CONDENSED CONSOLIDATED FINANCIAL STATEMENTS</w:t>
            </w: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39"/>
        </w:trPr>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1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77"/>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80" w:type="dxa"/>
            <w:vAlign w:val="bottom"/>
            <w:tcBorders>
              <w:bottom w:val="single" w:sz="8" w:color="0000EE"/>
            </w:tcBorders>
            <w:gridSpan w:val="18"/>
          </w:tcPr>
          <w:p>
            <w:pPr>
              <w:spacing w:after="0" w:line="167" w:lineRule="exact"/>
              <w:rPr>
                <w:sz w:val="20"/>
                <w:szCs w:val="20"/>
                <w:color w:val="auto"/>
              </w:rPr>
            </w:pPr>
            <w:r>
              <w:rPr>
                <w:rFonts w:ascii="Times New Roman" w:cs="Times New Roman" w:eastAsia="Times New Roman" w:hAnsi="Times New Roman"/>
                <w:sz w:val="17"/>
                <w:szCs w:val="17"/>
                <w:color w:val="0000EE"/>
              </w:rPr>
              <w:t>UNAUDITED CONDENSED CONSOLIDATED BALANCE SHEETS AS OF MARCH 31, 2024, AND DECEMBER 31, 2023</w:t>
            </w:r>
          </w:p>
        </w:tc>
        <w:tc>
          <w:tcPr>
            <w:tcW w:w="52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0000EE"/>
            </w:tcBorders>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w:t>
            </w:r>
          </w:p>
        </w:tc>
        <w:tc>
          <w:tcPr>
            <w:tcW w:w="180" w:type="dxa"/>
            <w:vAlign w:val="bottom"/>
          </w:tcPr>
          <w:p>
            <w:pPr>
              <w:spacing w:after="0"/>
              <w:rPr>
                <w:sz w:val="15"/>
                <w:szCs w:val="15"/>
                <w:color w:val="auto"/>
              </w:rPr>
            </w:pPr>
          </w:p>
        </w:tc>
      </w:tr>
      <w:tr>
        <w:trPr>
          <w:trHeight w:val="177"/>
        </w:trPr>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340" w:type="dxa"/>
            <w:vAlign w:val="bottom"/>
            <w:tcBorders>
              <w:bottom w:val="single" w:sz="8" w:color="0000EE"/>
            </w:tcBorders>
            <w:gridSpan w:val="21"/>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UNAUDITED CONDENSED CONSOLIDATED STATEMENTS OF OPERATIONS FOR THE THREE MONTHS ENDED MARCH</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r>
      <w:tr>
        <w:trPr>
          <w:trHeight w:val="205"/>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EE"/>
            </w:tcBorders>
            <w:gridSpan w:val="4"/>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EE"/>
                <w:w w:val="99"/>
              </w:rPr>
              <w:t>31, 2024, AND 2023</w:t>
            </w:r>
          </w:p>
        </w:tc>
        <w:tc>
          <w:tcPr>
            <w:tcW w:w="7960" w:type="dxa"/>
            <w:vAlign w:val="bottom"/>
            <w:tcBorders>
              <w:bottom w:val="single" w:sz="8" w:color="CCEEFF"/>
            </w:tcBorders>
            <w:gridSpan w:val="19"/>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0000EE"/>
              </w:rPr>
              <w:t>5</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168"/>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00" w:type="dxa"/>
            <w:vAlign w:val="bottom"/>
            <w:tcBorders>
              <w:bottom w:val="single" w:sz="8" w:color="0000EE"/>
            </w:tcBorders>
            <w:gridSpan w:val="19"/>
          </w:tcPr>
          <w:p>
            <w:pPr>
              <w:spacing w:after="0" w:line="167" w:lineRule="exact"/>
              <w:rPr>
                <w:sz w:val="20"/>
                <w:szCs w:val="20"/>
                <w:color w:val="auto"/>
              </w:rPr>
            </w:pPr>
            <w:r>
              <w:rPr>
                <w:rFonts w:ascii="Times New Roman" w:cs="Times New Roman" w:eastAsia="Times New Roman" w:hAnsi="Times New Roman"/>
                <w:sz w:val="17"/>
                <w:szCs w:val="17"/>
                <w:color w:val="0000EE"/>
              </w:rPr>
              <w:t>UNAUDITED CONDENSED CONSOLIDATED STATEMENTS OF COMPREHENSIVE LOSS FOR THE THREE MONTHS</w:t>
            </w:r>
          </w:p>
        </w:tc>
        <w:tc>
          <w:tcPr>
            <w:tcW w:w="500" w:type="dxa"/>
            <w:vAlign w:val="bottom"/>
            <w:gridSpan w:val="4"/>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Borders>
              <w:bottom w:val="single" w:sz="8" w:color="0000EE"/>
            </w:tcBorders>
            <w:gridSpan w:val="8"/>
          </w:tcPr>
          <w:p>
            <w:pPr>
              <w:spacing w:after="0" w:line="186" w:lineRule="exact"/>
              <w:rPr>
                <w:sz w:val="20"/>
                <w:szCs w:val="20"/>
                <w:color w:val="auto"/>
              </w:rPr>
            </w:pPr>
            <w:r>
              <w:rPr>
                <w:rFonts w:ascii="Times New Roman" w:cs="Times New Roman" w:eastAsia="Times New Roman" w:hAnsi="Times New Roman"/>
                <w:sz w:val="17"/>
                <w:szCs w:val="17"/>
                <w:color w:val="0000EE"/>
              </w:rPr>
              <w:t>ENDED MARCH 31, 2024, AND 2023</w:t>
            </w:r>
          </w:p>
        </w:tc>
        <w:tc>
          <w:tcPr>
            <w:tcW w:w="666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EE"/>
            </w:tcBorders>
          </w:tcPr>
          <w:p>
            <w:pPr>
              <w:jc w:val="center"/>
              <w:spacing w:after="0" w:line="186" w:lineRule="exact"/>
              <w:rPr>
                <w:sz w:val="20"/>
                <w:szCs w:val="20"/>
                <w:color w:val="auto"/>
              </w:rPr>
            </w:pPr>
            <w:r>
              <w:rPr>
                <w:rFonts w:ascii="Times New Roman" w:cs="Times New Roman" w:eastAsia="Times New Roman" w:hAnsi="Times New Roman"/>
                <w:sz w:val="17"/>
                <w:szCs w:val="17"/>
                <w:color w:val="0000EE"/>
              </w:rPr>
              <w:t>6</w:t>
            </w:r>
          </w:p>
        </w:tc>
        <w:tc>
          <w:tcPr>
            <w:tcW w:w="180" w:type="dxa"/>
            <w:vAlign w:val="bottom"/>
          </w:tcPr>
          <w:p>
            <w:pPr>
              <w:spacing w:after="0"/>
              <w:rPr>
                <w:sz w:val="17"/>
                <w:szCs w:val="17"/>
                <w:color w:val="auto"/>
              </w:rPr>
            </w:pPr>
          </w:p>
        </w:tc>
      </w:tr>
      <w:tr>
        <w:trPr>
          <w:trHeight w:val="177"/>
        </w:trPr>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60" w:type="dxa"/>
            <w:vAlign w:val="bottom"/>
            <w:tcBorders>
              <w:bottom w:val="single" w:sz="8" w:color="0000EE"/>
            </w:tcBorders>
            <w:gridSpan w:val="20"/>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UNAUDITED CONDENSED CONSOLIDATED STATEMENTS OF STOCKHOLDERS' EQUITY FOR THE THREE MONTHS</w:t>
            </w:r>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r>
      <w:tr>
        <w:trPr>
          <w:trHeight w:val="205"/>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0000EE"/>
            </w:tcBorders>
            <w:gridSpan w:val="8"/>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EE"/>
              </w:rPr>
              <w:t>ENDED MARCH 31, 2024, AND 2023</w:t>
            </w:r>
          </w:p>
        </w:tc>
        <w:tc>
          <w:tcPr>
            <w:tcW w:w="6660" w:type="dxa"/>
            <w:vAlign w:val="bottom"/>
            <w:tcBorders>
              <w:bottom w:val="single" w:sz="8" w:color="CCEEFF"/>
            </w:tcBorders>
            <w:gridSpan w:val="15"/>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0000EE"/>
              </w:rPr>
              <w:t>7</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168"/>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380" w:type="dxa"/>
            <w:vAlign w:val="bottom"/>
            <w:tcBorders>
              <w:bottom w:val="single" w:sz="8" w:color="0000EE"/>
            </w:tcBorders>
            <w:gridSpan w:val="22"/>
          </w:tcPr>
          <w:p>
            <w:pPr>
              <w:spacing w:after="0" w:line="167"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THREE MONTHS ENDED MARCH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86" w:lineRule="exact"/>
              <w:rPr>
                <w:sz w:val="20"/>
                <w:szCs w:val="20"/>
                <w:color w:val="auto"/>
              </w:rPr>
            </w:pPr>
            <w:r>
              <w:rPr>
                <w:rFonts w:ascii="Times New Roman" w:cs="Times New Roman" w:eastAsia="Times New Roman" w:hAnsi="Times New Roman"/>
                <w:sz w:val="17"/>
                <w:szCs w:val="17"/>
                <w:color w:val="0000EE"/>
                <w:w w:val="99"/>
              </w:rPr>
              <w:t>31, 2024, AND 2023</w:t>
            </w:r>
          </w:p>
        </w:tc>
        <w:tc>
          <w:tcPr>
            <w:tcW w:w="796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EE"/>
            </w:tcBorders>
          </w:tcPr>
          <w:p>
            <w:pPr>
              <w:jc w:val="center"/>
              <w:spacing w:after="0" w:line="186" w:lineRule="exact"/>
              <w:rPr>
                <w:sz w:val="20"/>
                <w:szCs w:val="20"/>
                <w:color w:val="auto"/>
              </w:rPr>
            </w:pPr>
            <w:r>
              <w:rPr>
                <w:rFonts w:ascii="Times New Roman" w:cs="Times New Roman" w:eastAsia="Times New Roman" w:hAnsi="Times New Roman"/>
                <w:sz w:val="17"/>
                <w:szCs w:val="17"/>
                <w:color w:val="0000EE"/>
              </w:rPr>
              <w:t>9</w:t>
            </w:r>
          </w:p>
        </w:tc>
        <w:tc>
          <w:tcPr>
            <w:tcW w:w="180" w:type="dxa"/>
            <w:vAlign w:val="bottom"/>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0" w:type="dxa"/>
            <w:vAlign w:val="bottom"/>
            <w:tcBorders>
              <w:bottom w:val="single" w:sz="8" w:color="0000EE"/>
            </w:tcBorders>
            <w:gridSpan w:val="16"/>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9"/>
              </w:rPr>
              <w:t>NOTES TO UNAUDITED CONDENSED CONSOLIDATED FINANCIAL STATEMENTS</w:t>
            </w:r>
          </w:p>
        </w:tc>
        <w:tc>
          <w:tcPr>
            <w:tcW w:w="3000" w:type="dxa"/>
            <w:vAlign w:val="bottom"/>
            <w:tcBorders>
              <w:bottom w:val="single" w:sz="8" w:color="CCEEFF"/>
            </w:tcBorders>
            <w:gridSpan w:val="7"/>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0000EE"/>
                <w:w w:val="82"/>
              </w:rPr>
              <w:t>10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168"/>
        </w:trPr>
        <w:tc>
          <w:tcPr>
            <w:tcW w:w="9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ITEM 2.</w:t>
            </w: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27</w:t>
            </w:r>
          </w:p>
        </w:tc>
      </w:tr>
      <w:tr>
        <w:trPr>
          <w:trHeight w:val="29"/>
        </w:trPr>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94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7"/>
        </w:trPr>
        <w:tc>
          <w:tcPr>
            <w:tcW w:w="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ITEM 3.</w:t>
            </w:r>
          </w:p>
        </w:tc>
        <w:tc>
          <w:tcPr>
            <w:tcW w:w="9780" w:type="dxa"/>
            <w:vAlign w:val="bottom"/>
            <w:gridSpan w:val="26"/>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540" w:type="dxa"/>
            <w:vAlign w:val="bottom"/>
            <w:gridSpan w:val="3"/>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0000EE"/>
              </w:rPr>
              <w:t>40</w:t>
            </w:r>
          </w:p>
        </w:tc>
      </w:tr>
      <w:tr>
        <w:trPr>
          <w:trHeight w:val="39"/>
        </w:trPr>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80" w:type="dxa"/>
            <w:vAlign w:val="bottom"/>
            <w:tcBorders>
              <w:left w:val="single" w:sz="8" w:color="0000EE"/>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77"/>
        </w:trPr>
        <w:tc>
          <w:tcPr>
            <w:tcW w:w="9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ITEM 4.</w:t>
            </w: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CONTROLS AND PROCEDURES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40</w:t>
            </w:r>
          </w:p>
        </w:tc>
      </w:tr>
      <w:tr>
        <w:trPr>
          <w:trHeight w:val="216"/>
        </w:trPr>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lef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0000EE"/>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77"/>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340" w:type="dxa"/>
            <w:vAlign w:val="bottom"/>
            <w:gridSpan w:val="13"/>
          </w:tcPr>
          <w:p>
            <w:pPr>
              <w:jc w:val="center"/>
              <w:ind w:right="3240"/>
              <w:spacing w:after="0" w:line="167" w:lineRule="exact"/>
              <w:rPr>
                <w:sz w:val="20"/>
                <w:szCs w:val="20"/>
                <w:color w:val="auto"/>
              </w:rPr>
            </w:pPr>
            <w:r>
              <w:rPr>
                <w:rFonts w:ascii="Times New Roman" w:cs="Times New Roman" w:eastAsia="Times New Roman" w:hAnsi="Times New Roman"/>
                <w:sz w:val="17"/>
                <w:szCs w:val="17"/>
                <w:b w:val="1"/>
                <w:bCs w:val="1"/>
                <w:color w:val="0000EE"/>
              </w:rPr>
              <w:t>PART II — OTHER INFORMATION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8"/>
        </w:trPr>
        <w:tc>
          <w:tcPr>
            <w:tcW w:w="9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ITEM 1.</w:t>
            </w: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LEGAL PROCEEDINGS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41</w:t>
            </w:r>
          </w:p>
        </w:tc>
      </w:tr>
      <w:tr>
        <w:trPr>
          <w:trHeight w:val="29"/>
        </w:trPr>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7"/>
        </w:trPr>
        <w:tc>
          <w:tcPr>
            <w:tcW w:w="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ITEM 1A.</w:t>
            </w:r>
          </w:p>
        </w:tc>
        <w:tc>
          <w:tcPr>
            <w:tcW w:w="9780" w:type="dxa"/>
            <w:vAlign w:val="bottom"/>
            <w:gridSpan w:val="26"/>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0000EE"/>
              </w:rPr>
              <w:t>RISK FACTORS</w:t>
            </w:r>
          </w:p>
        </w:tc>
        <w:tc>
          <w:tcPr>
            <w:tcW w:w="540" w:type="dxa"/>
            <w:vAlign w:val="bottom"/>
            <w:gridSpan w:val="3"/>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0000EE"/>
              </w:rPr>
              <w:t>41</w:t>
            </w:r>
          </w:p>
        </w:tc>
      </w:tr>
      <w:tr>
        <w:trPr>
          <w:trHeight w:val="39"/>
        </w:trPr>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8"/>
        </w:trPr>
        <w:tc>
          <w:tcPr>
            <w:tcW w:w="9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ITEM 2.</w:t>
            </w: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42</w:t>
            </w:r>
          </w:p>
        </w:tc>
      </w:tr>
      <w:tr>
        <w:trPr>
          <w:trHeight w:val="29"/>
        </w:trPr>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7"/>
        </w:trPr>
        <w:tc>
          <w:tcPr>
            <w:tcW w:w="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ITEM 3.</w:t>
            </w:r>
          </w:p>
        </w:tc>
        <w:tc>
          <w:tcPr>
            <w:tcW w:w="9780" w:type="dxa"/>
            <w:vAlign w:val="bottom"/>
            <w:gridSpan w:val="26"/>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0000EE"/>
              </w:rPr>
              <w:t>DEFAULTS UPON SENIOR SECURITIES</w:t>
            </w:r>
          </w:p>
        </w:tc>
        <w:tc>
          <w:tcPr>
            <w:tcW w:w="540" w:type="dxa"/>
            <w:vAlign w:val="bottom"/>
            <w:gridSpan w:val="3"/>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0000EE"/>
              </w:rPr>
              <w:t>42</w:t>
            </w:r>
          </w:p>
        </w:tc>
      </w:tr>
      <w:tr>
        <w:trPr>
          <w:trHeight w:val="39"/>
        </w:trPr>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8"/>
        </w:trPr>
        <w:tc>
          <w:tcPr>
            <w:tcW w:w="9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ITEM 4.</w:t>
            </w: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MINE SAFETY DISCLOSURES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42</w:t>
            </w:r>
          </w:p>
        </w:tc>
      </w:tr>
      <w:tr>
        <w:trPr>
          <w:trHeight w:val="29"/>
        </w:trPr>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7"/>
        </w:trPr>
        <w:tc>
          <w:tcPr>
            <w:tcW w:w="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ITEM 5.</w:t>
            </w:r>
          </w:p>
        </w:tc>
        <w:tc>
          <w:tcPr>
            <w:tcW w:w="9780" w:type="dxa"/>
            <w:vAlign w:val="bottom"/>
            <w:gridSpan w:val="26"/>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0000EE"/>
              </w:rPr>
              <w:t>OTHER INFORMATION</w:t>
            </w:r>
          </w:p>
        </w:tc>
        <w:tc>
          <w:tcPr>
            <w:tcW w:w="540" w:type="dxa"/>
            <w:vAlign w:val="bottom"/>
            <w:gridSpan w:val="3"/>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0000EE"/>
              </w:rPr>
              <w:t>42</w:t>
            </w:r>
          </w:p>
        </w:tc>
      </w:tr>
      <w:tr>
        <w:trPr>
          <w:trHeight w:val="39"/>
        </w:trPr>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40" w:type="dxa"/>
            <w:vAlign w:val="bottom"/>
            <w:tcBorders>
              <w:left w:val="single" w:sz="8" w:color="0000EE"/>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77"/>
        </w:trPr>
        <w:tc>
          <w:tcPr>
            <w:tcW w:w="9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ITEM 6.</w:t>
            </w: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EXHIBITS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43</w:t>
            </w:r>
          </w:p>
        </w:tc>
      </w:tr>
      <w:tr>
        <w:trPr>
          <w:trHeight w:val="216"/>
        </w:trPr>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0000EE"/>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8"/>
        </w:trPr>
        <w:tc>
          <w:tcPr>
            <w:tcW w:w="920" w:type="dxa"/>
            <w:vAlign w:val="bottom"/>
          </w:tcPr>
          <w:p>
            <w:pPr>
              <w:spacing w:after="0"/>
              <w:rPr>
                <w:sz w:val="14"/>
                <w:szCs w:val="14"/>
                <w:color w:val="auto"/>
              </w:rPr>
            </w:pPr>
          </w:p>
        </w:tc>
        <w:tc>
          <w:tcPr>
            <w:tcW w:w="9780" w:type="dxa"/>
            <w:vAlign w:val="bottom"/>
            <w:gridSpan w:val="26"/>
          </w:tcPr>
          <w:p>
            <w:pPr>
              <w:ind w:left="220"/>
              <w:spacing w:after="0" w:line="167" w:lineRule="exact"/>
              <w:rPr>
                <w:sz w:val="20"/>
                <w:szCs w:val="20"/>
                <w:color w:val="auto"/>
              </w:rPr>
            </w:pPr>
            <w:r>
              <w:rPr>
                <w:rFonts w:ascii="Times New Roman" w:cs="Times New Roman" w:eastAsia="Times New Roman" w:hAnsi="Times New Roman"/>
                <w:sz w:val="17"/>
                <w:szCs w:val="17"/>
                <w:color w:val="0000EE"/>
              </w:rPr>
              <w:t>SIGNATURES</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0000EE"/>
              </w:rPr>
              <w:t>44</w:t>
            </w:r>
          </w:p>
        </w:tc>
      </w:tr>
      <w:tr>
        <w:trPr>
          <w:trHeight w:val="566"/>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including the section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target,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contemplates,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assume,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or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2023, filed with the SEC on April 1, 2024.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79" w:lineRule="exact"/>
        <w:rPr>
          <w:sz w:val="20"/>
          <w:szCs w:val="20"/>
          <w:color w:val="auto"/>
        </w:rPr>
      </w:pPr>
    </w:p>
    <w:p>
      <w:pPr>
        <w:ind w:left="460" w:right="380" w:hanging="225"/>
        <w:spacing w:after="0" w:line="292"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ability to integrate Acer (as defined below) into our business successfully or realize the anticipated synergies and related benefits of the Merger (as defined below);</w:t>
      </w:r>
    </w:p>
    <w:p>
      <w:pPr>
        <w:spacing w:after="0" w:line="143" w:lineRule="exact"/>
        <w:rPr>
          <w:rFonts w:ascii="Times New Roman" w:cs="Times New Roman" w:eastAsia="Times New Roman" w:hAnsi="Times New Roman"/>
          <w:sz w:val="17"/>
          <w:szCs w:val="17"/>
          <w:color w:val="auto"/>
        </w:rPr>
      </w:pPr>
    </w:p>
    <w:p>
      <w:pPr>
        <w:ind w:left="460" w:hanging="225"/>
        <w:spacing w:after="0" w:line="292"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43"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ability to remediate the material weakness we have identified and the timing thereof;</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ability to continue as a going concern;</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progress of, timing of and expected amount of expenses associated with our research, development and commercialization activities;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ability to raise additional funds on commercially reasonable terms, or at all, in order to support our continued operations;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sufficiency of our cash resources to fund our operating expenses and capital investment requirements for any period;</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expected timing of our clinical trials for our product candidates and the availability of data and results of those trials;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expectations regarding federal, state and foreign regulatory requirements;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potential therapeutic benefits and effectiveness of our products and product candidates;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size and characteristics of the markets that may be addressed by our products and product candidates;</w:t>
      </w:r>
    </w:p>
    <w:p>
      <w:pPr>
        <w:spacing w:after="0" w:line="217" w:lineRule="exact"/>
        <w:rPr>
          <w:rFonts w:ascii="Times New Roman" w:cs="Times New Roman" w:eastAsia="Times New Roman" w:hAnsi="Times New Roman"/>
          <w:sz w:val="17"/>
          <w:szCs w:val="17"/>
          <w:color w:val="auto"/>
        </w:rPr>
      </w:pPr>
    </w:p>
    <w:p>
      <w:pPr>
        <w:ind w:left="460" w:hanging="225"/>
        <w:spacing w:after="0" w:line="292"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intention to seek to establish, and the potential benefits to us from, any strategic collaborations or partnerships for the development or sale of our products and product candidates; if approved;</w:t>
      </w:r>
    </w:p>
    <w:p>
      <w:pPr>
        <w:spacing w:after="0" w:line="143"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expectations as to future financial performance, expense levels and liquidity sources;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timing of commercializing our products and product candidates, if approved;</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senior leadership and board member transitions and refreshments; and</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factors discussed elsewhere in this report.</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2023, filed with the SEC on April 1,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 REGARDING COMPANY REFERENCE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Unless the context otherwise requires, we use the terms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Zevra,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 this Quarterly Report on Form 10-Q to refer to Zevra Therapeutics, Inc., formerly known as KemPharm, Inc. prior to February 21, 2023. We have proprietary rights to a number of trademarks used in this Quarterly Report on Form 10-Q that are important to our business, including LAT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the Zevra logo.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symbols, but such references should not be construed as any indicator that their respective owners will not assert, to the fullest extent under applicable law, their rights thereto.</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On August 30, 2023, the Company and Aspen Z Merger Sub, Inc., an indirect wholly-owned subsidiary of Zevra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Merger Sub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entered into an Agreement and Plan of Merger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Merger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with Acer Therapeutics Inc. ("Acer"). On November 17, 2023 (the "Closing Date"), we completed the acquisition of Acer. Pursuant to the Merger Agreement, on the Closing Date, Merger Sub was merged with and into Acer (the "Merger"), with Acer continuing as the surviving entity and as a wholly-owned subsidiary of 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461645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617"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w:t>
        <w:tab/>
        <w:t>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8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42,849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43,049</w:t>
            </w:r>
          </w:p>
        </w:tc>
      </w:tr>
      <w:tr>
        <w:trPr>
          <w:trHeight w:val="206"/>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 at fair value</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9,868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24,688</w:t>
            </w:r>
          </w:p>
        </w:tc>
      </w:tr>
      <w:tr>
        <w:trPr>
          <w:trHeight w:val="20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and other receivables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8,305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17,377</w:t>
            </w:r>
          </w:p>
        </w:tc>
      </w:tr>
      <w:tr>
        <w:trPr>
          <w:trHeight w:val="206"/>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1,868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1,824</w:t>
            </w:r>
          </w:p>
        </w:tc>
      </w:tr>
      <w:tr>
        <w:trPr>
          <w:trHeight w:val="199"/>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62,890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86,938</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9,841</w:t>
            </w: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736</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790</w:t>
            </w: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4,701</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67,699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69,227</w:t>
            </w:r>
          </w:p>
        </w:tc>
      </w:tr>
      <w:tr>
        <w:trPr>
          <w:trHeight w:val="20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1,786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94</w:t>
            </w:r>
          </w:p>
        </w:tc>
      </w:tr>
      <w:tr>
        <w:trPr>
          <w:trHeight w:val="199"/>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151,283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172,327</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8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6"/>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22,785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28,403</w:t>
            </w:r>
          </w:p>
        </w:tc>
      </w:tr>
      <w:tr>
        <w:trPr>
          <w:trHeight w:val="20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Line of credit payable</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37,700</w:t>
            </w:r>
          </w:p>
        </w:tc>
      </w:tr>
      <w:tr>
        <w:trPr>
          <w:trHeight w:val="206"/>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543</w:t>
            </w:r>
          </w:p>
        </w:tc>
      </w:tr>
      <w:tr>
        <w:trPr>
          <w:trHeight w:val="20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discount and rebate liabilities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4,452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4,550</w:t>
            </w:r>
          </w:p>
        </w:tc>
      </w:tr>
      <w:tr>
        <w:trPr>
          <w:trHeight w:val="206"/>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2,089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2,524</w:t>
            </w:r>
          </w:p>
        </w:tc>
      </w:tr>
      <w:tr>
        <w:trPr>
          <w:trHeight w:val="199"/>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29,909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73,720</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Secured promissory note</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5,066</w:t>
            </w: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Line of credit payable</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37,939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16,100</w:t>
            </w: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456</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Discount and rebate liabilities, less current portion</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8,781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7,663</w:t>
            </w:r>
          </w:p>
        </w:tc>
      </w:tr>
      <w:tr>
        <w:trPr>
          <w:trHeight w:val="20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8,537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7,458</w:t>
            </w:r>
          </w:p>
        </w:tc>
      </w:tr>
      <w:tr>
        <w:trPr>
          <w:trHeight w:val="199"/>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102,465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110,463</w:t>
            </w:r>
          </w:p>
        </w:tc>
      </w:tr>
      <w:tr>
        <w:trPr>
          <w:trHeight w:val="199"/>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0"/>
        </w:trPr>
        <w:tc>
          <w:tcPr>
            <w:tcW w:w="8000" w:type="dxa"/>
            <w:vAlign w:val="bottom"/>
          </w:tcPr>
          <w:p>
            <w:pPr>
              <w:ind w:left="460"/>
              <w:spacing w:after="0" w:line="190" w:lineRule="exact"/>
              <w:rPr>
                <w:sz w:val="20"/>
                <w:szCs w:val="20"/>
                <w:color w:val="auto"/>
              </w:rPr>
            </w:pPr>
            <w:r>
              <w:rPr>
                <w:rFonts w:ascii="Times New Roman" w:cs="Times New Roman" w:eastAsia="Times New Roman" w:hAnsi="Times New Roman"/>
                <w:sz w:val="17"/>
                <w:szCs w:val="17"/>
                <w:color w:val="auto"/>
              </w:rPr>
              <w:t>Undesignated preferred stock, $0.0001 par value, 10,000,000 shares authorized, no shares issued or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3"/>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outstanding as of March 31, 2024 or December 31, 2023</w:t>
            </w:r>
          </w:p>
        </w:tc>
        <w:tc>
          <w:tcPr>
            <w:tcW w:w="22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190"/>
        </w:trPr>
        <w:tc>
          <w:tcPr>
            <w:tcW w:w="80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Common stock, $0.0001 par value, 250,000,000 shares authorized, 43,426,186 shares issued and 41,850,494</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outstanding as of March 31, 2024; 43,110,360 shares issued and 41,534,668 shares outstanding as of</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476,056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472,664</w:t>
            </w: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stock, at cost</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(10,983)</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(399,778)</w:t>
            </w:r>
          </w:p>
        </w:tc>
      </w:tr>
      <w:tr>
        <w:trPr>
          <w:trHeight w:val="20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199"/>
        </w:trPr>
        <w:tc>
          <w:tcPr>
            <w:tcW w:w="8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48,818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61,864</w:t>
            </w:r>
          </w:p>
        </w:tc>
      </w:tr>
      <w:tr>
        <w:trPr>
          <w:trHeight w:val="21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151,283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172,327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199"/>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net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3,425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3,176</w:t>
            </w:r>
          </w:p>
        </w:tc>
      </w:tr>
      <w:tr>
        <w:trPr>
          <w:trHeight w:val="190"/>
        </w:trPr>
        <w:tc>
          <w:tcPr>
            <w:tcW w:w="786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Cost of product revenue (excluding $1,528 in intangible asset amortization for the three months ended March</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3"/>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 2024, shown separately below)</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125</w:t>
            </w:r>
          </w:p>
        </w:tc>
      </w:tr>
      <w:tr>
        <w:trPr>
          <w:trHeight w:val="20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12,277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8,655</w:t>
            </w:r>
          </w:p>
        </w:tc>
      </w:tr>
      <w:tr>
        <w:trPr>
          <w:trHeight w:val="206"/>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9,931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7,227</w:t>
            </w:r>
          </w:p>
        </w:tc>
      </w:tr>
      <w:tr>
        <w:trPr>
          <w:trHeight w:val="199"/>
        </w:trPr>
        <w:tc>
          <w:tcPr>
            <w:tcW w:w="7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22,208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15,882</w:t>
            </w:r>
          </w:p>
        </w:tc>
      </w:tr>
      <w:tr>
        <w:trPr>
          <w:trHeight w:val="19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(12,831)</w:t>
            </w:r>
          </w:p>
        </w:tc>
      </w:tr>
      <w:tr>
        <w:trPr>
          <w:trHeight w:val="19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0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Fair value adjustment related to warrant and CVR liability</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3,627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r>
      <w:tr>
        <w:trPr>
          <w:trHeight w:val="206"/>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Fair value adjustment related to investments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196</w:t>
            </w:r>
          </w:p>
        </w:tc>
      </w:tr>
      <w:tr>
        <w:trPr>
          <w:trHeight w:val="206"/>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1,042</w:t>
            </w:r>
          </w:p>
        </w:tc>
      </w:tr>
      <w:tr>
        <w:trPr>
          <w:trHeight w:val="199"/>
        </w:trPr>
        <w:tc>
          <w:tcPr>
            <w:tcW w:w="7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3,794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2"/>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(13,320)</w:t>
            </w:r>
          </w:p>
        </w:tc>
      </w:tr>
      <w:tr>
        <w:trPr>
          <w:trHeight w:val="20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103</w:t>
            </w:r>
          </w:p>
        </w:tc>
      </w:tr>
      <w:tr>
        <w:trPr>
          <w:trHeight w:val="23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(13,217)</w:t>
            </w:r>
          </w:p>
        </w:tc>
      </w:tr>
      <w:tr>
        <w:trPr>
          <w:trHeight w:val="185"/>
        </w:trPr>
        <w:tc>
          <w:tcPr>
            <w:tcW w:w="78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0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 of common stock:</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78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Weighted average number of shares of common stock outstanding:</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41,778,774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34,466,542</w:t>
            </w: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Pr>
          <w:p>
            <w:pPr>
              <w:spacing w:after="0"/>
              <w:rPr>
                <w:sz w:val="19"/>
                <w:szCs w:val="19"/>
                <w:color w:val="auto"/>
              </w:rPr>
            </w:pPr>
          </w:p>
        </w:tc>
        <w:tc>
          <w:tcPr>
            <w:tcW w:w="3240" w:type="dxa"/>
            <w:vAlign w:val="bottom"/>
            <w:tcBorders>
              <w:bottom w:val="single" w:sz="8" w:color="auto"/>
            </w:tcBorders>
            <w:gridSpan w:val="5"/>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199"/>
        </w:trPr>
        <w:tc>
          <w:tcPr>
            <w:tcW w:w="80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(16,622)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(13,217)</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8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199"/>
        </w:trPr>
        <w:tc>
          <w:tcPr>
            <w:tcW w:w="8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(16,438)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8"/>
              </w:rPr>
              <w:t>Treasury</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6"/>
        </w:trPr>
        <w:tc>
          <w:tcPr>
            <w:tcW w:w="3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7"/>
              </w:rPr>
              <w:t>Stock,</w:t>
            </w:r>
          </w:p>
        </w:tc>
        <w:tc>
          <w:tcPr>
            <w:tcW w:w="120" w:type="dxa"/>
            <w:vAlign w:val="bottom"/>
          </w:tcPr>
          <w:p>
            <w:pPr>
              <w:spacing w:after="0"/>
              <w:rPr>
                <w:sz w:val="17"/>
                <w:szCs w:val="17"/>
                <w:color w:val="auto"/>
              </w:rPr>
            </w:pP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0" w:type="dxa"/>
            <w:vAlign w:val="bottom"/>
          </w:tcPr>
          <w:p>
            <w:pPr>
              <w:spacing w:after="0"/>
              <w:rPr>
                <w:sz w:val="17"/>
                <w:szCs w:val="17"/>
                <w:color w:val="auto"/>
              </w:rPr>
            </w:pPr>
          </w:p>
        </w:tc>
        <w:tc>
          <w:tcPr>
            <w:tcW w:w="1200" w:type="dxa"/>
            <w:vAlign w:val="bottom"/>
            <w:gridSpan w:val="2"/>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Stockholders'</w:t>
            </w:r>
          </w:p>
        </w:tc>
      </w:tr>
      <w:tr>
        <w:trPr>
          <w:trHeight w:val="227"/>
        </w:trPr>
        <w:tc>
          <w:tcPr>
            <w:tcW w:w="3280" w:type="dxa"/>
            <w:vAlign w:val="bottom"/>
          </w:tcPr>
          <w:p>
            <w:pPr>
              <w:spacing w:after="0"/>
              <w:rPr>
                <w:sz w:val="19"/>
                <w:szCs w:val="19"/>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at cost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472,664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(10,983)</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(399,778)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61,864</w:t>
            </w:r>
          </w:p>
        </w:tc>
      </w:tr>
      <w:tr>
        <w:trPr>
          <w:trHeight w:val="199"/>
        </w:trPr>
        <w:tc>
          <w:tcPr>
            <w:tcW w:w="32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(16,622)</w:t>
            </w:r>
          </w:p>
        </w:tc>
      </w:tr>
      <w:tr>
        <w:trPr>
          <w:trHeight w:val="206"/>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2,119</w:t>
            </w:r>
          </w:p>
        </w:tc>
      </w:tr>
      <w:tr>
        <w:trPr>
          <w:trHeight w:val="190"/>
        </w:trPr>
        <w:tc>
          <w:tcPr>
            <w:tcW w:w="328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Issuance of common stock in exchange for</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3"/>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consulting services</w:t>
            </w:r>
          </w:p>
        </w:tc>
        <w:tc>
          <w:tcPr>
            <w:tcW w:w="940" w:type="dxa"/>
            <w:vAlign w:val="bottom"/>
          </w:tcPr>
          <w:p>
            <w:pPr>
              <w:spacing w:after="0"/>
              <w:rPr>
                <w:sz w:val="19"/>
                <w:szCs w:val="19"/>
                <w:color w:val="auto"/>
              </w:rPr>
            </w:pP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56</w:t>
            </w:r>
          </w:p>
        </w:tc>
      </w:tr>
      <w:tr>
        <w:trPr>
          <w:trHeight w:val="190"/>
        </w:trPr>
        <w:tc>
          <w:tcPr>
            <w:tcW w:w="3280" w:type="dxa"/>
            <w:vAlign w:val="bottom"/>
            <w:shd w:val="clear" w:color="auto" w:fill="CCEEFF"/>
          </w:tcPr>
          <w:p>
            <w:pPr>
              <w:ind w:left="160"/>
              <w:spacing w:after="0" w:line="190" w:lineRule="exact"/>
              <w:rPr>
                <w:sz w:val="20"/>
                <w:szCs w:val="20"/>
                <w:color w:val="auto"/>
              </w:rPr>
            </w:pPr>
            <w:r>
              <w:rPr>
                <w:rFonts w:ascii="Times New Roman" w:cs="Times New Roman" w:eastAsia="Times New Roman" w:hAnsi="Times New Roman"/>
                <w:sz w:val="17"/>
                <w:szCs w:val="17"/>
                <w:color w:val="auto"/>
              </w:rPr>
              <w:t>Issuance of common stock as part of the</w:t>
            </w: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r>
      <w:tr>
        <w:trPr>
          <w:trHeight w:val="190"/>
        </w:trPr>
        <w:tc>
          <w:tcPr>
            <w:tcW w:w="328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Issuance of common stock for options</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3"/>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exercised</w:t>
            </w:r>
          </w:p>
        </w:tc>
        <w:tc>
          <w:tcPr>
            <w:tcW w:w="940" w:type="dxa"/>
            <w:vAlign w:val="bottom"/>
          </w:tcPr>
          <w:p>
            <w:pPr>
              <w:spacing w:after="0"/>
              <w:rPr>
                <w:sz w:val="19"/>
                <w:szCs w:val="19"/>
                <w:color w:val="auto"/>
              </w:rPr>
            </w:pP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1,146</w:t>
            </w:r>
          </w:p>
        </w:tc>
      </w:tr>
      <w:tr>
        <w:trPr>
          <w:trHeight w:val="206"/>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184</w:t>
            </w:r>
          </w:p>
        </w:tc>
      </w:tr>
      <w:tr>
        <w:trPr>
          <w:trHeight w:val="199"/>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476,056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(10,983)</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(416,400)</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141</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48,818</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9"/>
                <w:szCs w:val="19"/>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0" w:type="dxa"/>
            <w:vAlign w:val="bottom"/>
          </w:tcPr>
          <w:p>
            <w:pPr>
              <w:spacing w:after="0"/>
              <w:rPr>
                <w:sz w:val="19"/>
                <w:szCs w:val="19"/>
                <w:color w:val="auto"/>
              </w:rPr>
            </w:pPr>
          </w:p>
        </w:tc>
        <w:tc>
          <w:tcPr>
            <w:tcW w:w="1200" w:type="dxa"/>
            <w:vAlign w:val="bottom"/>
            <w:gridSpan w:val="2"/>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Stock, at cost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48"/>
        </w:trPr>
        <w:tc>
          <w:tcPr>
            <w:tcW w:w="3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2023</w:t>
            </w:r>
          </w:p>
        </w:tc>
        <w:tc>
          <w:tcPr>
            <w:tcW w:w="1040" w:type="dxa"/>
            <w:vAlign w:val="bottom"/>
            <w:gridSpan w:val="2"/>
            <w:vMerge w:val="restart"/>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436,269</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(353,729</w:t>
            </w:r>
          </w:p>
        </w:tc>
        <w:tc>
          <w:tcPr>
            <w:tcW w:w="1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113</w:t>
            </w:r>
          </w:p>
        </w:tc>
        <w:tc>
          <w:tcPr>
            <w:tcW w:w="300" w:type="dxa"/>
            <w:vAlign w:val="bottom"/>
            <w:gridSpan w:val="2"/>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75,120</w:t>
            </w:r>
          </w:p>
        </w:tc>
        <w:tc>
          <w:tcPr>
            <w:tcW w:w="0" w:type="dxa"/>
            <w:vAlign w:val="bottom"/>
          </w:tcPr>
          <w:p>
            <w:pPr>
              <w:spacing w:after="0"/>
              <w:rPr>
                <w:sz w:val="1"/>
                <w:szCs w:val="1"/>
                <w:color w:val="auto"/>
              </w:rPr>
            </w:pPr>
          </w:p>
        </w:tc>
      </w:tr>
      <w:tr>
        <w:trPr>
          <w:trHeight w:val="64"/>
        </w:trPr>
        <w:tc>
          <w:tcPr>
            <w:tcW w:w="3180" w:type="dxa"/>
            <w:vAlign w:val="bottom"/>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080" w:type="dxa"/>
            <w:vAlign w:val="bottom"/>
            <w:shd w:val="clear" w:color="auto" w:fill="CCEEFF"/>
          </w:tcPr>
          <w:p>
            <w:pPr>
              <w:jc w:val="right"/>
              <w:ind w:right="40"/>
              <w:spacing w:after="0" w:line="65" w:lineRule="exact"/>
              <w:rPr>
                <w:sz w:val="20"/>
                <w:szCs w:val="20"/>
                <w:color w:val="auto"/>
              </w:rPr>
            </w:pPr>
            <w:r>
              <w:rPr>
                <w:rFonts w:ascii="Times New Roman" w:cs="Times New Roman" w:eastAsia="Times New Roman" w:hAnsi="Times New Roman"/>
                <w:sz w:val="6"/>
                <w:szCs w:val="6"/>
                <w:color w:val="auto"/>
              </w:rPr>
              <w:t>(7,536</w:t>
            </w:r>
          </w:p>
        </w:tc>
        <w:tc>
          <w:tcPr>
            <w:tcW w:w="32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3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(13,217)</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(13,217)</w:t>
            </w: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945</w:t>
            </w:r>
          </w:p>
        </w:tc>
        <w:tc>
          <w:tcPr>
            <w:tcW w:w="0" w:type="dxa"/>
            <w:vAlign w:val="bottom"/>
          </w:tcPr>
          <w:p>
            <w:pPr>
              <w:spacing w:after="0"/>
              <w:rPr>
                <w:sz w:val="1"/>
                <w:szCs w:val="1"/>
                <w:color w:val="auto"/>
              </w:rPr>
            </w:pPr>
          </w:p>
        </w:tc>
      </w:tr>
      <w:tr>
        <w:trPr>
          <w:trHeight w:val="190"/>
        </w:trPr>
        <w:tc>
          <w:tcPr>
            <w:tcW w:w="318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Shares repurchased as part of the Share</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Repurchase Program</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(3,447)</w:t>
            </w: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160"/>
              <w:spacing w:after="0" w:line="190" w:lineRule="exact"/>
              <w:rPr>
                <w:sz w:val="20"/>
                <w:szCs w:val="20"/>
                <w:color w:val="auto"/>
              </w:rPr>
            </w:pPr>
            <w:r>
              <w:rPr>
                <w:rFonts w:ascii="Times New Roman" w:cs="Times New Roman" w:eastAsia="Times New Roman" w:hAnsi="Times New Roman"/>
                <w:sz w:val="17"/>
                <w:szCs w:val="17"/>
                <w:color w:val="auto"/>
              </w:rPr>
              <w:t>Issuance of common stock in exchange for</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consulting services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6"/>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March 31, 2023</w:t>
            </w:r>
          </w:p>
        </w:tc>
        <w:tc>
          <w:tcPr>
            <w:tcW w:w="1040" w:type="dxa"/>
            <w:vAlign w:val="bottom"/>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437,256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(10,983)</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(366,946)</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59,267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43"/>
        </w:trPr>
        <w:tc>
          <w:tcPr>
            <w:tcW w:w="1220" w:type="dxa"/>
            <w:vAlign w:val="bottom"/>
            <w:tcBorders>
              <w:top w:val="single" w:sz="8" w:color="0000EE"/>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ZEVRA THERAPEUTICS, INC.</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700" w:type="dxa"/>
            <w:vAlign w:val="bottom"/>
            <w:gridSpan w:val="2"/>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2"/>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199"/>
        </w:trPr>
        <w:tc>
          <w:tcPr>
            <w:tcW w:w="12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(16,622)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(13,217)</w:t>
            </w: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945</w:t>
            </w:r>
          </w:p>
        </w:tc>
      </w:tr>
      <w:tr>
        <w:trPr>
          <w:trHeight w:val="206"/>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interest expense</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79</w:t>
            </w:r>
          </w:p>
        </w:tc>
      </w:tr>
      <w:tr>
        <w:trPr>
          <w:trHeight w:val="206"/>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Fair value adjustment related to warrant and CVR liability</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1,545</w:t>
            </w: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Fair value adjustment related to investments</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06"/>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Consulting fees paid in common stock</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w:t>
            </w: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Loss (gain) on foreign currency exchange</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Accounts and other receivables</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477</w:t>
            </w:r>
          </w:p>
        </w:tc>
      </w:tr>
      <w:tr>
        <w:trPr>
          <w:trHeight w:val="206"/>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703</w:t>
            </w: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51</w:t>
            </w:r>
          </w:p>
        </w:tc>
      </w:tr>
      <w:tr>
        <w:trPr>
          <w:trHeight w:val="206"/>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80</w:t>
            </w: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3,836</w:t>
            </w:r>
          </w:p>
        </w:tc>
      </w:tr>
      <w:tr>
        <w:trPr>
          <w:trHeight w:val="206"/>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and rebate liability</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1,528</w:t>
            </w:r>
          </w:p>
        </w:tc>
      </w:tr>
      <w:tr>
        <w:trPr>
          <w:trHeight w:val="206"/>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06"/>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liabilities</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429</w:t>
            </w:r>
          </w:p>
        </w:tc>
      </w:tr>
      <w:tr>
        <w:trPr>
          <w:trHeight w:val="199"/>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(16,165)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(4,045)</w:t>
            </w:r>
          </w:p>
        </w:tc>
      </w:tr>
      <w:tr>
        <w:trPr>
          <w:trHeight w:val="199"/>
        </w:trPr>
        <w:tc>
          <w:tcPr>
            <w:tcW w:w="1220" w:type="dxa"/>
            <w:vAlign w:val="bottom"/>
            <w:shd w:val="clear" w:color="auto" w:fill="CCEEFF"/>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Maturities (purchases) of investments</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14,793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(17,526)</w:t>
            </w:r>
          </w:p>
        </w:tc>
      </w:tr>
      <w:tr>
        <w:trPr>
          <w:trHeight w:val="19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14,793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(17,555)</w:t>
            </w:r>
          </w:p>
        </w:tc>
      </w:tr>
      <w:tr>
        <w:trPr>
          <w:trHeight w:val="199"/>
        </w:trPr>
        <w:tc>
          <w:tcPr>
            <w:tcW w:w="12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debt</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12,914</w:t>
            </w: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debt</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(12,800)</w:t>
            </w: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Payments to repurchase shares as part of the Share Repurchase Program</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(3,447)</w:t>
            </w: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stock</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principal on insurance financing arrangements</w:t>
            </w:r>
          </w:p>
        </w:tc>
        <w:tc>
          <w:tcPr>
            <w:tcW w:w="92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0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principal on finance lease liabilities</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99"/>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(3,750)</w:t>
            </w:r>
          </w:p>
        </w:tc>
      </w:tr>
      <w:tr>
        <w:trPr>
          <w:trHeight w:val="19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w:t>
            </w: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(25,285)</w:t>
            </w:r>
          </w:p>
        </w:tc>
      </w:tr>
      <w:tr>
        <w:trPr>
          <w:trHeight w:val="20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43,049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65,466</w:t>
            </w:r>
          </w:p>
        </w:tc>
      </w:tr>
      <w:tr>
        <w:trPr>
          <w:trHeight w:val="199"/>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42,849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40,181</w:t>
            </w:r>
          </w:p>
        </w:tc>
      </w:tr>
      <w:tr>
        <w:trPr>
          <w:trHeight w:val="20"/>
        </w:trPr>
        <w:tc>
          <w:tcPr>
            <w:tcW w:w="12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1220" w:type="dxa"/>
            <w:vAlign w:val="bottom"/>
            <w:shd w:val="clear" w:color="auto" w:fill="CCEEFF"/>
          </w:tcPr>
          <w:p>
            <w:pPr>
              <w:spacing w:after="0"/>
              <w:rPr>
                <w:sz w:val="16"/>
                <w:szCs w:val="16"/>
                <w:color w:val="auto"/>
              </w:rPr>
            </w:pPr>
          </w:p>
        </w:tc>
        <w:tc>
          <w:tcPr>
            <w:tcW w:w="6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68</w:t>
            </w: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accrued in connection with the Credit Agreement (Note D)</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ind w:left="480" w:hanging="457"/>
        <w:spacing w:after="0"/>
        <w:tabs>
          <w:tab w:leader="none" w:pos="4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Basis of Presentation, and Significant Transactions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23" w:lineRule="exact"/>
        <w:rPr>
          <w:sz w:val="20"/>
          <w:szCs w:val="20"/>
          <w:color w:val="auto"/>
        </w:rPr>
      </w:pPr>
    </w:p>
    <w:p>
      <w:pPr>
        <w:jc w:val="both"/>
        <w:ind w:left="20"/>
        <w:spacing w:after="0"/>
        <w:rPr>
          <w:sz w:val="20"/>
          <w:szCs w:val="20"/>
          <w:color w:val="auto"/>
        </w:rPr>
      </w:pPr>
      <w:r>
        <w:rPr>
          <w:rFonts w:ascii="Times New Roman" w:cs="Times New Roman" w:eastAsia="Times New Roman" w:hAnsi="Times New Roman"/>
          <w:sz w:val="17"/>
          <w:szCs w:val="17"/>
          <w:color w:val="auto"/>
        </w:rPr>
        <w:t>Zevra Therapeutics, Inc. (the "Company") is a rare disease company combining science, data and patient needs to create transformational therapies for diseases with limited or no treatment options. The Company has a diverse portfolio of products and product candidates, which includes preclinical development programs, clinical stage pipeline and commercial stage assets. The Company’s pipeline includes arimoclomol, an orally-delivered, first-in-class investigational product candidate being developed for Niemann-Pick disease type C (“NPC”), which has been granted orphan drug designation, Fast-track designation, Breakthrough Therapy designation and rare pediatric disease designation for the treatment of NPC by the U.S. Food and Drug Administration ("FDA") and orphan medical product designation for the treatment of NPC by the European Medicines Agency ("EMA"). The arimoclomol NDA for NPC was resubmitted to the FDA on December 21, 2023, and has been assigned a PDUFA date of September 21, 2024. KP1077 is the Company's lead clinical development product candidate which is being developed as a treatment for idiopathic hypersomnia ("IH"), a rare neurological sleep disorder, and narcolepsy. KP1077 is comprised solely of serdexmethylphenidate (“SDX”), the Company's proprietary prodrug of d-methylphenidate ("d-MPH"). The FDA has granted KP1077 orphan drug designation for the treatment of IH. OLPRUVA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(sodium phenylbutyrate) for oral suspension is approved by the FDA for the treatment of urea cycle disorders ("UCDs"). The Company also has a pipeline of investigational product candidates, including celiprolol for the treatment of vascular Ehlers-Danlos syndrome in patients with a confirmed type III collagen mutation.</w:t>
      </w:r>
    </w:p>
    <w:p>
      <w:pPr>
        <w:spacing w:after="0" w:line="200" w:lineRule="exact"/>
        <w:rPr>
          <w:sz w:val="20"/>
          <w:szCs w:val="20"/>
          <w:color w:val="auto"/>
        </w:rPr>
      </w:pPr>
    </w:p>
    <w:p>
      <w:pPr>
        <w:spacing w:after="0" w:line="205"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The Company changed its name from KemPharm, Inc. to Zevra Therapeutics, Inc. effective as of February 21, 2023. On March 1, 2023, following its name change, the Company's common stock began trading on the Nasdaq Global Select Market under the ticker symbol "ZVRA".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22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on a going concern basis, which contemplates the realization of assets and the satisfaction of liabilities in the normal course of business. During the three months ended March 31, 2024, and 2023, the Company incurred a net loss of $16.6 million and $13.2 million, respectively, and as of March 31, 2024, has an accumulated deficit of $416.4 million. The Company has sustained operating losses for the majority of its corporate history and expects to continue to incur operating losses and negative operating cash flows until revenues reach a level sufficient to support ongoing operations.</w:t>
      </w:r>
    </w:p>
    <w:p>
      <w:pPr>
        <w:spacing w:after="0" w:line="17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The Company’s ability to continue operating as a going concern is contingent upon its ability to generate revenue from approved products or obtain product candidate regulatory approvals, which would generate revenue, milestones, and cash flow sufficient to support ongoing operations and the satisfaction of financial covenants. These factors raise substantial doubt as to the Company’s ability to continue as a going concern for at least one year from the date the unaudited condensed consolidated financial statements are being issued. The unaudited condensed consolidated financial statements do not include any adjustments that might result from the outcome of these uncertainties.</w:t>
      </w:r>
    </w:p>
    <w:p>
      <w:pPr>
        <w:spacing w:after="0" w:line="175"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The Company's liquidity needs will be largely determined by the success of operations through the progression of its products and product candidates in the future. The Company also may consider other sources to fund operations including: (1) out-licensing rights to certain of its technologies and product candidates, pursuant to which the Company would receive cash royalties and milestones; (2) raising additional capital through equity or debt financings or from other sources;</w:t>
      </w:r>
    </w:p>
    <w:p>
      <w:pPr>
        <w:jc w:val="both"/>
        <w:ind w:left="20" w:firstLine="3"/>
        <w:spacing w:after="0" w:line="256" w:lineRule="auto"/>
        <w:tabs>
          <w:tab w:leader="none" w:pos="26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product candidate regulatory approvals, which would generate revenue, milestones and cash flow; (4) reducing spending on one or more research and development programs, including by discontinuing development; and/or (5) restructuring operations to change its overhead structure. The Company is in the early stages of its commercialization effort for OLPRUVA and does not yet have a substantial basis to project future earnings, and its other sources of revenue are not sufficient to sustain its present activities on their own. Accordingly, the Company's ability to continue as a going concern may require it to obtain additional financing to fund its operations.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3"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The Company prepared the unaudited condensed consolidated financial statements in accordance with U.S. GAAP and the rules and regulations of the Securities and Exchange Commission ("SEC") and, in the Company's opinion, reflect all adjustments, including normal recurring items that are necessary.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w:t>
      </w:r>
    </w:p>
    <w:p>
      <w:pPr>
        <w:spacing w:after="0" w:line="223"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On August 30, 2023, the Company and Aspen Z Merger Sub, Inc., a wholly-owned subsidiary of Zevra (“Merger Sub”), entered into an Agreement and Plan of Merger (the “Merger Agreement”) with Acer Therapeutics Inc. (“Acer”), a pharmaceutical company focused on development and commercialization of therapies for rare and life-threatening diseases. On November 17, 2023 (the "Closing Date"), the Company completed the acquisition of Acer. Pursuant to the Merger Agreement, on the Closing Date, Merger Sub was merged with and into Acer (the "Merger"), with Acer continuing as the surviving entity and as a wholly-owned subsidiary of Zevra. In connection therewith, Zevra also purchased Acer’s secured debt from Nantahala Capital Management, LLC ("NCM”), certain of its affiliates and certain other parties (collectively with NCM, “Nantahala”) through a series of transactions and Zevra agreed to provide Acer with a bridge loan facility for up to $18.0 million ("Bridge Loan"), subject to certain terms and conditions. The Merger expanded Zevra's rare disease portfolio, as well as increased and diversified its revenues with the addition of a U.S. commercial asset, OLPRUVA, indicated for the treatment of UCDs. See Note L for further discussion related to the Merger.</w:t>
      </w:r>
    </w:p>
    <w:p>
      <w:pPr>
        <w:sectPr>
          <w:pgSz w:w="11900" w:h="16838" w:orient="portrait"/>
          <w:cols w:equalWidth="0" w:num="1">
            <w:col w:w="11260"/>
          </w:cols>
          <w:pgMar w:left="300" w:top="12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to Registration Statement on Form S-3</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Merger, Zevra and Nantahala concurrently entered into a registration rights agreement, pursuant to which Zevra agreed to file a resale registration statement with respect to the resale of the Zevra common stock issuable to Nantahala. On February 5, 2024, Zevra filed a registration statement on Form S-3 (File No. 333-276856) registering an aggregate of 2,269,721 shares of Zevra’s common stock.</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5, 2024, we filed an amendment to the registration statement on Form S-3 (File No. 333-250945) covering the issuance of the shares of our common stock issuable upon the exercise of warrants issued in connection with the Merger (Note L) and remaining unexercised as of the date of the amendment, which was declared effective on April 8,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Entry into 2021 ATM Agreement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March 31, 2024, no shares have been issued or sold under the 2021 ATM Agreement.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December 20, 2021, the Company initiated a share repurchase program (the "Share Repurchase Program") pursuant to which the Company was able to repurchase up to $50 million of shares of its common stock through December 31, 2023. On December 31, 2023, the Share Repurchase Program ended, and the Company had repurchased 1,575,692 shares of its common stock for approximately $11.0 million.</w:t>
      </w:r>
    </w:p>
    <w:p>
      <w:pPr>
        <w:spacing w:after="0" w:line="393" w:lineRule="exact"/>
        <w:rPr>
          <w:sz w:val="20"/>
          <w:szCs w:val="20"/>
          <w:color w:val="auto"/>
        </w:rPr>
      </w:pPr>
    </w:p>
    <w:p>
      <w:pPr>
        <w:ind w:left="460" w:hanging="457"/>
        <w:spacing w:after="0"/>
        <w:tabs>
          <w:tab w:leader="none" w:pos="4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investments and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223"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 xml:space="preserve">The Company maintains investment securities that are classified as available-for-sale securities for which the Company has elected the fair value option under ASC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("ASC 825"). As such, these securities are carried at fair value with unrealized gains and losses included in fair value adjustment related to investments on the unaudited condensed consolidated statements of operations. The securities primarily consist of U.S. Treasury securities and are included in securities at fair value in the unaudited condensed consolidated balance sheets. As of March 31, 2024, and December 31, 2023, the Company held securities with an aggregate fair value of $9.9 million and $24.7 million, respectively, that contained aggregate unrealized (losses) gainsof approximately ($0.1) million and $0.2 million, respectively. Applying fair value accounting to these debt securities more accurately represents the Company's investment strategy due to the fact that excess cash is currently being invested for the purpose of funding future operations.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7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are deemed to have the power to direct the activities of a VIE.</w:t>
      </w:r>
    </w:p>
    <w:p>
      <w:pPr>
        <w:spacing w:after="0" w:line="175"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5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This assessment requires judgement in determining whether these interests, in the aggregate, are considered potentially significant to the VIE. As of March 31, 2024, and December 31, 2023, the Company identified Acer to be the Company's sole interest in a VIE (Note L).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74295</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9" w:lineRule="exact"/>
        <w:rPr>
          <w:sz w:val="20"/>
          <w:szCs w:val="20"/>
          <w:color w:val="auto"/>
        </w:rPr>
      </w:pPr>
    </w:p>
    <w:p>
      <w:pPr>
        <w:jc w:val="both"/>
        <w:ind w:left="20"/>
        <w:spacing w:after="0" w:line="272"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and, as a result, follows the five-step model when recognizing revenue: 1) identifying a contract; 2) identifying the performance obligations; 3) determining the transaction price; 4) allocating the price to performance obligations; and 5) recognizing revenue when the performance obligations have been fulfilled.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Licensing Agreements</w:t>
      </w:r>
    </w:p>
    <w:p>
      <w:pPr>
        <w:spacing w:after="0" w:line="221"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7"/>
          <w:szCs w:val="17"/>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36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7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Up-front Fees: </w:t>
      </w:r>
      <w:r>
        <w:rPr>
          <w:rFonts w:ascii="Times New Roman" w:cs="Times New Roman" w:eastAsia="Times New Roman" w:hAnsi="Times New Roman"/>
          <w:sz w:val="17"/>
          <w:szCs w:val="17"/>
          <w:color w:val="auto"/>
        </w:rPr>
        <w:t>If a license to the Company’s intellectual property is determined to be distinct from the other performance obligations identified in the arrangement,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6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milestone payments (variable consideration), the Company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Product Revenues, Net</w:t>
      </w:r>
    </w:p>
    <w:p>
      <w:pPr>
        <w:spacing w:after="0" w:line="221" w:lineRule="exact"/>
        <w:rPr>
          <w:sz w:val="20"/>
          <w:szCs w:val="20"/>
          <w:color w:val="auto"/>
        </w:rPr>
      </w:pPr>
    </w:p>
    <w:p>
      <w:pPr>
        <w:ind w:left="20" w:right="300"/>
        <w:spacing w:after="0" w:line="287" w:lineRule="auto"/>
        <w:rPr>
          <w:sz w:val="20"/>
          <w:szCs w:val="20"/>
          <w:color w:val="auto"/>
        </w:rPr>
      </w:pPr>
      <w:r>
        <w:rPr>
          <w:rFonts w:ascii="Times New Roman" w:cs="Times New Roman" w:eastAsia="Times New Roman" w:hAnsi="Times New Roman"/>
          <w:sz w:val="17"/>
          <w:szCs w:val="17"/>
          <w:color w:val="auto"/>
        </w:rPr>
        <w:t>Net revenues from product sales is recognized at the transaction price when the customer obtains control of the Company's products, which occurs at a point in time, typically upon receipt of the product by the customer.</w:t>
      </w:r>
    </w:p>
    <w:p>
      <w:pPr>
        <w:spacing w:after="0" w:line="15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remining in the distribution channel, as well as expectations about the market for the product and anticipated introduction of competitive products.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23"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The value of inventory is recorded at its net realizable value. The Company determines the cost of its other inventories, which includes amounts related to materials and manufacturing overhead, on a first-in, first-out basis.</w:t>
      </w:r>
    </w:p>
    <w:p>
      <w:pPr>
        <w:spacing w:after="0" w:line="15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 that have not received final regulatory approval when the Company believes such action is appropriate in relation to the commercial value of the product launch opportunity. Inventory manufactured prior to regulatory approval is recorded as research and development expense until regulatory approval for the product is obtained.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March 31, 2024, and December 31, 2023, the Company did not have pre-launch inventory that qualified for capitalization.</w:t>
      </w:r>
    </w:p>
    <w:p>
      <w:pPr>
        <w:spacing w:after="0" w:line="17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sales in the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the Company’s product is subject to strict quality control and monitoring that it performs throughout the manufacturing process. In the event that certain batches or units of product do not meet quality specifications, the Company will record a charge to cost of product sales, to write-down any unmarketable inventory to its estimated net realizable value.</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22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Assets and liabilities are translated into the reporting currency using the exchange rates in effect on the unaudited consolidated condensed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unaudited condensed consolidated statements of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2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The Company accounts for warrants as either equity-classified or liability-classified instruments based on an assessment of the warrant’s specific terms and applicable authoritative guidance in FASB ASC Topic 480, Distinguishing Liabilities from Equity (ASC 480) and FASB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For warrants that meet all criteria for equity classification, the warrants are required to be recorded as a component of additional paid-in capital, on the unaudited condensed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 of operations. The fair value of the warrants was estimated using the Black-Scholes option pricing model.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 Not Yet Adopted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Reporting (Topic 280): Improvements to Reportable Segment Disclosures</w:t>
      </w:r>
    </w:p>
    <w:p>
      <w:pPr>
        <w:spacing w:after="0" w:line="221"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The Company is currently evaluating the impact that this guidance will have on the presentation of its consolidated financial statements and accompanying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 (Topic 740): Improvements to Income Tax Disclosures</w:t>
      </w:r>
    </w:p>
    <w:p>
      <w:pPr>
        <w:spacing w:after="0" w:line="22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ASU 2023- 09,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consolidated financial statements and accompanying notes.</w:t>
      </w:r>
    </w:p>
    <w:p>
      <w:pPr>
        <w:sectPr>
          <w:pgSz w:w="11900" w:h="16838" w:orient="portrait"/>
          <w:cols w:equalWidth="0" w:num="1">
            <w:col w:w="11260"/>
          </w:cols>
          <w:pgMar w:left="300" w:top="123"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620" w:hanging="617"/>
        <w:spacing w:after="0"/>
        <w:tabs>
          <w:tab w:leader="none" w:pos="6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4,044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Work in progress</w:t>
            </w:r>
          </w:p>
        </w:tc>
        <w:tc>
          <w:tcPr>
            <w:tcW w:w="2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3,309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Total inventory</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12,426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9,841</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w:t>
            </w:r>
          </w:p>
        </w:tc>
        <w:tc>
          <w:tcPr>
            <w:tcW w:w="6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Debt Obligations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20" w:type="dxa"/>
            <w:vAlign w:val="bottom"/>
            <w:vMerge w:val="continue"/>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Secured Promissory Note</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Merger (Note L), on August 30, 2023, the Company and Nantahala, entered into a secured promissory note payable by Zevra to Nantahala in the original principal amount of $5.0 million (the "Nantahala Note"). The Nantahala Note initially bore interest at 9.0% per annum, payable quarterly in arrears in cash. The interest rate increased to 12.0% per annum effective March 1, 2024, as the Nantahala Note remained unpaid six months from its issue date. The additional 3.0% interest would have been paid in shares of Zevra's common stock based on the volume weighted average trading price ("VWAP") of Zevra's common stock during the twenty consecutive trading days ending on the date before such interest payment date. Beginning on the first interest payment date following the second anniversary of the Nantahala Note, and on each interest payment date thereafter, Zevra was required to make $0.6 million amortization payments on the Nantahala Note until it was paid in full. All principal and unpaid interest on the Nantahala Note would have been due on August 30, 2026, the third anniversary of the Nantahala Note. Zevra was entitled to prepay the Nantahala Note at any time without penalty. The Nantahala Note was secured by Zevra’s interest in (i) the loan assets under the Loan Purchase Agreement described in Note L; (ii) the note assets under the Note Purchase Agreement described in Note L;</w:t>
      </w:r>
    </w:p>
    <w:p>
      <w:pPr>
        <w:spacing w:after="0" w:line="4" w:lineRule="exact"/>
        <w:rPr>
          <w:sz w:val="20"/>
          <w:szCs w:val="20"/>
          <w:color w:val="auto"/>
        </w:rPr>
      </w:pPr>
    </w:p>
    <w:p>
      <w:pPr>
        <w:jc w:val="both"/>
        <w:ind w:firstLine="3"/>
        <w:spacing w:after="0" w:line="255" w:lineRule="auto"/>
        <w:tabs>
          <w:tab w:leader="none" w:pos="30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Bridge Loan described in Note L; and (iv) the proceeds therefrom. The Company used the proceeds from the Nantahala Note, along with $12.0 million in cash and 98,683 shares of Zevra's common stock, to acquire Acer's term loans, as more fully described in Note L. In April 2024, the Nantahala Note was repaid in full and terminated. At the time of repayment, Nantahala elected to receive a cash payment in lieu of shares of Zevra's common stock in exchange for the additional 3.0% interest accrued for the period from March 1, 2024, through April 5, 2024. The outstanding balance under the Nantahala Note is included in long-term liabilities as of March 31, 2024, as it was refinanced with long-term debt after the balance sheet date, but prior to issuance of the unaudited condensed consolidated financial statements.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2024, and December 31, 2023, the Company had a secured promissory note outstanding, in the aggregate principal amount, as follows (in thousands):</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58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5840" w:type="dxa"/>
            <w:vAlign w:val="bottom"/>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Secured promissory note</w:t>
            </w:r>
          </w:p>
        </w:tc>
        <w:tc>
          <w:tcPr>
            <w:tcW w:w="116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5,000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Unamortized original issue premium</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0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debt issuance costs</w:t>
            </w:r>
          </w:p>
        </w:tc>
        <w:tc>
          <w:tcPr>
            <w:tcW w:w="1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19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Secured promissory note, net</w:t>
            </w:r>
          </w:p>
        </w:tc>
        <w:tc>
          <w:tcPr>
            <w:tcW w:w="116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5,059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5,066</w:t>
            </w:r>
          </w:p>
        </w:tc>
      </w:tr>
      <w:tr>
        <w:trPr>
          <w:trHeight w:val="20"/>
        </w:trPr>
        <w:tc>
          <w:tcPr>
            <w:tcW w:w="5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principal payments under the secured promissory note as of March 31, 2024, were as follows (in thousands):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227"/>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r>
      <w:tr>
        <w:trPr>
          <w:trHeight w:val="206"/>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3,800</w:t>
            </w:r>
          </w:p>
        </w:tc>
      </w:tr>
      <w:tr>
        <w:trPr>
          <w:trHeight w:val="19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minimum payments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06"/>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Plus: unamortized debt premium and debt issuance costs</w:t>
            </w: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39"/>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Secured promissory note, net</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Line of Credit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January 26, 2023, the Company and Wells Fargo, as lender, entered into a revolving margin account agreement. The Company's investments are used as collateral for the loan and the amount the Company is able to borrow is limited to 80-90% of its outstanding investment balance held with Wells Fargo. The margin account bore interest at the Prime rate minus 225 basis-points. As of March 31, 2024, and December 31, 2023, $37.9 million and $37.7 million was outstanding under the margin account, respectively. In April 2024, the Company repaid the outstanding balance under the margin account with Wells Fargo, and upon such repayment, the margin capabilities were removed from the account. The outstanding balance under the margin account is included in long-term liabilities as of March 31, 2024, as it was refinanced with long-term debt after the balance sheet date, but prior to issuance of the unaudited condensed consolidated financial statements. As of March 31, 2024, the remaining borrowing capacity under the margin account was approximately $3.8 million.</w:t>
      </w:r>
    </w:p>
    <w:p>
      <w:pPr>
        <w:sectPr>
          <w:pgSz w:w="11900" w:h="16838" w:orient="portrait"/>
          <w:cols w:equalWidth="0" w:num="1">
            <w:col w:w="11240"/>
          </w:cols>
          <w:pgMar w:left="320" w:top="123"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subsequent event, 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is available to the Company in up to two drawings, each in an amount not to exceed $10.0 million, at the Company’s option until 18 months following the Term Loans Closing Date; and (iii) $20.0 million which is available to the Company upon approval by the FDA of the NDA for arimoclomol for the treatment of NPC, at the Company’s option until December 31, 2024 (collectively, the “Term Loans”).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principal amount of the Term Loans outstanding (the “Outstanding Principal Amount”) will bear interest at a rate equal to 3-Month Term SOFR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7.00% per annum. If the net product sales for the calendar year ending December 31, 2025, exceed $100.0 million, the Outstanding Principal Amount will bear interest at 3-Month Term SOFR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6.50% per annum. In all cases, the 3-Month Term SOFR rate will be subject to a floor of 4.00% per annum. Interest will be payable quarterly in arrears on the last day of each calendar quarter. The Company has the option to pay up to 25% of the interest in-kind beginning on the Term Loans Closing Date, through and including March 31, 2026. The Term Loans will mature on the fifth anniversary of the Term Loans Closing Date. In connection with the Credit Agreement, the Company incurred approximately $1.7 million of costs, which primarily consisted of underwriting, legal and other professional fees, and is included in other long-term assets in the unaudited condensed consolidated balance sheet as of March 31,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by the Company, which among other things, will require the Company to provide certain financial reports to the Lenders, meet certain minimum net product sales amounts, and limit the ability of the Company to incur or guarantee additional indebtedness, engage in certain transactions, and effect a consolidation or merger, without consent.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current and future assets of the Company. The proceeds of the Term Loans shall be used to refinance certain existing indebtedness of the Company and its subsidiaries. The Company will use the remaining proceeds to pay fees and expenses related to the Debt Financing and fund the development and commercialization of OLPRUVA and arimoclomol.</w:t>
      </w:r>
    </w:p>
    <w:p>
      <w:pPr>
        <w:spacing w:after="0" w:line="200" w:lineRule="exact"/>
        <w:rPr>
          <w:sz w:val="20"/>
          <w:szCs w:val="20"/>
          <w:color w:val="auto"/>
        </w:rPr>
      </w:pPr>
    </w:p>
    <w:p>
      <w:pPr>
        <w:spacing w:after="0" w:line="203" w:lineRule="exact"/>
        <w:rPr>
          <w:sz w:val="20"/>
          <w:szCs w:val="20"/>
          <w:color w:val="auto"/>
        </w:rPr>
      </w:pPr>
    </w:p>
    <w:p>
      <w:pPr>
        <w:ind w:left="460" w:hanging="457"/>
        <w:spacing w:after="0"/>
        <w:tabs>
          <w:tab w:leader="none" w:pos="46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net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Licensing Agreements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AZSTARYS License Agreement</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entered into a Collaboration and License Agreement (the “AZSTARYS License Agreement”) with Commave Therapeutics SA ("Commave"), an affiliate of GPC.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CNS disorder. Corium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months ended March 31, 2024, and 2023, the Company recognized $1.2 million and $0.6 million of revenue under the AZSTARYS License Agreement., respectively, primarily related to royalties. There was no deferred revenue related to this agreement as of March 31, 2024, or December 31, 2023.</w:t>
      </w:r>
    </w:p>
    <w:p>
      <w:pPr>
        <w:spacing w:after="0" w:line="20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accordance with the terms of the Company’s Termination Agreement with Aquestive Therapeutics dated March 20, 2012, Aquestive Therapeutics ("Aquestive") has the right to receive an amount equal to 10% of any royalty or milestone payments made to the Company related to AZSTARYS or KP1077 under the AZSTARYS License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Relief Exclusive License Agreement</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condition to entering into the Merger Agreement, Acer and Relief Therapeutics, Inc. ("Relief") entered into an exclusive license agreement on August 30, 2023 (the “Relief License Agreement”). Pursuant to the Relief License Agreement, Relief will hold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The Company will have the right to receive a royalty of up to 10.0% of the net sales of OLPRUVA in Geographical Europe. For the three months ended March 31, 2024, the Company did not recognize any revenue under the Relief License Agreement. There was no deferred revenue related to this agreement as of March 31, 2024, and December 31, 2023. For further discussion of the Relief License Agreement, see Note L.</w:t>
      </w:r>
    </w:p>
    <w:p>
      <w:pPr>
        <w:sectPr>
          <w:pgSz w:w="11900" w:h="16838" w:orient="portrait"/>
          <w:cols w:equalWidth="0" w:num="1">
            <w:col w:w="11240"/>
          </w:cols>
          <w:pgMar w:left="320" w:top="123" w:right="339" w:bottom="212"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212"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Revenues, Net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Arimoclomol Expanded Access Program</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revenue includes revenue from the sale of arimoclomol for the treatment of NPC under the remunerated expanded access compassionate use program in France (“French nATU”). An expanded access compassionate use program is a program giving specific patients access to a drug, which is not yet approved for commercial sale. Only drugs targeting serious or rare indications and for which there is currently no appropriate treatment are considered for expanded access compassionate use programs. Further, to be considered for the expanded access compassionate use program, the drug must have proven efficacy and safety and must either be undergoing price negotiations or seeking marketing approval.</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accordance with ASC 606, the Company recognizes revenue when fulfilling its performance obligation under the Arimoclomol Expanded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the customer acceptance has been received. Revenue is recognized net of sales deductions, including discounts, rebates, applicable distributor fees, and revenue-based taxes.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French Health Authorities and the manufacturer have agreed to a price for sales during the French nATU, but the final transaction price depends on the terms and conditions in the contracts with the French Health Authorities and is subject to price negotiations with the French Health Authorities, following market approval. Any excess in the price charged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the three months ended March 31, 2024, the Company recognized revenue related to the Arimoclomol EAP in France of $2.2 million, which is net of a clawback liability of $1.3 million, and other gross to net adjustments. For the three months ended March 31, 2023, the Company recognized revenue related to the Arimoclomol EAP in France of $2.0 million, which is net of a clawback liability of $1.3 million, and other gross to net adjustments. The total estimated reserve liability as of March 31, 2024, and December 31, 2023, wa s $13.2 million and $12.2 million, respectively. As of March 31, 2024, and December 31, 2023,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OLPRUVA Product Sales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December 27, 2022, the FDA approved OLPRUVA (sodium phenylbutyrate), a prescription medicine used along with certain therapy, including changes in diet, for the long-term management of adults and children with UCDs weighing 44 pounds (20 kg) or greater and with a body surface area of 1.2m2 or greater. On November 17, 2023, the Company acquired OLPRUVA in connection with the Merger (Note L). To commercialize OLPRUVA for oral suspension in the U.S. the Company is building marketing, sales, medical affairs, distribution, managerial and other non-technical capabilities or making arrangements with third parties to perform these services. The Company's current distributor for sales of OLPRUVA is a single specialty pharmacy provider. However, the Company intends to establish additional distributors such as other retail pharmacies and certain medical centers or hospitals. In addition to distribution agreements, the Company enters into arrangements with health care providers and payors that provide for government mandated and/or privately negotiated rebates with respect to the purchase of its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March 31, 2024, and 2023, sales of OLPRUVA were de minimis due to limited shipments to our specialty pharmacy in Q1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and Other Receivables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Accounts and other receivables consist of receivables from product sales, receivables under the AZSTARYS License Agreement and Arimoclomol EAP, as well as income tax receivables and other receivables due to the Company. Receivables under the AZSTARYS License Agreement are recorded for amounts due to the Company related to reimbursable third-party costs and royalties on product sales. Receivables under the Arimoclomol EAP are recorded for product sales under the French nATU. These receivables are evaluated to determine if any reserve or allowance should be established at each reporting date. As of March 31, 2024, the Company had receivables related to the Arimoclomol EAP of $4.8 million, AZSTARYS License Agreement of $1.2 million, income tax receivables of $0.1 million and other receivables of $2.2 million. As of December 31, 2023, the Company had receivables related to the Arimoclomol EAP of $4.7 million, AZSTARYS License Agreement of $11.4 million, and other receivables of $1.3 million. As of March 31, 2024, and December 31, 2023, no reserve or allowance for doubtful accounts had been established.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80" w:hanging="457"/>
        <w:spacing w:after="0"/>
        <w:tabs>
          <w:tab w:leader="none" w:pos="4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 Litigation Related to the Merger</w:t>
      </w:r>
    </w:p>
    <w:p>
      <w:pPr>
        <w:spacing w:after="0" w:line="22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On October 12, 2023, Brodsky &amp; Smith, purporting to act as counsel for Jerry Beavee, who was asserted to be a stockholder of Acer, filed a complaint entitled Jerry Beavee v. Acer Therapeutics Inc., et al., No. 1:23-cv-08995 in the United States District Court for the Southern District of New York (the "Action") alleging that defendants violated Section 14(a) and 20(a) of the Securities Exchange Act of 1934 by filing the Preliminary Merger Registration Statement which allegedly omitted certain information that such counsel asserts is material to Acer’s required disclosure. On October 30, 2023, Acer filed with the SEC a Schedule DEF14A that contained additional information regarding the Merger, which mooted the disclosure claims alleged in the Action. On December 8, 2023, Jerry Beavee filed with the court a notice of dismissal of the Action without prejudice.</w:t>
      </w:r>
    </w:p>
    <w:p>
      <w:pPr>
        <w:spacing w:after="0" w:line="17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On October 20, 2023, Long Law, LLC and Acocelli Law, PLLC, purporting to act as counsel for Kevin Turner, who was asserted to be a stockholder of Acer, filed a complaint entitled Kevin Turner v. Acer Therapeutics Inc., et al., No. 1:23-cv-01185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Acer’s required disclosure. The complaint prays that, if asserted omissions are not adequately corrected, then Turner will seek to enjoin Acer from holding a stockholder meeting to approve the Merger and, if the Merger closes, will seek to rescind it and seek an award of damages.</w:t>
      </w:r>
    </w:p>
    <w:p>
      <w:pPr>
        <w:spacing w:after="0" w:line="17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On October 20, 2023, Long Law, LLC, purporting to act as counsel for Matthew Jones, who was asserted to be a stockholder of Acer, filed a complaint entitled Matthew Jones v. Acer Therapeutics Inc., et al., No. 1:23-cv-01186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the Acer’s required disclosure. The complaint prays that, if asserted omissions are not adequately corrected, then Jones will seek to enjoin Acer from holding a stockholder meeting to approve the Merger and, if the Merger closes, will seek to rescind it and seek an award of damages.</w:t>
      </w:r>
    </w:p>
    <w:p>
      <w:pPr>
        <w:spacing w:after="0" w:line="17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As of March 31, 2024, and December 31, 2023, no accruals have been made related to commitments and contingencies. The Company intends to vigorously defend these lawsuits and believes that it has meritorious defenses to each. However, litigation is inherently uncertain, and any judgment or injunctive relief entered against the Company or any adverse settlement could adversely affect the Company’s business, results of operations and financial condition.</w:t>
      </w:r>
    </w:p>
    <w:p>
      <w:pPr>
        <w:spacing w:after="0" w:line="393" w:lineRule="exact"/>
        <w:rPr>
          <w:sz w:val="20"/>
          <w:szCs w:val="20"/>
          <w:color w:val="auto"/>
        </w:rPr>
      </w:pPr>
    </w:p>
    <w:p>
      <w:pPr>
        <w:ind w:left="480" w:hanging="457"/>
        <w:spacing w:after="0"/>
        <w:tabs>
          <w:tab w:leader="none" w:pos="4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and Warrants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Authorized, Issued, and Outstanding Common Shares</w:t>
      </w:r>
    </w:p>
    <w:p>
      <w:pPr>
        <w:spacing w:after="0" w:line="22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As of March 31, 2024, and December 31, 2023, the Company had authorized shares of common stock of 250,000,000 shares. Of the authorized shares, 43,426,186 and 43,110,360 shares of common stock were issued as of March 31, 2024, and December 31, 2023, respectively, and 41,850,494 and 41,534,668 shares of common stock were outstanding as of March 31, 2024, and December 31, 2023, respectively.</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 of March 31, 2024 and December 31, 2023, the Company had reserved authorized shares of common stock for future issuance as follows: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1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9"/>
        </w:trPr>
        <w:tc>
          <w:tcPr>
            <w:tcW w:w="11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awards under equity incentive plans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9,324,407</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8,023,142</w:t>
            </w:r>
          </w:p>
        </w:tc>
      </w:tr>
      <w:tr>
        <w:trPr>
          <w:trHeight w:val="206"/>
        </w:trPr>
        <w:tc>
          <w:tcPr>
            <w:tcW w:w="11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common stock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5,603,729</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5,603,729</w:t>
            </w:r>
          </w:p>
        </w:tc>
      </w:tr>
      <w:tr>
        <w:trPr>
          <w:trHeight w:val="206"/>
        </w:trPr>
        <w:tc>
          <w:tcPr>
            <w:tcW w:w="11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Possible future issuances under equity incentive plans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4,366,537</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1,728,885</w:t>
            </w:r>
          </w:p>
        </w:tc>
      </w:tr>
      <w:tr>
        <w:trPr>
          <w:trHeight w:val="219"/>
        </w:trPr>
        <w:tc>
          <w:tcPr>
            <w:tcW w:w="11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Possible future issuances under employee stock purchase plans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1,340,172</w:t>
            </w:r>
          </w:p>
        </w:tc>
        <w:tc>
          <w:tcPr>
            <w:tcW w:w="80" w:type="dxa"/>
            <w:vAlign w:val="bottom"/>
            <w:gridSpan w:val="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1,340,172</w:t>
            </w:r>
          </w:p>
        </w:tc>
      </w:tr>
      <w:tr>
        <w:trPr>
          <w:trHeight w:val="239"/>
        </w:trPr>
        <w:tc>
          <w:tcPr>
            <w:tcW w:w="112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common shares reserved for future issuance</w:t>
            </w: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20,634,845</w:t>
            </w: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16,695,928</w:t>
            </w:r>
          </w:p>
        </w:tc>
      </w:tr>
      <w:tr>
        <w:trPr>
          <w:trHeight w:val="392"/>
        </w:trPr>
        <w:tc>
          <w:tcPr>
            <w:tcW w:w="6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Activity</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3"/>
        </w:trPr>
        <w:tc>
          <w:tcPr>
            <w:tcW w:w="6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common stock activity for the three months ended March 31, 2024:</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2"/>
        </w:trPr>
        <w:tc>
          <w:tcPr>
            <w:tcW w:w="11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Shares of Common</w:t>
            </w:r>
          </w:p>
        </w:tc>
      </w:tr>
      <w:tr>
        <w:trPr>
          <w:trHeight w:val="227"/>
        </w:trPr>
        <w:tc>
          <w:tcPr>
            <w:tcW w:w="11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Stock</w:t>
            </w:r>
          </w:p>
        </w:tc>
      </w:tr>
      <w:tr>
        <w:trPr>
          <w:trHeight w:val="199"/>
        </w:trPr>
        <w:tc>
          <w:tcPr>
            <w:tcW w:w="11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4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41,534,668</w:t>
            </w:r>
          </w:p>
        </w:tc>
      </w:tr>
      <w:tr>
        <w:trPr>
          <w:trHeight w:val="206"/>
        </w:trPr>
        <w:tc>
          <w:tcPr>
            <w:tcW w:w="11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 issued as compensation to third parties</w:t>
            </w:r>
          </w:p>
        </w:tc>
        <w:tc>
          <w:tcPr>
            <w:tcW w:w="14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06"/>
        </w:trPr>
        <w:tc>
          <w:tcPr>
            <w:tcW w:w="1120" w:type="dxa"/>
            <w:vAlign w:val="bottom"/>
          </w:tcPr>
          <w:p>
            <w:pPr>
              <w:spacing w:after="0"/>
              <w:rPr>
                <w:sz w:val="17"/>
                <w:szCs w:val="17"/>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issued as a result of stock options exercised</w:t>
            </w:r>
          </w:p>
        </w:tc>
        <w:tc>
          <w:tcPr>
            <w:tcW w:w="14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306,826</w:t>
            </w:r>
          </w:p>
        </w:tc>
      </w:tr>
      <w:tr>
        <w:trPr>
          <w:trHeight w:val="199"/>
        </w:trPr>
        <w:tc>
          <w:tcPr>
            <w:tcW w:w="11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4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41,850,494</w:t>
            </w:r>
          </w:p>
        </w:tc>
      </w:tr>
      <w:tr>
        <w:trPr>
          <w:trHeight w:val="20"/>
        </w:trPr>
        <w:tc>
          <w:tcPr>
            <w:tcW w:w="1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Authorized, Issued, and Outstanding Preferred Stock</w:t>
      </w:r>
    </w:p>
    <w:p>
      <w:pPr>
        <w:spacing w:after="0" w:line="223" w:lineRule="exact"/>
        <w:rPr>
          <w:sz w:val="20"/>
          <w:szCs w:val="20"/>
          <w:color w:val="auto"/>
        </w:rPr>
      </w:pPr>
    </w:p>
    <w:p>
      <w:pPr>
        <w:ind w:left="20" w:right="420"/>
        <w:spacing w:after="0" w:line="287" w:lineRule="auto"/>
        <w:rPr>
          <w:sz w:val="20"/>
          <w:szCs w:val="20"/>
          <w:color w:val="auto"/>
        </w:rPr>
      </w:pPr>
      <w:r>
        <w:rPr>
          <w:rFonts w:ascii="Times New Roman" w:cs="Times New Roman" w:eastAsia="Times New Roman" w:hAnsi="Times New Roman"/>
          <w:sz w:val="17"/>
          <w:szCs w:val="17"/>
          <w:color w:val="auto"/>
        </w:rPr>
        <w:t>As of March 31, 2024, and December 31, 2023, the Company had 10,000,000 shares of authorized preferred stock, none of which were designated, issued, or outstanding.</w:t>
      </w:r>
    </w:p>
    <w:p>
      <w:pPr>
        <w:sectPr>
          <w:pgSz w:w="11900" w:h="16838" w:orient="portrait"/>
          <w:cols w:equalWidth="0" w:num="1">
            <w:col w:w="11260"/>
          </w:cols>
          <w:pgMar w:left="300" w:top="123"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 to Purchase Common Stock</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issued warrants to purchase common stock to various third parties, of which 5,603,729 remain outstanding as of March 31, 2024, and are immediately exercisable. These warrants qualify as participating securities under ASC Topic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and are treated as such in the net loss per share calculation (Note H). The Company may be required to redeem these warrants for a cash amount equal to the Black-Scholes value of the portion of the warrants to be redeemed (the “Put Option”).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Merger (Note L), in November 2023, the Company directly issued to certain investors an aggregate of 1,382,489 shares of its common stock, par value $0.0001 per share, and accompanying warrants to purchase up to 1,382,489 shares of its common stock (the "2023 Warrants") at a combined offering price of $4.34 per share of common stock and the Warrants and an aggregate of 917,934 shares of its common stock in exchange for the cancellation of a warrant to purchase 2,920,306 shares of common stock of Acer. The Warrants are immediately exercisable and expire on November 22, 2028. The Company used the net proceeds of approximately $6.0 million from the offering for general corporate purposes. These warrants are separately exercisable by the warrant holders. While the warrants are outstanding (but unexercised), the warrant holders will participate in any dividend or other distribution of the Company’s assets to its common stockholders by way of return of capital or otherwise. As of March 31, 2024, and December 31, 2023, none of the warrants have been exercised. The warrants have been evaluated to determine the appropriate accounting and classification pursuant to ASC Topic 480, Distinguishing Liabilities from Equity, and ASC Topic 815, Derivatives and Hedging. Generally, freestanding warrants should be classified as (i) liabilities if the warrant terms allow settlement of the warrant exercise in cash and (ii) equity if the warrant terms only allow settlement in shares of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determined that its outstanding warrants and the Put Option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March 31, 2024, and December 31, 2023, the fair value of the liability associated with these warrants and the Put Option was approximately $11.5 million and $16.1 million, respectively. The fair value adjustment related to these warrants and the Put Option was approximately $4.6 million of income and $1.5 million of expense for the three months ended March 31, 2024, and 2023, respectively.</w:t>
      </w:r>
    </w:p>
    <w:p>
      <w:pPr>
        <w:spacing w:after="0" w:line="200" w:lineRule="exact"/>
        <w:rPr>
          <w:sz w:val="20"/>
          <w:szCs w:val="20"/>
          <w:color w:val="auto"/>
        </w:rPr>
      </w:pPr>
    </w:p>
    <w:p>
      <w:pPr>
        <w:spacing w:after="0" w:line="203" w:lineRule="exact"/>
        <w:rPr>
          <w:sz w:val="20"/>
          <w:szCs w:val="20"/>
          <w:color w:val="auto"/>
        </w:rPr>
      </w:pPr>
    </w:p>
    <w:p>
      <w:pPr>
        <w:ind w:left="460" w:hanging="457"/>
        <w:spacing w:after="0"/>
        <w:tabs>
          <w:tab w:leader="none" w:pos="46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maintains a stock-based compensation plan (the “Incentive Stock Plan”) that governs stock awards made to employees and directors prior to completion of the IPO.</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9,932,883 as of March 31, 2024. The number of shares of common stock reserved for issuance under the A&amp;R 2014 Plan will automatically increase on January 1 of each year, until and including January 1, 2031, by 4% of the total number of shares of the Company’s capital stock outstanding on December 31 of the preceding calendar year, or a lesser number of shares determined by the Board. Pursuant to the terms of the 2014 Plan, on January 1, 2024, the common stock reserved for issuance under the 2014 Plan automatically increased by 1,661,386 shares.</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2024, 716,875 stock options were exercised. During the three months ended March 31, 2023, no stock options were exercised.</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March 31, 2024, 159,828 shares have been issued under the ESPP.</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January 2023, the Board approved the 2023 Employment Inducement Award Plan (the "2023 Plan"). The maximum number of shares of common stock that were initially available for issuance under the 2023 Plan was 1,500,000. In February 2024, our Board approved an amendment to the 2023 Plan to increase the aggregate number of shares of common stock available for issuance under the 2023 Plan from 1,500,000 to 4,500,000 shares.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May 2023, the Board approved the Ninth Amended and Restated Non-Employee Director Compensation Policy (the “Non-Employee Director Compensation Policy”). The equity compensation made pursuant to the Non-Employee Director Compensation Policy will be granted under the A&amp;R 2014 Plan.</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Stock-based compensation expense recorded under the Incentive Stock Plan, A&amp;R 2014 Plan, ESPP and 2023 Plan is included in the following line items in the accompanying unaudited condensed consolidated statements of operations (in thousands):</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853</w:t>
            </w:r>
          </w:p>
        </w:tc>
        <w:tc>
          <w:tcPr>
            <w:tcW w:w="1240" w:type="dxa"/>
            <w:vAlign w:val="bottom"/>
            <w:gridSpan w:val="2"/>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572</w:t>
            </w:r>
          </w:p>
        </w:tc>
      </w:tr>
      <w:tr>
        <w:trPr>
          <w:trHeight w:val="206"/>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30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2,119</w:t>
            </w:r>
          </w:p>
        </w:tc>
        <w:tc>
          <w:tcPr>
            <w:tcW w:w="1240" w:type="dxa"/>
            <w:vAlign w:val="bottom"/>
            <w:gridSpan w:val="2"/>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591</w:t>
            </w: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stock-based compensation expense related to performance-based awards recognized during the three months ended March 31, 2024, and 2023.</w:t>
      </w:r>
    </w:p>
    <w:p>
      <w:pPr>
        <w:sectPr>
          <w:pgSz w:w="11900" w:h="16838" w:orient="portrait"/>
          <w:cols w:equalWidth="0" w:num="1">
            <w:col w:w="11240"/>
          </w:cols>
          <w:pgMar w:left="320" w:top="123"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60" w:hanging="457"/>
        <w:spacing w:after="0"/>
        <w:tabs>
          <w:tab w:leader="none" w:pos="4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65" w:lineRule="exact"/>
        <w:rPr>
          <w:sz w:val="20"/>
          <w:szCs w:val="20"/>
          <w:color w:val="auto"/>
        </w:rPr>
      </w:pPr>
    </w:p>
    <w:p>
      <w:pPr>
        <w:ind w:left="460" w:hanging="225"/>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1—Observable inputs that reflect quoted market prices (unadjusted) for identical assets or liabilities in active markets;</w:t>
      </w:r>
    </w:p>
    <w:p>
      <w:pPr>
        <w:spacing w:after="0" w:line="27" w:lineRule="exact"/>
        <w:rPr>
          <w:rFonts w:ascii="Times New Roman" w:cs="Times New Roman" w:eastAsia="Times New Roman" w:hAnsi="Times New Roman"/>
          <w:sz w:val="17"/>
          <w:szCs w:val="17"/>
          <w:color w:val="auto"/>
        </w:rPr>
      </w:pPr>
    </w:p>
    <w:p>
      <w:pPr>
        <w:ind w:left="460" w:hanging="225"/>
        <w:spacing w:after="0" w:line="253" w:lineRule="auto"/>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2—Observable inputs other than quoted prices in active markets that are observable either directly or indirectly in the marketplace for identical or similar assets and liabilities; and</w:t>
      </w:r>
    </w:p>
    <w:p>
      <w:pPr>
        <w:ind w:left="460" w:hanging="225"/>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that are supported by little or no market data, which require the Company to develop its own assumptions.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and cash equivalents, investments, and accounts payable and accrued expenses, approximate their respective fair values due to the short-term nature of such instruments.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March 31, 2024, and December 31, 2023 (in thousands):</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Quoted Prices 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Active Markets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Balance as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for Identical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Unobservable</w:t>
            </w:r>
          </w:p>
        </w:tc>
      </w:tr>
      <w:tr>
        <w:trPr>
          <w:trHeight w:val="227"/>
        </w:trPr>
        <w:tc>
          <w:tcPr>
            <w:tcW w:w="334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80" w:type="dxa"/>
            <w:vAlign w:val="bottom"/>
          </w:tcPr>
          <w:p>
            <w:pPr>
              <w:spacing w:after="0"/>
              <w:rPr>
                <w:sz w:val="19"/>
                <w:szCs w:val="19"/>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80" w:type="dxa"/>
            <w:vAlign w:val="bottom"/>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80" w:type="dxa"/>
            <w:vAlign w:val="bottom"/>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Inputs (Level 3)</w:t>
            </w:r>
          </w:p>
        </w:tc>
      </w:tr>
      <w:tr>
        <w:trPr>
          <w:trHeight w:val="19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CVR liability (Note L)</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8,200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w:t>
            </w:r>
          </w:p>
        </w:tc>
      </w:tr>
      <w:tr>
        <w:trPr>
          <w:trHeight w:val="206"/>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11,535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11,535</w:t>
            </w:r>
          </w:p>
        </w:tc>
      </w:tr>
      <w:tr>
        <w:trPr>
          <w:trHeight w:val="239"/>
        </w:trPr>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19,735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19,735</w:t>
            </w:r>
          </w:p>
        </w:tc>
      </w:tr>
      <w:tr>
        <w:trPr>
          <w:trHeight w:val="185"/>
        </w:trPr>
        <w:tc>
          <w:tcPr>
            <w:tcW w:w="33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4"/>
              <w:spacing w:after="0" w:line="185"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0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9,868</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9,868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9,868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9,868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71"/>
        </w:trPr>
        <w:tc>
          <w:tcPr>
            <w:tcW w:w="3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Quoted Prices</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Significant</w:t>
            </w: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Balance as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Unobservable</w:t>
            </w: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Inputs (Level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Inputs (Level</w:t>
            </w:r>
          </w:p>
        </w:tc>
      </w:tr>
      <w:tr>
        <w:trPr>
          <w:trHeight w:val="227"/>
        </w:trPr>
        <w:tc>
          <w:tcPr>
            <w:tcW w:w="3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2)</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3)</w:t>
            </w:r>
          </w:p>
        </w:tc>
      </w:tr>
      <w:tr>
        <w:trPr>
          <w:trHeight w:val="19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CVR liability (Note 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7,262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7,262</w:t>
            </w:r>
          </w:p>
        </w:tc>
      </w:tr>
      <w:tr>
        <w:trPr>
          <w:trHeight w:val="206"/>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16,100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16,100</w:t>
            </w:r>
          </w:p>
        </w:tc>
      </w:tr>
      <w:tr>
        <w:trPr>
          <w:trHeight w:val="239"/>
        </w:trPr>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23,362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23,362</w:t>
            </w:r>
          </w:p>
        </w:tc>
      </w:tr>
      <w:tr>
        <w:trPr>
          <w:trHeight w:val="185"/>
        </w:trPr>
        <w:tc>
          <w:tcPr>
            <w:tcW w:w="33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4"/>
              <w:spacing w:after="0" w:line="185"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0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3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24,688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24,688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3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24,688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24,688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common stock warrant liabilities were recorded at fair value using the Black-Scholes option pricing model. The following assumptions were used in determining the fair value of the warrant liabilities valued using the Black-Scholes option pricing model as of March 31, 2024, and December 31, 2023:</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6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300" w:type="dxa"/>
            <w:vAlign w:val="bottom"/>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60" w:type="dxa"/>
            <w:vAlign w:val="bottom"/>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 - 4.57%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 - 4.12%</w:t>
            </w:r>
          </w:p>
        </w:tc>
      </w:tr>
      <w:tr>
        <w:trPr>
          <w:trHeight w:val="206"/>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59.43% - 92.76%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62.01% - 92.42%</w:t>
            </w:r>
          </w:p>
        </w:tc>
      </w:tr>
      <w:tr>
        <w:trPr>
          <w:trHeight w:val="20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6"/>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1.8 - 4.6</w:t>
            </w:r>
          </w:p>
        </w:tc>
        <w:tc>
          <w:tcPr>
            <w:tcW w:w="1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2.0 - 4.9</w:t>
            </w:r>
          </w:p>
        </w:tc>
      </w:tr>
      <w:tr>
        <w:trPr>
          <w:trHeight w:val="20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fair value</w:t>
            </w:r>
          </w:p>
        </w:tc>
        <w:tc>
          <w:tcPr>
            <w:tcW w:w="1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2.17</w:t>
            </w:r>
          </w:p>
        </w:tc>
        <w:tc>
          <w:tcPr>
            <w:tcW w:w="1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2.94</w:t>
            </w: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reconciliation for the common stock warrant liabilities measured at fair value using Level 3 unobservable inputs (in thousands):</w:t>
      </w:r>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16,100</w:t>
            </w:r>
          </w:p>
        </w:tc>
      </w:tr>
      <w:tr>
        <w:trPr>
          <w:trHeight w:val="206"/>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measurement</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(4,565)</w:t>
            </w:r>
          </w:p>
        </w:tc>
      </w:tr>
      <w:tr>
        <w:trPr>
          <w:trHeight w:val="239"/>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58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11,535</w:t>
            </w:r>
          </w:p>
        </w:tc>
      </w:tr>
    </w:tbl>
    <w:p>
      <w:pPr>
        <w:spacing w:after="0" w:line="1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2024, and 2023, the changes in fair value of the warrant liabilities primarily resulted from the volatility of the Company's common stock and the change in the risk-free interest rates.</w:t>
      </w:r>
    </w:p>
    <w:p>
      <w:pPr>
        <w:spacing w:after="0" w:line="173" w:lineRule="exact"/>
        <w:rPr>
          <w:sz w:val="20"/>
          <w:szCs w:val="20"/>
          <w:color w:val="auto"/>
        </w:rPr>
      </w:pPr>
    </w:p>
    <w:p>
      <w:pPr>
        <w:ind w:left="460" w:hanging="457"/>
        <w:spacing w:after="0"/>
        <w:tabs>
          <w:tab w:leader="none" w:pos="46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Per Share</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all periods presented herein, the Company did not use the two-class method to compute net loss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two-class method, for periods with net income, basic net income per share of common stock is computed by dividing the undistributed net income by the weighted average number of shares of common stock outstanding during the period. Undistributed net income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per share of common stock is computed under the two-class method by using the weighted average number of shares of common stock outstanding plus the potential dilutive effects of stock options, warrants and other outstanding convertible securities. In addition to analyzing under the two-class method, the Company analyzes the potential dilutive effect of stock options and warrants, under the treasury-stock method and other outstanding convertible securities under the if-converted method when calculating diluted income (loss)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(two-class or treasury-stock/if-converted) as its diluted net income (loss) of common stock during the period.</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per share of common stock under the treasury-stock/if-converted method and noted that all outstanding stock options and warrants were anti-dilutive for the periods presented. For all periods presented, basic net loss per share of common stock was the same as diluted net loss per share of common stock.</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securities, presented on a common stock equivalent basis, have been excluded from the calculation of weighted average number of shares of common stock outstanding because their effect is anti-dilutive:</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32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6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under equity incentive plans</w:t>
            </w:r>
          </w:p>
        </w:tc>
        <w:tc>
          <w:tcPr>
            <w:tcW w:w="1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4,366,537</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6,024,889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5,603,729</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4,252,490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Total securities excluded from the calculation of weighted average number of shares of common</w:t>
            </w:r>
          </w:p>
        </w:tc>
        <w:tc>
          <w:tcPr>
            <w:tcW w:w="16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9,970,266</w:t>
            </w:r>
          </w:p>
        </w:tc>
        <w:tc>
          <w:tcPr>
            <w:tcW w:w="100" w:type="dxa"/>
            <w:vAlign w:val="bottom"/>
            <w:vMerge w:val="restart"/>
            <w:shd w:val="clear" w:color="auto" w:fill="CCEEFF"/>
          </w:tcPr>
          <w:p>
            <w:pPr>
              <w:spacing w:after="0"/>
              <w:rPr>
                <w:sz w:val="15"/>
                <w:szCs w:val="15"/>
                <w:color w:val="auto"/>
              </w:rPr>
            </w:pPr>
          </w:p>
        </w:tc>
        <w:tc>
          <w:tcPr>
            <w:tcW w:w="16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10,277,379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stock outstanding</w:t>
            </w: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reconciliation from net loss to basic and diluted net loss per share of common stock for the three months ended March 31, 2024, and 2023, is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net loss per share of common stock:</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basic and diluted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shares of common stock outstanding, basic and diluted</w:t>
            </w: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41,779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34,467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 of common stock</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6260" w:type="dxa"/>
            <w:vAlign w:val="bottom"/>
            <w:tcBorders>
              <w:top w:val="single" w:sz="8" w:color="CCEEFF"/>
            </w:tcBorders>
          </w:tcPr>
          <w:p>
            <w:pPr>
              <w:ind w:left="4960"/>
              <w:spacing w:after="0"/>
              <w:rPr>
                <w:sz w:val="20"/>
                <w:szCs w:val="20"/>
                <w:color w:val="auto"/>
              </w:rPr>
            </w:pPr>
            <w:r>
              <w:rPr>
                <w:rFonts w:ascii="Times New Roman" w:cs="Times New Roman" w:eastAsia="Times New Roman" w:hAnsi="Times New Roman"/>
                <w:sz w:val="17"/>
                <w:szCs w:val="17"/>
                <w:color w:val="auto"/>
              </w:rPr>
              <w:t>21</w:t>
            </w:r>
          </w:p>
        </w:tc>
        <w:tc>
          <w:tcPr>
            <w:tcW w:w="5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60" w:hanging="457"/>
        <w:spacing w:after="0"/>
        <w:tabs>
          <w:tab w:leader="none" w:pos="46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a straight-line bases over the lease term. The Company's leases have remaining lease terms of less than 1 year to approximately 3 years, some of which include options to extend the leases for up to 5 years, and some which include options to terminate the leases within 1 year.</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June 1, 2021, the Company agreed to sublease office space in Florida, comprised of one of the two contiguous suites, under a non-cancelable operating lease, which expires in February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2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Lease Cost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9"/>
        </w:trPr>
        <w:tc>
          <w:tcPr>
            <w:tcW w:w="7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finance lease cost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Less: sublease income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was as follows (in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8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199"/>
        </w:trPr>
        <w:tc>
          <w:tcPr>
            <w:tcW w:w="11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cash flows from short-term leases</w:t>
            </w:r>
          </w:p>
        </w:tc>
        <w:tc>
          <w:tcPr>
            <w:tcW w:w="1120" w:type="dxa"/>
            <w:vAlign w:val="bottom"/>
          </w:tcPr>
          <w:p>
            <w:pPr>
              <w:spacing w:after="0"/>
              <w:rPr>
                <w:sz w:val="17"/>
                <w:szCs w:val="17"/>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cash flows from variable lease costs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lease liabilities: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Finance leases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r>
      <w:tr>
        <w:trPr>
          <w:trHeight w:val="413"/>
        </w:trPr>
        <w:tc>
          <w:tcPr>
            <w:tcW w:w="1120" w:type="dxa"/>
            <w:vAlign w:val="bottom"/>
          </w:tcPr>
          <w:p>
            <w:pPr>
              <w:spacing w:after="0"/>
              <w:rPr>
                <w:sz w:val="24"/>
                <w:szCs w:val="24"/>
                <w:color w:val="auto"/>
              </w:rPr>
            </w:pPr>
          </w:p>
        </w:tc>
        <w:tc>
          <w:tcPr>
            <w:tcW w:w="5680" w:type="dxa"/>
            <w:vAlign w:val="bottom"/>
          </w:tcPr>
          <w:p>
            <w:pPr>
              <w:ind w:left="4420"/>
              <w:spacing w:after="0"/>
              <w:rPr>
                <w:sz w:val="20"/>
                <w:szCs w:val="20"/>
                <w:color w:val="auto"/>
              </w:rPr>
            </w:pPr>
            <w:r>
              <w:rPr>
                <w:rFonts w:ascii="Times New Roman" w:cs="Times New Roman" w:eastAsia="Times New Roman" w:hAnsi="Times New Roman"/>
                <w:sz w:val="17"/>
                <w:szCs w:val="17"/>
                <w:color w:val="auto"/>
              </w:rPr>
              <w:t>22</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112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Supplemental balance sheet information related to leases was as follows (in thousands, except weighted average remaining lease term and weighted average discount rate):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Pr>
          <w:p>
            <w:pPr>
              <w:spacing w:after="0"/>
              <w:rPr>
                <w:sz w:val="17"/>
                <w:szCs w:val="17"/>
                <w:color w:val="auto"/>
              </w:rPr>
            </w:pPr>
          </w:p>
        </w:tc>
      </w:tr>
      <w:tr>
        <w:trPr>
          <w:trHeight w:val="227"/>
        </w:trPr>
        <w:tc>
          <w:tcPr>
            <w:tcW w:w="1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20" w:type="dxa"/>
            <w:vAlign w:val="bottom"/>
          </w:tcPr>
          <w:p>
            <w:pPr>
              <w:spacing w:after="0"/>
              <w:rPr>
                <w:sz w:val="19"/>
                <w:szCs w:val="19"/>
                <w:color w:val="auto"/>
              </w:rPr>
            </w:pPr>
          </w:p>
        </w:tc>
      </w:tr>
      <w:tr>
        <w:trPr>
          <w:trHeight w:val="199"/>
        </w:trPr>
        <w:tc>
          <w:tcPr>
            <w:tcW w:w="1120" w:type="dxa"/>
            <w:vAlign w:val="bottom"/>
          </w:tcPr>
          <w:p>
            <w:pPr>
              <w:spacing w:after="0"/>
              <w:rPr>
                <w:sz w:val="17"/>
                <w:szCs w:val="17"/>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at cost</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1,031</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1,031</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(882)</w:t>
            </w: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137</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149</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20" w:type="dxa"/>
            <w:vAlign w:val="bottom"/>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20" w:type="dxa"/>
            <w:vAlign w:val="bottom"/>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1120" w:type="dxa"/>
            <w:vAlign w:val="bottom"/>
          </w:tcPr>
          <w:p>
            <w:pPr>
              <w:spacing w:after="0"/>
              <w:rPr>
                <w:sz w:val="17"/>
                <w:szCs w:val="17"/>
                <w:color w:val="auto"/>
              </w:rPr>
            </w:pP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1,086</w:t>
            </w: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790</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operating lease right-of-use assets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1,086</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790</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20" w:type="dxa"/>
            <w:vAlign w:val="bottom"/>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583</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543</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456</w:t>
            </w: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1,288</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999</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20" w:type="dxa"/>
            <w:vAlign w:val="bottom"/>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1120" w:type="dxa"/>
            <w:vAlign w:val="bottom"/>
          </w:tcPr>
          <w:p>
            <w:pPr>
              <w:spacing w:after="0"/>
              <w:rPr>
                <w:sz w:val="17"/>
                <w:szCs w:val="17"/>
                <w:color w:val="auto"/>
              </w:rPr>
            </w:pP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 (in years)</w:t>
            </w:r>
          </w:p>
        </w:tc>
        <w:tc>
          <w:tcPr>
            <w:tcW w:w="1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120" w:type="dxa"/>
            <w:vAlign w:val="bottom"/>
          </w:tcPr>
          <w:p>
            <w:pPr>
              <w:spacing w:after="0"/>
              <w:rPr>
                <w:sz w:val="17"/>
                <w:szCs w:val="17"/>
                <w:color w:val="auto"/>
              </w:rPr>
            </w:pPr>
          </w:p>
        </w:tc>
      </w:tr>
      <w:tr>
        <w:trPr>
          <w:trHeight w:val="413"/>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Maturities of lease liabilities were as follows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Finance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1120" w:type="dxa"/>
            <w:vAlign w:val="bottom"/>
          </w:tcPr>
          <w:p>
            <w:pPr>
              <w:spacing w:after="0"/>
              <w:rPr>
                <w:sz w:val="24"/>
                <w:szCs w:val="24"/>
                <w:color w:val="auto"/>
              </w:rPr>
            </w:pPr>
          </w:p>
        </w:tc>
      </w:tr>
      <w:tr>
        <w:trPr>
          <w:trHeight w:val="227"/>
        </w:trPr>
        <w:tc>
          <w:tcPr>
            <w:tcW w:w="11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120" w:type="dxa"/>
            <w:vAlign w:val="bottom"/>
          </w:tcPr>
          <w:p>
            <w:pPr>
              <w:spacing w:after="0"/>
              <w:rPr>
                <w:sz w:val="19"/>
                <w:szCs w:val="19"/>
                <w:color w:val="auto"/>
              </w:rPr>
            </w:pPr>
          </w:p>
        </w:tc>
      </w:tr>
      <w:tr>
        <w:trPr>
          <w:trHeight w:val="199"/>
        </w:trPr>
        <w:tc>
          <w:tcPr>
            <w:tcW w:w="11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(excluding the three months ended March 31, 2024)</w:t>
            </w:r>
          </w:p>
        </w:tc>
        <w:tc>
          <w:tcPr>
            <w:tcW w:w="1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120" w:type="dxa"/>
            <w:vAlign w:val="bottom"/>
          </w:tcPr>
          <w:p>
            <w:pPr>
              <w:spacing w:after="0"/>
              <w:rPr>
                <w:sz w:val="17"/>
                <w:szCs w:val="17"/>
                <w:color w:val="auto"/>
              </w:rPr>
            </w:pPr>
          </w:p>
        </w:tc>
      </w:tr>
      <w:tr>
        <w:trPr>
          <w:trHeight w:val="219"/>
        </w:trPr>
        <w:tc>
          <w:tcPr>
            <w:tcW w:w="11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120" w:type="dxa"/>
            <w:vAlign w:val="bottom"/>
          </w:tcPr>
          <w:p>
            <w:pPr>
              <w:spacing w:after="0"/>
              <w:rPr>
                <w:sz w:val="19"/>
                <w:szCs w:val="19"/>
                <w:color w:val="auto"/>
              </w:rPr>
            </w:pPr>
          </w:p>
        </w:tc>
      </w:tr>
      <w:tr>
        <w:trPr>
          <w:trHeight w:val="206"/>
        </w:trPr>
        <w:tc>
          <w:tcPr>
            <w:tcW w:w="11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12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lease payments</w:t>
            </w:r>
          </w:p>
        </w:tc>
        <w:tc>
          <w:tcPr>
            <w:tcW w:w="1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Less: future interest expense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120" w:type="dxa"/>
            <w:vAlign w:val="bottom"/>
          </w:tcPr>
          <w:p>
            <w:pPr>
              <w:spacing w:after="0"/>
              <w:rPr>
                <w:sz w:val="17"/>
                <w:szCs w:val="17"/>
                <w:color w:val="auto"/>
              </w:rPr>
            </w:pPr>
          </w:p>
        </w:tc>
      </w:tr>
      <w:tr>
        <w:trPr>
          <w:trHeight w:val="239"/>
        </w:trPr>
        <w:tc>
          <w:tcPr>
            <w:tcW w:w="11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liabilities</w:t>
            </w:r>
          </w:p>
        </w:tc>
        <w:tc>
          <w:tcPr>
            <w:tcW w:w="1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12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jc w:val="right"/>
              <w:ind w:right="83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112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80" w:hanging="457"/>
        <w:spacing w:after="0"/>
        <w:tabs>
          <w:tab w:leader="none" w:pos="4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30, 2023, in connection with the Merger Agreement with Acer, the following transactions occurred prior to Closing:</w:t>
      </w:r>
    </w:p>
    <w:p>
      <w:pPr>
        <w:spacing w:after="0" w:line="213" w:lineRule="exact"/>
        <w:rPr>
          <w:sz w:val="20"/>
          <w:szCs w:val="20"/>
          <w:color w:val="auto"/>
        </w:rPr>
      </w:pPr>
    </w:p>
    <w:p>
      <w:pPr>
        <w:jc w:val="both"/>
        <w:ind w:left="1140" w:hanging="318"/>
        <w:spacing w:after="0" w:line="261"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Bridge Loan </w:t>
      </w:r>
      <w:r>
        <w:rPr>
          <w:rFonts w:ascii="Times New Roman" w:cs="Times New Roman" w:eastAsia="Times New Roman" w:hAnsi="Times New Roman"/>
          <w:sz w:val="17"/>
          <w:szCs w:val="17"/>
          <w:color w:val="auto"/>
        </w:rPr>
        <w:t>- Zevra and Acer entered into a bridge loan agreement (the “Bridge Loan Agreement”), providing for Zevra to make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(collectively, the “Bridge Loan”) to Acer up to an aggregate principal amount of $16.5 million. The Bridge Loan was provided to Acer to support its termination agreement with Relief Therapeutics Holding SA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$18.0 million.</w:t>
      </w:r>
    </w:p>
    <w:p>
      <w:pPr>
        <w:spacing w:after="0" w:line="168" w:lineRule="exact"/>
        <w:rPr>
          <w:rFonts w:ascii="Times New Roman" w:cs="Times New Roman" w:eastAsia="Times New Roman" w:hAnsi="Times New Roman"/>
          <w:sz w:val="17"/>
          <w:szCs w:val="17"/>
          <w:color w:val="auto"/>
        </w:rPr>
      </w:pPr>
    </w:p>
    <w:p>
      <w:pPr>
        <w:jc w:val="both"/>
        <w:ind w:left="1140" w:hanging="318"/>
        <w:spacing w:after="0" w:line="259"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Purchase of Acer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Term Loans </w:t>
      </w:r>
      <w:r>
        <w:rPr>
          <w:rFonts w:ascii="Times New Roman" w:cs="Times New Roman" w:eastAsia="Times New Roman" w:hAnsi="Times New Roman"/>
          <w:sz w:val="17"/>
          <w:szCs w:val="17"/>
          <w:color w:val="auto"/>
        </w:rPr>
        <w:t>- Zevra purchased certain indebtedness of Acer held by Nantahala Capital Management, LLC ("Nantahala).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loan purchase with Nantahala, certain of its affiliates and certain other parties (collectively with Nantahala, "Nantahala Holders") 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These were recorded as receivables form Acer and were treated as a settlement of a preexisting relationship in connection with the closing of the transaction and recorded as a component of purchase consideration.</w:t>
      </w:r>
    </w:p>
    <w:p>
      <w:pPr>
        <w:spacing w:after="0" w:line="173" w:lineRule="exact"/>
        <w:rPr>
          <w:rFonts w:ascii="Times New Roman" w:cs="Times New Roman" w:eastAsia="Times New Roman" w:hAnsi="Times New Roman"/>
          <w:sz w:val="17"/>
          <w:szCs w:val="17"/>
          <w:color w:val="auto"/>
        </w:rPr>
      </w:pPr>
    </w:p>
    <w:p>
      <w:pPr>
        <w:jc w:val="both"/>
        <w:ind w:left="1140" w:hanging="318"/>
        <w:spacing w:after="0" w:line="272"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Purchase of Acer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Convertible </w:t>
      </w:r>
      <w:r>
        <w:rPr>
          <w:rFonts w:ascii="Times New Roman" w:cs="Times New Roman" w:eastAsia="Times New Roman" w:hAnsi="Times New Roman"/>
          <w:sz w:val="17"/>
          <w:szCs w:val="17"/>
          <w:color w:val="auto"/>
        </w:rPr>
        <w:t>Notes (“Marathon Convertible Notes”)- Under the Note Purchase Agreement with the Nantahala Holders, Zevra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purchased the Marathon Convertible Notes that Nantahala had acquired on June 16, 2023. Zevra acquired the Marathon Convertible Notes in exchange for the issuance of 2,171,038 shares of Zevra Common Stock at $5.0667 per share for a total purchase price of $11.0 million.</w:t>
      </w:r>
    </w:p>
    <w:p>
      <w:pPr>
        <w:spacing w:after="0" w:line="160" w:lineRule="exact"/>
        <w:rPr>
          <w:rFonts w:ascii="Times New Roman" w:cs="Times New Roman" w:eastAsia="Times New Roman" w:hAnsi="Times New Roman"/>
          <w:sz w:val="17"/>
          <w:szCs w:val="17"/>
          <w:color w:val="auto"/>
        </w:rPr>
      </w:pPr>
    </w:p>
    <w:p>
      <w:pPr>
        <w:jc w:val="both"/>
        <w:ind w:left="1140" w:hanging="318"/>
        <w:spacing w:after="0" w:line="257"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to IP License Agreement and IP Termination Agreement: </w:t>
      </w:r>
      <w:r>
        <w:rPr>
          <w:rFonts w:ascii="Times New Roman" w:cs="Times New Roman" w:eastAsia="Times New Roman" w:hAnsi="Times New Roman"/>
          <w:sz w:val="17"/>
          <w:szCs w:val="17"/>
          <w:color w:val="auto"/>
        </w:rPr>
        <w:t>As a condition to entering into the Merger Agreement, Acer and Relief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Therapeutics Holding AG ("Relief") entered 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7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In connection with the closing of the Merger on November 17, 2023, each share of common stock of Acer was converted into the right to receive (i) 0.1210 fully paid and non-assessable shares of common stock of Zevra, par value $0.0001 per share , and (ii) one non-transferable contingent value right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assets acquired and liabilities assumed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as disclosed in Note C, (vi) $8.5 million in the estimated fair value of contingent consideration related to the CVRs,</w:t>
      </w:r>
    </w:p>
    <w:p>
      <w:pPr>
        <w:spacing w:after="0" w:line="2" w:lineRule="exact"/>
        <w:rPr>
          <w:sz w:val="20"/>
          <w:szCs w:val="20"/>
          <w:color w:val="auto"/>
        </w:rPr>
      </w:pPr>
    </w:p>
    <w:p>
      <w:pPr>
        <w:jc w:val="both"/>
        <w:ind w:firstLine="3"/>
        <w:spacing w:after="0" w:line="256" w:lineRule="auto"/>
        <w:tabs>
          <w:tab w:leader="none" w:pos="3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 The following purchase price allocation reflects the preliminary estimates of and assumptions related to the fair values of assets acquired and liabilities assumed:</w:t>
      </w:r>
    </w:p>
    <w:p>
      <w:pPr>
        <w:spacing w:after="0" w:line="380" w:lineRule="exact"/>
        <w:rPr>
          <w:sz w:val="20"/>
          <w:szCs w:val="20"/>
          <w:color w:val="auto"/>
        </w:rPr>
      </w:pPr>
    </w:p>
    <w:tbl>
      <w:tblPr>
        <w:tblLayout w:type="fixed"/>
        <w:tblInd w:w="2240" w:type="dxa"/>
        <w:tblCellMar>
          <w:top w:w="0" w:type="dxa"/>
          <w:left w:w="0" w:type="dxa"/>
          <w:bottom w:w="0" w:type="dxa"/>
          <w:right w:w="0" w:type="dxa"/>
        </w:tblCellMar>
      </w:tblPr>
      <w:tr>
        <w:trPr>
          <w:trHeight w:val="227"/>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06"/>
        </w:trPr>
        <w:tc>
          <w:tcPr>
            <w:tcW w:w="5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 xml:space="preserve">Prepaid expenses </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06"/>
        </w:trPr>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6"/>
        </w:trPr>
        <w:tc>
          <w:tcPr>
            <w:tcW w:w="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w w:val="99"/>
              </w:rPr>
              <w:t>Inventory</w:t>
            </w:r>
          </w:p>
        </w:tc>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9,376</w:t>
            </w:r>
          </w:p>
        </w:tc>
      </w:tr>
      <w:tr>
        <w:trPr>
          <w:trHeight w:val="206"/>
        </w:trPr>
        <w:tc>
          <w:tcPr>
            <w:tcW w:w="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w:t>
            </w: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plant, and equipment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6"/>
        </w:trPr>
        <w:tc>
          <w:tcPr>
            <w:tcW w:w="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06"/>
        </w:trPr>
        <w:tc>
          <w:tcPr>
            <w:tcW w:w="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9"/>
              </w:rPr>
              <w:t>Approved</w:t>
            </w:r>
          </w:p>
        </w:tc>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product - OLPRUVA</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68,000</w:t>
            </w:r>
          </w:p>
        </w:tc>
      </w:tr>
      <w:tr>
        <w:trPr>
          <w:trHeight w:val="206"/>
        </w:trPr>
        <w:tc>
          <w:tcPr>
            <w:tcW w:w="7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IPR&amp;D</w:t>
            </w:r>
          </w:p>
        </w:tc>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celiprolol</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06"/>
        </w:trPr>
        <w:tc>
          <w:tcPr>
            <w:tcW w:w="8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acquired</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4,701</w:t>
            </w:r>
          </w:p>
        </w:tc>
      </w:tr>
      <w:tr>
        <w:trPr>
          <w:trHeight w:val="199"/>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85,185</w:t>
            </w:r>
          </w:p>
        </w:tc>
      </w:tr>
      <w:tr>
        <w:trPr>
          <w:trHeight w:val="206"/>
        </w:trPr>
        <w:tc>
          <w:tcPr>
            <w:tcW w:w="840" w:type="dxa"/>
            <w:vAlign w:val="bottom"/>
            <w:gridSpan w:val="3"/>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6"/>
        </w:trPr>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56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w:t>
            </w:r>
          </w:p>
        </w:tc>
      </w:tr>
      <w:tr>
        <w:trPr>
          <w:trHeight w:val="206"/>
        </w:trPr>
        <w:tc>
          <w:tcPr>
            <w:tcW w:w="5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Deferred collaboration funding</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06"/>
        </w:trPr>
        <w:tc>
          <w:tcPr>
            <w:tcW w:w="562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199"/>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12,556</w:t>
            </w:r>
          </w:p>
        </w:tc>
      </w:tr>
      <w:tr>
        <w:trPr>
          <w:trHeight w:val="239"/>
        </w:trPr>
        <w:tc>
          <w:tcPr>
            <w:tcW w:w="56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Net Assets Acquired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72,629</w:t>
            </w:r>
          </w:p>
        </w:tc>
      </w:tr>
    </w:tbl>
    <w:p>
      <w:pPr>
        <w:spacing w:after="0" w:line="3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preliminary fair values assigned to the tangible and intangible assets acquired and liabilities assumed were determined using an income approach based on management’s estimates and assumptions, as well as other information compiled by management, including third-party valuations that utilize customary valuation procedures and techniques. These preliminary fair values are subject to change within the one-year measurement period. The estimated fair values were developed by discounting future net cash flows to their present value at market-based rates of return. The goodwill acquired represents the excess of the purchase price and related costs over the value assigned to the net tangible and identifiable intangible assets of the business acquired.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marketed product asset is amortized on a straight-line basis over its estimated useful life. As of March 31, 2024, the IPR&amp;D project had not been completed or abandoned and, therefore, the IPR&amp;D intangible asset is not currently subject to amortization.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results of operations and changes in stockholders' equity for Acer were included in the Company's consolidated financial statements beginning November 18, 2023.</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pro forma combined results of operations present the acquisition as if it had occurred on January 1, 2023. The pro forma combined results of operations do not necessarily represent the Company's consolidated results of operations had the acquisition occurred on the date assumed, nor are these results necessarily indicative of the Company's future consolidated results of operations. The Company expects to realize certain benefits from integrating Acer into the Company and to incur certain one-time costs. The pro forma combined results of operations do not reflect these benefits or costs.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Three</w:t>
            </w:r>
          </w:p>
        </w:tc>
        <w:tc>
          <w:tcPr>
            <w:tcW w:w="2800" w:type="dxa"/>
            <w:vAlign w:val="bottom"/>
          </w:tcPr>
          <w:p>
            <w:pPr>
              <w:spacing w:after="0"/>
              <w:rPr>
                <w:sz w:val="17"/>
                <w:szCs w:val="17"/>
                <w:color w:val="auto"/>
              </w:rPr>
            </w:pPr>
          </w:p>
        </w:tc>
      </w:tr>
      <w:tr>
        <w:trPr>
          <w:trHeight w:val="206"/>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Months</w:t>
            </w:r>
          </w:p>
        </w:tc>
        <w:tc>
          <w:tcPr>
            <w:tcW w:w="2800" w:type="dxa"/>
            <w:vAlign w:val="bottom"/>
          </w:tcPr>
          <w:p>
            <w:pPr>
              <w:spacing w:after="0"/>
              <w:rPr>
                <w:sz w:val="17"/>
                <w:szCs w:val="17"/>
                <w:color w:val="auto"/>
              </w:rPr>
            </w:pPr>
          </w:p>
        </w:tc>
      </w:tr>
      <w:tr>
        <w:trPr>
          <w:trHeight w:val="206"/>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2800" w:type="dxa"/>
            <w:vAlign w:val="bottom"/>
          </w:tcPr>
          <w:p>
            <w:pPr>
              <w:spacing w:after="0"/>
              <w:rPr>
                <w:sz w:val="17"/>
                <w:szCs w:val="17"/>
                <w:color w:val="auto"/>
              </w:rPr>
            </w:pPr>
          </w:p>
        </w:tc>
      </w:tr>
      <w:tr>
        <w:trPr>
          <w:trHeight w:val="206"/>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800" w:type="dxa"/>
            <w:vAlign w:val="bottom"/>
          </w:tcPr>
          <w:p>
            <w:pPr>
              <w:spacing w:after="0"/>
              <w:rPr>
                <w:sz w:val="17"/>
                <w:szCs w:val="17"/>
                <w:color w:val="auto"/>
              </w:rPr>
            </w:pPr>
          </w:p>
        </w:tc>
      </w:tr>
      <w:tr>
        <w:trPr>
          <w:trHeight w:val="227"/>
        </w:trPr>
        <w:tc>
          <w:tcPr>
            <w:tcW w:w="2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199"/>
        </w:trPr>
        <w:tc>
          <w:tcPr>
            <w:tcW w:w="28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revenue</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3,176</w:t>
            </w:r>
          </w:p>
        </w:tc>
        <w:tc>
          <w:tcPr>
            <w:tcW w:w="200" w:type="dxa"/>
            <w:vAlign w:val="bottom"/>
            <w:shd w:val="clear" w:color="auto" w:fill="CCEEFF"/>
          </w:tcPr>
          <w:p>
            <w:pPr>
              <w:spacing w:after="0"/>
              <w:rPr>
                <w:sz w:val="17"/>
                <w:szCs w:val="17"/>
                <w:color w:val="auto"/>
              </w:rPr>
            </w:pPr>
          </w:p>
        </w:tc>
        <w:tc>
          <w:tcPr>
            <w:tcW w:w="2800" w:type="dxa"/>
            <w:vAlign w:val="bottom"/>
          </w:tcPr>
          <w:p>
            <w:pPr>
              <w:spacing w:after="0"/>
              <w:rPr>
                <w:sz w:val="17"/>
                <w:szCs w:val="17"/>
                <w:color w:val="auto"/>
              </w:rPr>
            </w:pPr>
          </w:p>
        </w:tc>
      </w:tr>
      <w:tr>
        <w:trPr>
          <w:trHeight w:val="223"/>
        </w:trPr>
        <w:tc>
          <w:tcPr>
            <w:tcW w:w="28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Pro forma net loss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(20,652)</w:t>
            </w:r>
          </w:p>
        </w:tc>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602"/>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60" w:type="dxa"/>
            <w:vAlign w:val="bottom"/>
          </w:tcPr>
          <w:p>
            <w:pPr>
              <w:jc w:val="right"/>
              <w:ind w:right="1594"/>
              <w:spacing w:after="0"/>
              <w:rPr>
                <w:sz w:val="20"/>
                <w:szCs w:val="20"/>
                <w:color w:val="auto"/>
              </w:rPr>
            </w:pPr>
            <w:r>
              <w:rPr>
                <w:rFonts w:ascii="Times New Roman" w:cs="Times New Roman" w:eastAsia="Times New Roman" w:hAnsi="Times New Roman"/>
                <w:sz w:val="17"/>
                <w:szCs w:val="17"/>
                <w:color w:val="auto"/>
              </w:rPr>
              <w:t>25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08"/>
        </w:trPr>
        <w:tc>
          <w:tcPr>
            <w:tcW w:w="28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Cancellation of Acer Warrant</w:t>
      </w:r>
    </w:p>
    <w:p>
      <w:pPr>
        <w:spacing w:after="0" w:line="22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On November 22, 2023, the Company sold an aggregate of 917,934 shares of its common stock to a healthcare focused investment fund (the "Investor") to cancel a warrant held by the Investor to purchase 2,920,306 shares of common stock of Acer. The shares of common stock were offered and sold to the Investor in a registered direct offering without an underwriter or placement agent.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w:t>
      </w:r>
    </w:p>
    <w:p>
      <w:pPr>
        <w:spacing w:after="0" w:line="22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Contingent consideration liabilities relate to our liabilities arising in connection with the CVRs issued as a result of the Merger.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17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balances related to the contingent consideration liabilities for the CVRs (dollars in thousands):</w:t>
      </w:r>
    </w:p>
    <w:p>
      <w:pPr>
        <w:spacing w:after="0" w:line="168" w:lineRule="exact"/>
        <w:rPr>
          <w:sz w:val="20"/>
          <w:szCs w:val="20"/>
          <w:color w:val="auto"/>
        </w:rPr>
      </w:pPr>
    </w:p>
    <w:tbl>
      <w:tblPr>
        <w:tblLayout w:type="fixed"/>
        <w:tblInd w:w="2840" w:type="dxa"/>
        <w:tblCellMar>
          <w:top w:w="0" w:type="dxa"/>
          <w:left w:w="0" w:type="dxa"/>
          <w:bottom w:w="0" w:type="dxa"/>
          <w:right w:w="0" w:type="dxa"/>
        </w:tblCellMar>
      </w:tblPr>
      <w:tr>
        <w:trPr>
          <w:trHeight w:val="20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7,262</w:t>
            </w:r>
          </w:p>
        </w:tc>
      </w:tr>
      <w:tr>
        <w:trPr>
          <w:trHeight w:val="206"/>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recognized in earnings</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r>
      <w:tr>
        <w:trPr>
          <w:trHeight w:val="239"/>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2024</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w:t>
            </w:r>
          </w:p>
        </w:tc>
      </w:tr>
    </w:tbl>
    <w:p>
      <w:pPr>
        <w:spacing w:after="0" w:line="19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2024, the Company recorded a $0.9 million loss on the change in fair value of contingent consideration, primarily due to changes in market data and revenue projections.</w:t>
      </w:r>
    </w:p>
    <w:p>
      <w:pPr>
        <w:spacing w:after="0" w:line="379" w:lineRule="exact"/>
        <w:rPr>
          <w:sz w:val="20"/>
          <w:szCs w:val="20"/>
          <w:color w:val="auto"/>
        </w:rPr>
      </w:pPr>
    </w:p>
    <w:p>
      <w:pPr>
        <w:ind w:left="800" w:hanging="777"/>
        <w:spacing w:after="0"/>
        <w:tabs>
          <w:tab w:leader="none" w:pos="8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&amp; Intangible Assets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Company's goodwill balance was $4.7 million as of March 31, 2024, and December 31, 2023.</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 of March 31, 2024, and December 31, 2023, non-amortizable intangible assets include IPR&amp;D of $2.0 million</w:t>
      </w:r>
    </w:p>
    <w:p>
      <w:pPr>
        <w:spacing w:after="0" w:line="21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As of March 31, 2024, and December 31, 2023, the Company had a definite-lived intangible asset, net related to the acquisition of OLPRUVA as a result of the Merger of $65.7 million and $67.2 million, respectively. This is amortized on a straight-line basis over its estimated economic life of eleven years and is reviewed periodically for impairment. Amortization expense is recorded as a component of cost of revenue in the unaudited condensed consolidated statements of operations and was $1.5 million for the three months ended March 31, 2024. No amortization expense related to definite-lived intangible assets was recognized for the three months ended March 31, 2023.</w:t>
      </w:r>
    </w:p>
    <w:p>
      <w:pPr>
        <w:spacing w:after="0" w:line="175" w:lineRule="exact"/>
        <w:rPr>
          <w:sz w:val="20"/>
          <w:szCs w:val="20"/>
          <w:color w:val="auto"/>
        </w:rPr>
      </w:pPr>
    </w:p>
    <w:p>
      <w:pPr>
        <w:ind w:left="20" w:right="100"/>
        <w:spacing w:after="0" w:line="287" w:lineRule="auto"/>
        <w:rPr>
          <w:sz w:val="20"/>
          <w:szCs w:val="20"/>
          <w:color w:val="auto"/>
        </w:rPr>
      </w:pPr>
      <w:r>
        <w:rPr>
          <w:rFonts w:ascii="Times New Roman" w:cs="Times New Roman" w:eastAsia="Times New Roman" w:hAnsi="Times New Roman"/>
          <w:sz w:val="17"/>
          <w:szCs w:val="17"/>
          <w:color w:val="auto"/>
        </w:rPr>
        <w:t>For intangible assets subject to amortization, estimated amortization expense for the five fiscal years subsequent to March 31, 2024, is expected to be $6.2 million per year.</w:t>
      </w:r>
    </w:p>
    <w:p>
      <w:pPr>
        <w:spacing w:after="0" w:line="379" w:lineRule="exact"/>
        <w:rPr>
          <w:sz w:val="20"/>
          <w:szCs w:val="20"/>
          <w:color w:val="auto"/>
        </w:rPr>
      </w:pPr>
    </w:p>
    <w:p>
      <w:pPr>
        <w:ind w:left="480" w:hanging="457"/>
        <w:spacing w:after="0"/>
        <w:tabs>
          <w:tab w:leader="none" w:pos="4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2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The Company evaluated events and transactions occurring subsequent to March 31, 2024, through May 9, 2024, the date the accompanying unaudited condensed consolidated financial statements were issued. During this period, other than entering into the Credit Agreement and the repayment of the margin account and the Nantahala Note, as disclosed in Note D, there were no subsequent events that required recognition in the accompanying unaudited condensed consolidated financial statements, nor were there any additional non-recognized subsequent events that required disclosure.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of our Annual Report on Form 10-K for the fiscal year ended December 31, 2023, filed with the SEC on April 1, 2024, our actual results could differ materially from the results described in or implied by the forward-looking statements contained in the following discussion and analysis.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 rare disease company combining science, data and patient need to create transformational therapies for diseases with limited or no treatment options. Our mission is to bring life changing therapeutics to people living with rare diseases. With unique, data-driven development and commercialization strategies, we are overcoming complex drug development challenges to make new therapies available to the rare disease community. We have a diverse portfolio of products and product candidates, which includes preclinical developmental programs, clinical stage pipeline and commercial stage assets. Our team has specialized expertise and a track record of success in advancing promising therapies that face complex clinical and regulatory challenges with an approach that balances science and data with patient need.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Following the U.S. approval of AZSTARYS® (further described below) in March 2021, we undertook a strategic process to evaluate how to leverage and potentially augment the Company’s existing capabilities while also considering where to invest in our pipeline to generate long-term shareholder value. With a track record of drug development success leading to approvals for products which had either difficult pathways to approval or where approvals were won following a complete response letter (“CRL”) from the U.S. Food and Drug Administration (“FDA)”, the Company determined to focus its expertise on rare disease indications, as well as seeking value-creating opportunities by building and directly commercializing product candidates in lieu of an out-licensing model. We are executing on this balanced approach by building a culture that is patient-focused and driven by our commitment to developing and making available therapies which address the myriad unmet needs within the rare disease community.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2022, we purchased all of the assets and operations of Orphazyme A/S related to arimoclomol, settled all of Orphazyme’s actual outstanding liabilities to its creditors with a cash payment of $12.8 million, and agreed to assume an estimated reserve liability of $5.2 million related to revenue generated from Orphazyme’s Expanded Access Program in France (the "Arimoclomol EAP").</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November 17, 2023, Zevra completed the acquisition of Acer. Pursuant to the Merger Agreement, Acer continues as a wholly-owned subsidiary of Zevra. The Merger included the acquisition of OLPRUVA® (sodium phenylbutyrate) for oral suspension, which was approved by the U.S. Food and Drug Administration (FDA) on December 27, 2022, for the treatment of urea cycle disorders ("UCDs"). Acer also had a pipeline of investigational product candidates, including celiprolol for the treatment of Vascular Ehlers-Danlos syndrome ("VEDS") in, patients with a confirmed type III collagen (COL3A1) mutation. At the effective time of the Merger (the "Effective Time"), each share of common stock of Acer, par value $0.0001 per share, issued and outstanding immediately prior to the Effective Time (excluding cancelled shares and any shares held by holders who have exercised their appraisal rights) were converted into the right to receive (i) 0.1210 fully paid and non-assessable shares of common stock of Zevra, par value $0.0001 per share, and (ii) one non-transferable contingent value right (“CVR”) issued by Zevra, which represents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order to accomplish our mission, we are seeking to further expand our pipeline through both internal development and through our business development activities to collaborate, partner, and potentially acquire additional assets. We intend to target assets that will allow us to leverage the expertise and infrastructure that we have built in order to mitigate risk and enhance our probability of success. In addition, we may consider external opportunities within neurology and neurodegenerative diseases, psychiatric disorders, and other rare diseases, along with adjacent or related therapeutic categories. If we are successful, expanding our pipeline could be accretive to our value proposition and has the potential to create incremental long-term value for stockholders.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recurring operating losses and negative cash flows from operations raise substantial doubt about our ability to continue as a going concern. The Company’s ability to continue operating as a going concern is contingent upon its ability to generate revenue from approved products or obtain product candidate regulatory approvals, which would generate revenue, milestones, and cash flow sufficient to support ongoing operations and the satisfaction of financial covenants. We are early in our commercialization effort for OLPRUVA and do not yet have a substantial basis to project future earnings, and our other sources of revenue are not sufficient to sustain our present activities on their own. Accordingly, our ability to continue as a going concern may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ectPr>
          <w:pgSz w:w="11900" w:h="16838" w:orient="portrait"/>
          <w:cols w:equalWidth="0" w:num="1">
            <w:col w:w="11240"/>
          </w:cols>
          <w:pgMar w:left="320" w:top="123"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7" w:name="page28"/>
    <w:bookmarkEnd w:id="2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Our Product Candidates and Approved Products</w:t>
      </w:r>
    </w:p>
    <w:p>
      <w:pPr>
        <w:spacing w:after="0" w:line="2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We have built a diverse portfolio of products and product candidates through a combination of internal development and strategic investments through acquisition. For example, we have employed our proprietary Ligand Activated Technology ("LAT") platform to develop approved products (e.g., AZSTARYS), and clinical development candidates (KP1077IH and KP1077N). Through our business development efforts, we have added a commercial product (OLPRUVA), and clinical development candidates (arimoclomol, celiprolol). We furthermore have a variety of product candidates and compounds that are early-stage, pre-clinical and clinical-stage designed to address a variety of rare diseases and other indications.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Currently active commercial products and development assets are summarized in the table below:</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100" w:type="dxa"/>
            <w:vAlign w:val="bottom"/>
          </w:tcPr>
          <w:p>
            <w:pPr>
              <w:spacing w:after="0"/>
              <w:rPr>
                <w:sz w:val="19"/>
                <w:szCs w:val="19"/>
                <w:color w:val="auto"/>
              </w:rPr>
            </w:pPr>
          </w:p>
        </w:tc>
        <w:tc>
          <w:tcPr>
            <w:tcW w:w="6680" w:type="dxa"/>
            <w:vAlign w:val="bottom"/>
            <w:gridSpan w:val="3"/>
          </w:tcPr>
          <w:p>
            <w:pPr>
              <w:ind w:left="1660"/>
              <w:spacing w:after="0"/>
              <w:rPr>
                <w:sz w:val="20"/>
                <w:szCs w:val="20"/>
                <w:color w:val="auto"/>
              </w:rPr>
            </w:pPr>
            <w:r>
              <w:rPr>
                <w:rFonts w:ascii="Times New Roman" w:cs="Times New Roman" w:eastAsia="Times New Roman" w:hAnsi="Times New Roman"/>
                <w:sz w:val="17"/>
                <w:szCs w:val="17"/>
                <w:b w:val="1"/>
                <w:bCs w:val="1"/>
                <w:color w:val="auto"/>
              </w:rPr>
              <w:t>Active Zevra Commercial and Development Assets</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Parent Drug</w:t>
            </w:r>
          </w:p>
        </w:tc>
        <w:tc>
          <w:tcPr>
            <w:tcW w:w="22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b w:val="1"/>
                <w:bCs w:val="1"/>
                <w:color w:val="auto"/>
              </w:rPr>
              <w:t>Indication</w:t>
            </w:r>
          </w:p>
        </w:tc>
        <w:tc>
          <w:tcPr>
            <w:tcW w:w="236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Product / Candidate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Next Milestone(s)</w:t>
            </w:r>
          </w:p>
        </w:tc>
        <w:tc>
          <w:tcPr>
            <w:tcW w:w="0" w:type="dxa"/>
            <w:vAlign w:val="bottom"/>
          </w:tcPr>
          <w:p>
            <w:pPr>
              <w:spacing w:after="0"/>
              <w:rPr>
                <w:sz w:val="1"/>
                <w:szCs w:val="1"/>
                <w:color w:val="auto"/>
              </w:rPr>
            </w:pPr>
          </w:p>
        </w:tc>
      </w:tr>
      <w:tr>
        <w:trPr>
          <w:trHeight w:val="124"/>
        </w:trPr>
        <w:tc>
          <w:tcPr>
            <w:tcW w:w="210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Status</w:t>
            </w: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10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vMerge w:val="continue"/>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Sodium phenylbutyrate</w:t>
            </w:r>
          </w:p>
        </w:tc>
        <w:tc>
          <w:tcPr>
            <w:tcW w:w="2220" w:type="dxa"/>
            <w:vAlign w:val="bottom"/>
            <w:shd w:val="clear" w:color="auto" w:fill="CCEEFF"/>
          </w:tcPr>
          <w:p>
            <w:pPr>
              <w:ind w:left="440"/>
              <w:spacing w:after="0" w:line="183" w:lineRule="exact"/>
              <w:rPr>
                <w:sz w:val="20"/>
                <w:szCs w:val="20"/>
                <w:color w:val="auto"/>
              </w:rPr>
            </w:pPr>
            <w:r>
              <w:rPr>
                <w:rFonts w:ascii="Times New Roman" w:cs="Times New Roman" w:eastAsia="Times New Roman" w:hAnsi="Times New Roman"/>
                <w:sz w:val="17"/>
                <w:szCs w:val="17"/>
                <w:color w:val="auto"/>
              </w:rPr>
              <w:t>Urea Cycle</w:t>
            </w:r>
          </w:p>
        </w:tc>
        <w:tc>
          <w:tcPr>
            <w:tcW w:w="2360" w:type="dxa"/>
            <w:vAlign w:val="bottom"/>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w w:val="97"/>
              </w:rPr>
              <w:t>OLPRUVA</w:t>
            </w:r>
          </w:p>
        </w:tc>
        <w:tc>
          <w:tcPr>
            <w:tcW w:w="2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FDA Approved</w:t>
            </w:r>
          </w:p>
        </w:tc>
        <w:tc>
          <w:tcPr>
            <w:tcW w:w="24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rPr>
              <w:t>Tracking Commercial</w:t>
            </w:r>
          </w:p>
        </w:tc>
        <w:tc>
          <w:tcPr>
            <w:tcW w:w="0" w:type="dxa"/>
            <w:vAlign w:val="bottom"/>
          </w:tcPr>
          <w:p>
            <w:pPr>
              <w:spacing w:after="0"/>
              <w:rPr>
                <w:sz w:val="1"/>
                <w:szCs w:val="1"/>
                <w:color w:val="auto"/>
              </w:rPr>
            </w:pPr>
          </w:p>
        </w:tc>
      </w:tr>
      <w:tr>
        <w:trPr>
          <w:trHeight w:val="120"/>
        </w:trPr>
        <w:tc>
          <w:tcPr>
            <w:tcW w:w="2100" w:type="dxa"/>
            <w:vAlign w:val="bottom"/>
            <w:vMerge w:val="continue"/>
            <w:shd w:val="clear" w:color="auto" w:fill="CCEEFF"/>
          </w:tcPr>
          <w:p>
            <w:pPr>
              <w:spacing w:after="0"/>
              <w:rPr>
                <w:sz w:val="10"/>
                <w:szCs w:val="10"/>
                <w:color w:val="auto"/>
              </w:rPr>
            </w:pPr>
          </w:p>
        </w:tc>
        <w:tc>
          <w:tcPr>
            <w:tcW w:w="22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Disorders (UCD)</w:t>
            </w:r>
          </w:p>
        </w:tc>
        <w:tc>
          <w:tcPr>
            <w:tcW w:w="2360" w:type="dxa"/>
            <w:vAlign w:val="bottom"/>
            <w:vMerge w:val="continue"/>
            <w:shd w:val="clear" w:color="auto" w:fill="CCEEFF"/>
          </w:tcPr>
          <w:p>
            <w:pPr>
              <w:spacing w:after="0"/>
              <w:rPr>
                <w:sz w:val="10"/>
                <w:szCs w:val="10"/>
                <w:color w:val="auto"/>
              </w:rPr>
            </w:pPr>
          </w:p>
        </w:tc>
        <w:tc>
          <w:tcPr>
            <w:tcW w:w="2100" w:type="dxa"/>
            <w:vAlign w:val="bottom"/>
            <w:vMerge w:val="continue"/>
            <w:shd w:val="clear" w:color="auto" w:fill="CCEEFF"/>
          </w:tcPr>
          <w:p>
            <w:pPr>
              <w:spacing w:after="0"/>
              <w:rPr>
                <w:sz w:val="10"/>
                <w:szCs w:val="10"/>
                <w:color w:val="auto"/>
              </w:rPr>
            </w:pPr>
          </w:p>
        </w:tc>
        <w:tc>
          <w:tcPr>
            <w:tcW w:w="2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Progress</w:t>
            </w:r>
          </w:p>
        </w:tc>
        <w:tc>
          <w:tcPr>
            <w:tcW w:w="0" w:type="dxa"/>
            <w:vAlign w:val="bottom"/>
          </w:tcPr>
          <w:p>
            <w:pPr>
              <w:spacing w:after="0"/>
              <w:rPr>
                <w:sz w:val="1"/>
                <w:szCs w:val="1"/>
                <w:color w:val="auto"/>
              </w:rPr>
            </w:pPr>
          </w:p>
        </w:tc>
      </w:tr>
      <w:tr>
        <w:trPr>
          <w:trHeight w:val="103"/>
        </w:trPr>
        <w:tc>
          <w:tcPr>
            <w:tcW w:w="2100" w:type="dxa"/>
            <w:vAlign w:val="bottom"/>
            <w:tcBorders>
              <w:bottom w:val="single" w:sz="8" w:color="auto"/>
            </w:tcBorders>
            <w:shd w:val="clear" w:color="auto" w:fill="CCEEFF"/>
          </w:tcPr>
          <w:p>
            <w:pPr>
              <w:spacing w:after="0"/>
              <w:rPr>
                <w:sz w:val="8"/>
                <w:szCs w:val="8"/>
                <w:color w:val="auto"/>
              </w:rPr>
            </w:pPr>
          </w:p>
        </w:tc>
        <w:tc>
          <w:tcPr>
            <w:tcW w:w="2220" w:type="dxa"/>
            <w:vAlign w:val="bottom"/>
            <w:tcBorders>
              <w:bottom w:val="single" w:sz="8" w:color="auto"/>
            </w:tcBorders>
            <w:vMerge w:val="continue"/>
            <w:shd w:val="clear" w:color="auto" w:fill="CCEEFF"/>
          </w:tcPr>
          <w:p>
            <w:pPr>
              <w:spacing w:after="0"/>
              <w:rPr>
                <w:sz w:val="8"/>
                <w:szCs w:val="8"/>
                <w:color w:val="auto"/>
              </w:rPr>
            </w:pPr>
          </w:p>
        </w:tc>
        <w:tc>
          <w:tcPr>
            <w:tcW w:w="2360" w:type="dxa"/>
            <w:vAlign w:val="bottom"/>
            <w:tcBorders>
              <w:bottom w:val="single" w:sz="8" w:color="auto"/>
            </w:tcBorders>
            <w:shd w:val="clear" w:color="auto" w:fill="CCEEFF"/>
          </w:tcPr>
          <w:p>
            <w:pPr>
              <w:spacing w:after="0"/>
              <w:rPr>
                <w:sz w:val="8"/>
                <w:szCs w:val="8"/>
                <w:color w:val="auto"/>
              </w:rPr>
            </w:pPr>
          </w:p>
        </w:tc>
        <w:tc>
          <w:tcPr>
            <w:tcW w:w="2100" w:type="dxa"/>
            <w:vAlign w:val="bottom"/>
            <w:tcBorders>
              <w:bottom w:val="single" w:sz="8" w:color="auto"/>
            </w:tcBorders>
            <w:shd w:val="clear" w:color="auto" w:fill="CCEEFF"/>
          </w:tcPr>
          <w:p>
            <w:pPr>
              <w:spacing w:after="0"/>
              <w:rPr>
                <w:sz w:val="8"/>
                <w:szCs w:val="8"/>
                <w:color w:val="auto"/>
              </w:rPr>
            </w:pPr>
          </w:p>
        </w:tc>
        <w:tc>
          <w:tcPr>
            <w:tcW w:w="24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20" w:type="dxa"/>
            <w:vAlign w:val="bottom"/>
          </w:tcPr>
          <w:p>
            <w:pPr>
              <w:ind w:left="440"/>
              <w:spacing w:after="0" w:line="183" w:lineRule="exact"/>
              <w:rPr>
                <w:sz w:val="20"/>
                <w:szCs w:val="20"/>
                <w:color w:val="auto"/>
              </w:rPr>
            </w:pPr>
            <w:r>
              <w:rPr>
                <w:rFonts w:ascii="Times New Roman" w:cs="Times New Roman" w:eastAsia="Times New Roman" w:hAnsi="Times New Roman"/>
                <w:sz w:val="17"/>
                <w:szCs w:val="17"/>
                <w:color w:val="auto"/>
              </w:rPr>
              <w:t>Niemann Pick</w:t>
            </w:r>
          </w:p>
        </w:tc>
        <w:tc>
          <w:tcPr>
            <w:tcW w:w="2360" w:type="dxa"/>
            <w:vAlign w:val="bottom"/>
          </w:tcPr>
          <w:p>
            <w:pPr>
              <w:spacing w:after="0"/>
              <w:rPr>
                <w:sz w:val="15"/>
                <w:szCs w:val="15"/>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Pending FDA</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PDUFA target date</w:t>
            </w:r>
          </w:p>
        </w:tc>
        <w:tc>
          <w:tcPr>
            <w:tcW w:w="0" w:type="dxa"/>
            <w:vAlign w:val="bottom"/>
          </w:tcPr>
          <w:p>
            <w:pPr>
              <w:spacing w:after="0"/>
              <w:rPr>
                <w:sz w:val="1"/>
                <w:szCs w:val="1"/>
                <w:color w:val="auto"/>
              </w:rPr>
            </w:pPr>
          </w:p>
        </w:tc>
      </w:tr>
      <w:tr>
        <w:trPr>
          <w:trHeight w:val="103"/>
        </w:trPr>
        <w:tc>
          <w:tcPr>
            <w:tcW w:w="2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Arimoclomol</w:t>
            </w:r>
          </w:p>
        </w:tc>
        <w:tc>
          <w:tcPr>
            <w:tcW w:w="22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disease type C</w:t>
            </w:r>
          </w:p>
        </w:tc>
        <w:tc>
          <w:tcPr>
            <w:tcW w:w="236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auto"/>
              </w:rPr>
              <w:t>Arimoclomol</w:t>
            </w:r>
          </w:p>
        </w:tc>
        <w:tc>
          <w:tcPr>
            <w:tcW w:w="2100" w:type="dxa"/>
            <w:vAlign w:val="bottom"/>
            <w:vMerge w:val="continue"/>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0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2360" w:type="dxa"/>
            <w:vAlign w:val="bottom"/>
            <w:vMerge w:val="continue"/>
          </w:tcPr>
          <w:p>
            <w:pPr>
              <w:spacing w:after="0"/>
              <w:rPr>
                <w:sz w:val="8"/>
                <w:szCs w:val="8"/>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Review</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September 21, 2024</w:t>
            </w: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22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(NPC)</w:t>
            </w:r>
          </w:p>
        </w:tc>
        <w:tc>
          <w:tcPr>
            <w:tcW w:w="23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10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15"/>
                <w:szCs w:val="15"/>
                <w:color w:val="auto"/>
              </w:rPr>
            </w:pPr>
          </w:p>
        </w:tc>
        <w:tc>
          <w:tcPr>
            <w:tcW w:w="2220" w:type="dxa"/>
            <w:vAlign w:val="bottom"/>
            <w:shd w:val="clear" w:color="auto" w:fill="CCEEFF"/>
          </w:tcPr>
          <w:p>
            <w:pPr>
              <w:ind w:left="440"/>
              <w:spacing w:after="0" w:line="183" w:lineRule="exact"/>
              <w:rPr>
                <w:sz w:val="20"/>
                <w:szCs w:val="20"/>
                <w:color w:val="auto"/>
              </w:rPr>
            </w:pPr>
            <w:r>
              <w:rPr>
                <w:rFonts w:ascii="Times New Roman" w:cs="Times New Roman" w:eastAsia="Times New Roman" w:hAnsi="Times New Roman"/>
                <w:sz w:val="17"/>
                <w:szCs w:val="17"/>
                <w:color w:val="auto"/>
              </w:rPr>
              <w:t>Vascular Ehlers</w:t>
            </w:r>
          </w:p>
        </w:tc>
        <w:tc>
          <w:tcPr>
            <w:tcW w:w="23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Celiprolol</w:t>
            </w:r>
          </w:p>
        </w:tc>
        <w:tc>
          <w:tcPr>
            <w:tcW w:w="2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Danlos Syndrome</w:t>
            </w:r>
          </w:p>
        </w:tc>
        <w:tc>
          <w:tcPr>
            <w:tcW w:w="2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Celiprolol</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Clinical - Phase 1/2</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Phase 3 ongoing</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(VEDS)</w:t>
            </w:r>
          </w:p>
        </w:tc>
        <w:tc>
          <w:tcPr>
            <w:tcW w:w="23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Serdexmethylphenidate</w:t>
            </w:r>
          </w:p>
        </w:tc>
        <w:tc>
          <w:tcPr>
            <w:tcW w:w="2220" w:type="dxa"/>
            <w:vAlign w:val="bottom"/>
          </w:tcPr>
          <w:p>
            <w:pPr>
              <w:ind w:left="440"/>
              <w:spacing w:after="0" w:line="183" w:lineRule="exact"/>
              <w:rPr>
                <w:sz w:val="20"/>
                <w:szCs w:val="20"/>
                <w:color w:val="auto"/>
              </w:rPr>
            </w:pPr>
            <w:r>
              <w:rPr>
                <w:rFonts w:ascii="Times New Roman" w:cs="Times New Roman" w:eastAsia="Times New Roman" w:hAnsi="Times New Roman"/>
                <w:sz w:val="17"/>
                <w:szCs w:val="17"/>
                <w:color w:val="auto"/>
              </w:rPr>
              <w:t>Idiopathic</w:t>
            </w:r>
          </w:p>
        </w:tc>
        <w:tc>
          <w:tcPr>
            <w:tcW w:w="236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auto"/>
              </w:rPr>
              <w:t>KP1077IH</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Clinical - Phase 2</w:t>
            </w:r>
          </w:p>
        </w:tc>
        <w:tc>
          <w:tcPr>
            <w:tcW w:w="24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Evaluation of potential</w:t>
            </w:r>
          </w:p>
        </w:tc>
        <w:tc>
          <w:tcPr>
            <w:tcW w:w="0" w:type="dxa"/>
            <w:vAlign w:val="bottom"/>
          </w:tcPr>
          <w:p>
            <w:pPr>
              <w:spacing w:after="0"/>
              <w:rPr>
                <w:sz w:val="1"/>
                <w:szCs w:val="1"/>
                <w:color w:val="auto"/>
              </w:rPr>
            </w:pPr>
          </w:p>
        </w:tc>
      </w:tr>
      <w:tr>
        <w:trPr>
          <w:trHeight w:val="120"/>
        </w:trPr>
        <w:tc>
          <w:tcPr>
            <w:tcW w:w="2100" w:type="dxa"/>
            <w:vAlign w:val="bottom"/>
            <w:vMerge w:val="continue"/>
          </w:tcPr>
          <w:p>
            <w:pPr>
              <w:spacing w:after="0"/>
              <w:rPr>
                <w:sz w:val="10"/>
                <w:szCs w:val="10"/>
                <w:color w:val="auto"/>
              </w:rPr>
            </w:pPr>
          </w:p>
        </w:tc>
        <w:tc>
          <w:tcPr>
            <w:tcW w:w="22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Hypersomnia (IH)</w:t>
            </w:r>
          </w:p>
        </w:tc>
        <w:tc>
          <w:tcPr>
            <w:tcW w:w="236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Phase 3 Trial</w:t>
            </w:r>
          </w:p>
        </w:tc>
        <w:tc>
          <w:tcPr>
            <w:tcW w:w="0" w:type="dxa"/>
            <w:vAlign w:val="bottom"/>
          </w:tcPr>
          <w:p>
            <w:pPr>
              <w:spacing w:after="0"/>
              <w:rPr>
                <w:sz w:val="1"/>
                <w:szCs w:val="1"/>
                <w:color w:val="auto"/>
              </w:rPr>
            </w:pPr>
          </w:p>
        </w:tc>
      </w:tr>
      <w:tr>
        <w:trPr>
          <w:trHeight w:val="103"/>
        </w:trPr>
        <w:tc>
          <w:tcPr>
            <w:tcW w:w="210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Serdexmethylphenidate</w:t>
            </w:r>
          </w:p>
        </w:tc>
        <w:tc>
          <w:tcPr>
            <w:tcW w:w="22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Narcolepsy</w:t>
            </w:r>
          </w:p>
        </w:tc>
        <w:tc>
          <w:tcPr>
            <w:tcW w:w="2360" w:type="dxa"/>
            <w:vAlign w:val="bottom"/>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KP1077N</w:t>
            </w:r>
          </w:p>
        </w:tc>
        <w:tc>
          <w:tcPr>
            <w:tcW w:w="2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Clinical - Phase 1/2</w:t>
            </w:r>
          </w:p>
        </w:tc>
        <w:tc>
          <w:tcPr>
            <w:tcW w:w="24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rPr>
              <w:t>Evaluation of potential</w:t>
            </w:r>
          </w:p>
        </w:tc>
        <w:tc>
          <w:tcPr>
            <w:tcW w:w="0" w:type="dxa"/>
            <w:vAlign w:val="bottom"/>
          </w:tcPr>
          <w:p>
            <w:pPr>
              <w:spacing w:after="0"/>
              <w:rPr>
                <w:sz w:val="1"/>
                <w:szCs w:val="1"/>
                <w:color w:val="auto"/>
              </w:rPr>
            </w:pPr>
          </w:p>
        </w:tc>
      </w:tr>
      <w:tr>
        <w:trPr>
          <w:trHeight w:val="120"/>
        </w:trPr>
        <w:tc>
          <w:tcPr>
            <w:tcW w:w="2100" w:type="dxa"/>
            <w:vAlign w:val="bottom"/>
            <w:vMerge w:val="continue"/>
            <w:shd w:val="clear" w:color="auto" w:fill="CCEEFF"/>
          </w:tcPr>
          <w:p>
            <w:pPr>
              <w:spacing w:after="0"/>
              <w:rPr>
                <w:sz w:val="10"/>
                <w:szCs w:val="10"/>
                <w:color w:val="auto"/>
              </w:rPr>
            </w:pPr>
          </w:p>
        </w:tc>
        <w:tc>
          <w:tcPr>
            <w:tcW w:w="2220" w:type="dxa"/>
            <w:vAlign w:val="bottom"/>
            <w:vMerge w:val="continue"/>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2100" w:type="dxa"/>
            <w:vAlign w:val="bottom"/>
            <w:vMerge w:val="continue"/>
            <w:shd w:val="clear" w:color="auto" w:fill="CCEEFF"/>
          </w:tcPr>
          <w:p>
            <w:pPr>
              <w:spacing w:after="0"/>
              <w:rPr>
                <w:sz w:val="10"/>
                <w:szCs w:val="10"/>
                <w:color w:val="auto"/>
              </w:rPr>
            </w:pPr>
          </w:p>
        </w:tc>
        <w:tc>
          <w:tcPr>
            <w:tcW w:w="2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Phase 3 Trial</w:t>
            </w:r>
          </w:p>
        </w:tc>
        <w:tc>
          <w:tcPr>
            <w:tcW w:w="0" w:type="dxa"/>
            <w:vAlign w:val="bottom"/>
          </w:tcPr>
          <w:p>
            <w:pPr>
              <w:spacing w:after="0"/>
              <w:rPr>
                <w:sz w:val="1"/>
                <w:szCs w:val="1"/>
                <w:color w:val="auto"/>
              </w:rPr>
            </w:pPr>
          </w:p>
        </w:tc>
      </w:tr>
      <w:tr>
        <w:trPr>
          <w:trHeight w:val="103"/>
        </w:trPr>
        <w:tc>
          <w:tcPr>
            <w:tcW w:w="2100" w:type="dxa"/>
            <w:vAlign w:val="bottom"/>
            <w:tcBorders>
              <w:bottom w:val="single" w:sz="8" w:color="auto"/>
            </w:tcBorders>
            <w:shd w:val="clear" w:color="auto" w:fill="CCEEFF"/>
          </w:tcPr>
          <w:p>
            <w:pPr>
              <w:spacing w:after="0"/>
              <w:rPr>
                <w:sz w:val="8"/>
                <w:szCs w:val="8"/>
                <w:color w:val="auto"/>
              </w:rPr>
            </w:pPr>
          </w:p>
        </w:tc>
        <w:tc>
          <w:tcPr>
            <w:tcW w:w="2220" w:type="dxa"/>
            <w:vAlign w:val="bottom"/>
            <w:tcBorders>
              <w:bottom w:val="single" w:sz="8" w:color="auto"/>
            </w:tcBorders>
            <w:shd w:val="clear" w:color="auto" w:fill="CCEEFF"/>
          </w:tcPr>
          <w:p>
            <w:pPr>
              <w:spacing w:after="0"/>
              <w:rPr>
                <w:sz w:val="8"/>
                <w:szCs w:val="8"/>
                <w:color w:val="auto"/>
              </w:rPr>
            </w:pPr>
          </w:p>
        </w:tc>
        <w:tc>
          <w:tcPr>
            <w:tcW w:w="2360" w:type="dxa"/>
            <w:vAlign w:val="bottom"/>
            <w:tcBorders>
              <w:bottom w:val="single" w:sz="8" w:color="auto"/>
            </w:tcBorders>
            <w:shd w:val="clear" w:color="auto" w:fill="CCEEFF"/>
          </w:tcPr>
          <w:p>
            <w:pPr>
              <w:spacing w:after="0"/>
              <w:rPr>
                <w:sz w:val="8"/>
                <w:szCs w:val="8"/>
                <w:color w:val="auto"/>
              </w:rPr>
            </w:pPr>
          </w:p>
        </w:tc>
        <w:tc>
          <w:tcPr>
            <w:tcW w:w="2100" w:type="dxa"/>
            <w:vAlign w:val="bottom"/>
            <w:tcBorders>
              <w:bottom w:val="single" w:sz="8" w:color="auto"/>
            </w:tcBorders>
            <w:shd w:val="clear" w:color="auto" w:fill="CCEEFF"/>
          </w:tcPr>
          <w:p>
            <w:pPr>
              <w:spacing w:after="0"/>
              <w:rPr>
                <w:sz w:val="8"/>
                <w:szCs w:val="8"/>
                <w:color w:val="auto"/>
              </w:rPr>
            </w:pPr>
          </w:p>
        </w:tc>
        <w:tc>
          <w:tcPr>
            <w:tcW w:w="24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Serdexmethylphenidate</w:t>
            </w:r>
          </w:p>
        </w:tc>
        <w:tc>
          <w:tcPr>
            <w:tcW w:w="2220" w:type="dxa"/>
            <w:vAlign w:val="bottom"/>
          </w:tcPr>
          <w:p>
            <w:pPr>
              <w:ind w:left="440"/>
              <w:spacing w:after="0" w:line="183" w:lineRule="exact"/>
              <w:rPr>
                <w:sz w:val="20"/>
                <w:szCs w:val="20"/>
                <w:color w:val="auto"/>
              </w:rPr>
            </w:pPr>
            <w:r>
              <w:rPr>
                <w:rFonts w:ascii="Times New Roman" w:cs="Times New Roman" w:eastAsia="Times New Roman" w:hAnsi="Times New Roman"/>
                <w:sz w:val="17"/>
                <w:szCs w:val="17"/>
                <w:color w:val="auto"/>
              </w:rPr>
              <w:t>Attention Deficit</w:t>
            </w:r>
          </w:p>
        </w:tc>
        <w:tc>
          <w:tcPr>
            <w:tcW w:w="2360" w:type="dxa"/>
            <w:vAlign w:val="bottom"/>
          </w:tcPr>
          <w:p>
            <w:pPr>
              <w:spacing w:after="0"/>
              <w:rPr>
                <w:sz w:val="15"/>
                <w:szCs w:val="15"/>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FDA Approved and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Collecting royalties and</w:t>
            </w:r>
          </w:p>
        </w:tc>
        <w:tc>
          <w:tcPr>
            <w:tcW w:w="0" w:type="dxa"/>
            <w:vAlign w:val="bottom"/>
          </w:tcPr>
          <w:p>
            <w:pPr>
              <w:spacing w:after="0"/>
              <w:rPr>
                <w:sz w:val="1"/>
                <w:szCs w:val="1"/>
                <w:color w:val="auto"/>
              </w:rPr>
            </w:pPr>
          </w:p>
        </w:tc>
      </w:tr>
      <w:tr>
        <w:trPr>
          <w:trHeight w:val="103"/>
        </w:trPr>
        <w:tc>
          <w:tcPr>
            <w:tcW w:w="2100" w:type="dxa"/>
            <w:vAlign w:val="bottom"/>
            <w:vMerge w:val="continue"/>
          </w:tcPr>
          <w:p>
            <w:pPr>
              <w:spacing w:after="0"/>
              <w:rPr>
                <w:sz w:val="8"/>
                <w:szCs w:val="8"/>
                <w:color w:val="auto"/>
              </w:rPr>
            </w:pPr>
          </w:p>
        </w:tc>
        <w:tc>
          <w:tcPr>
            <w:tcW w:w="22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and Hyperactivity</w:t>
            </w:r>
          </w:p>
        </w:tc>
        <w:tc>
          <w:tcPr>
            <w:tcW w:w="236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auto"/>
                <w:w w:val="97"/>
              </w:rPr>
              <w:t>AZSTARYS</w:t>
            </w:r>
          </w:p>
        </w:tc>
        <w:tc>
          <w:tcPr>
            <w:tcW w:w="2100" w:type="dxa"/>
            <w:vAlign w:val="bottom"/>
            <w:vMerge w:val="continue"/>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and dexmethylphenidate</w:t>
            </w:r>
          </w:p>
        </w:tc>
        <w:tc>
          <w:tcPr>
            <w:tcW w:w="2220" w:type="dxa"/>
            <w:vAlign w:val="bottom"/>
            <w:vMerge w:val="continue"/>
          </w:tcPr>
          <w:p>
            <w:pPr>
              <w:spacing w:after="0"/>
              <w:rPr>
                <w:sz w:val="8"/>
                <w:szCs w:val="8"/>
                <w:color w:val="auto"/>
              </w:rPr>
            </w:pPr>
          </w:p>
        </w:tc>
        <w:tc>
          <w:tcPr>
            <w:tcW w:w="2360" w:type="dxa"/>
            <w:vAlign w:val="bottom"/>
            <w:vMerge w:val="continue"/>
          </w:tcPr>
          <w:p>
            <w:pPr>
              <w:spacing w:after="0"/>
              <w:rPr>
                <w:sz w:val="8"/>
                <w:szCs w:val="8"/>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Partnered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milestones</w:t>
            </w:r>
          </w:p>
        </w:tc>
        <w:tc>
          <w:tcPr>
            <w:tcW w:w="0" w:type="dxa"/>
            <w:vAlign w:val="bottom"/>
          </w:tcPr>
          <w:p>
            <w:pPr>
              <w:spacing w:after="0"/>
              <w:rPr>
                <w:sz w:val="1"/>
                <w:szCs w:val="1"/>
                <w:color w:val="auto"/>
              </w:rPr>
            </w:pPr>
          </w:p>
        </w:tc>
      </w:tr>
      <w:tr>
        <w:trPr>
          <w:trHeight w:val="120"/>
        </w:trPr>
        <w:tc>
          <w:tcPr>
            <w:tcW w:w="2100" w:type="dxa"/>
            <w:vAlign w:val="bottom"/>
            <w:vMerge w:val="continue"/>
          </w:tcPr>
          <w:p>
            <w:pPr>
              <w:spacing w:after="0"/>
              <w:rPr>
                <w:sz w:val="10"/>
                <w:szCs w:val="10"/>
                <w:color w:val="auto"/>
              </w:rPr>
            </w:pPr>
          </w:p>
        </w:tc>
        <w:tc>
          <w:tcPr>
            <w:tcW w:w="22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Disorder (ADHD)</w:t>
            </w:r>
          </w:p>
        </w:tc>
        <w:tc>
          <w:tcPr>
            <w:tcW w:w="23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10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2023, filed with the SEC on April 1, 2024, as updated by Part II, Item 1A. "Risk Factors" of this Quarterly Report on Form 10-Q.</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OLPRUVA</w:t>
      </w:r>
    </w:p>
    <w:p>
      <w:pPr>
        <w:spacing w:after="0" w:line="22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OLPRUVA (sodium phenylbutyrate) for oral suspension is approved in the U.S. as adjunctive therapy to standard of care, which includes dietary management, for the chronic management of UCDs involving deficiencies of carbamylphosphate synthetase (CPS), ornithine transcarbamylase (OTC), orargininosuccinic acid synthetase (AS). OLPRUVA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minutes after preparation.</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in the U.S. While there are therapies currently approved for the treatment of UCDs - specifically RAVICTI®, marketed by Amgen, Inc. (formerly Horizon Therapeutics) and PHEBURANE®, marketed by Medunik USA - there remain unmet needs for this community of patients. OLPRUVA offers benefits over other UCD treatments by eliminating issues with palatability, offering improved portability with its single-dose envelopes, and it comes in a dosage that personalized to the patient based on weight.</w:t>
      </w:r>
    </w:p>
    <w:p>
      <w:pPr>
        <w:spacing w:after="0" w:line="17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To commercialize OLPRUVA for oral suspension in the U.S. we are building marketing, sales, medical affairs, distribution, managerial and other non-technical capabilities or making arrangements with third parties to perform these services. During the quarter ended December 31, 2023, we began generating revenue from the sale of OLPRUVA in the U.S. For additional information regarding the Merger, see Note L of our unaudited consolidated condensed financial statements included elsewhere in this Quarterly Report on Form 10-Q. In addition, Zevra has a partnership with Relief Therapeutics who has rights to commercialize OLPRUVA in various EU countries, if approved. In addition, Zevra pays royalties of 10% of U.S. net sales plus milestones to Relief Therapeutics.</w:t>
      </w:r>
    </w:p>
    <w:p>
      <w:pPr>
        <w:spacing w:after="0" w:line="17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During the first quarter of 2024, we initiated the fully commercial launch of OLPRUVA in the U.S. We have concentrated our initial efforts on approximately 40 metabolic treatment centers of excellence across the United States as the first part of our strategy to build awareness with physicians regarding the differentiation that OLPRUVA can bring to people living with UCDs. In the three months since launch, our team has been able to engage with more than 90% of our customers. We have seen meaningful growth in reimbursement coverage, which was approximately 55% of U.S. covered lives at the time of acquisition, to now approximately 75%.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OLPRUVA summary:</w:t>
      </w:r>
    </w:p>
    <w:p>
      <w:pPr>
        <w:spacing w:after="0" w:line="211" w:lineRule="exact"/>
        <w:rPr>
          <w:sz w:val="20"/>
          <w:szCs w:val="20"/>
          <w:color w:val="auto"/>
        </w:rPr>
      </w:pPr>
    </w:p>
    <w:p>
      <w:pPr>
        <w:ind w:left="900" w:hanging="439"/>
        <w:spacing w:after="0" w:line="29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OLPRUVA is available in the U.S for the treatment of UCD. </w:t>
      </w:r>
      <w:r>
        <w:rPr>
          <w:rFonts w:ascii="Times New Roman" w:cs="Times New Roman" w:eastAsia="Times New Roman" w:hAnsi="Times New Roman"/>
          <w:sz w:val="17"/>
          <w:szCs w:val="17"/>
          <w:color w:val="auto"/>
        </w:rPr>
        <w:t>OLPRUVA is an adjunctive therapy for long-term management of adults and children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weighing 20kg or greater with UCD from deficiencies of CPS, OTC, or AS.</w:t>
      </w:r>
    </w:p>
    <w:p>
      <w:pPr>
        <w:spacing w:after="0" w:line="139" w:lineRule="exact"/>
        <w:rPr>
          <w:rFonts w:ascii="Times New Roman" w:cs="Times New Roman" w:eastAsia="Times New Roman" w:hAnsi="Times New Roman"/>
          <w:sz w:val="17"/>
          <w:szCs w:val="17"/>
          <w:color w:val="auto"/>
        </w:rPr>
      </w:pPr>
    </w:p>
    <w:p>
      <w:pPr>
        <w:ind w:left="900" w:hanging="439"/>
        <w:spacing w:after="0" w:line="29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OLPRUVA is differentiated from currently available forms of phenylbutyrate. </w:t>
      </w:r>
      <w:r>
        <w:rPr>
          <w:rFonts w:ascii="Times New Roman" w:cs="Times New Roman" w:eastAsia="Times New Roman" w:hAnsi="Times New Roman"/>
          <w:sz w:val="17"/>
          <w:szCs w:val="17"/>
          <w:color w:val="auto"/>
        </w:rPr>
        <w:t>OLPRUVA is formulated to improve palatability while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 with a portable and discrete pre-measured dose.</w:t>
      </w:r>
    </w:p>
    <w:p>
      <w:pPr>
        <w:spacing w:after="0" w:line="139" w:lineRule="exact"/>
        <w:rPr>
          <w:rFonts w:ascii="Times New Roman" w:cs="Times New Roman" w:eastAsia="Times New Roman" w:hAnsi="Times New Roman"/>
          <w:sz w:val="17"/>
          <w:szCs w:val="17"/>
          <w:color w:val="auto"/>
        </w:rPr>
      </w:pPr>
    </w:p>
    <w:p>
      <w:pPr>
        <w:ind w:left="900" w:hanging="439"/>
        <w:spacing w:after="0" w:line="29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Zevra has assembled a team to support OLPRUVA and additional future commercial products. </w:t>
      </w:r>
      <w:r>
        <w:rPr>
          <w:rFonts w:ascii="Times New Roman" w:cs="Times New Roman" w:eastAsia="Times New Roman" w:hAnsi="Times New Roman"/>
          <w:sz w:val="17"/>
          <w:szCs w:val="17"/>
          <w:color w:val="auto"/>
        </w:rPr>
        <w:t>We have established an efficient commercial team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is designed to fully service the patients and prescribers within the rare disease indications we are pursuing.</w:t>
      </w:r>
    </w:p>
    <w:p>
      <w:pPr>
        <w:sectPr>
          <w:pgSz w:w="11900" w:h="16838" w:orient="portrait"/>
          <w:cols w:equalWidth="0" w:num="1">
            <w:col w:w="11260"/>
          </w:cols>
          <w:pgMar w:left="300" w:top="123" w:right="339" w:bottom="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0" w:gutter="0" w:footer="0" w:header="0"/>
          <w:type w:val="continuous"/>
        </w:sectPr>
      </w:pPr>
    </w:p>
    <w:bookmarkStart w:id="28" w:name="page29"/>
    <w:bookmarkEnd w:id="2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Arimoclomol</w:t>
      </w:r>
    </w:p>
    <w:p>
      <w:pPr>
        <w:spacing w:after="0" w:line="22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Arimoclomol is our product candidate being developed for the treatment of Niemann-Pick disease type C (NPC), an ultra-rare neurodegenerative lysosomal storage disorder (LSD). Arimoclomol is an orally delivered, first in-class investigational product candidate which has been granted orphan drug designation, Fast-Track designation, Breakthrough Therapy designation and rare pediatric disease designation for the treatment of NPC by the FDA, and orphan medicinal product designation for the treatment of NPC by the European Commission. The arimoclomol New Drug Application (NDA) was submitted to the FDA on December 21, 2023, and is currently undergoing review by the FDA. The FDA has assigned a PDUFA date of September 21, 2024. We believe that, if approved by the FDA, arimoclomol will be eligible to receive a Rare Pediatric Disease Priority Review Voucher (PRV), which is transferrable.</w:t>
      </w:r>
    </w:p>
    <w:p>
      <w:pPr>
        <w:spacing w:after="0" w:line="17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As an LSD, 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1,800 individuals with NPC in the US and Europe, of these, approximately 300 have been diagnosed in the U.S. However, diagnostic challenges may affect the number of potential patients, and we believe that the availability of treatment options could increase awareness of the disease and assist in more accurately identifying patients. Effective therapies to treat NPC are desperately needed, and for this reason, arimoclomol is currently being made available to NPC patients in the United States, France, Germany, and other EU member states under various expanded access programs ("EAPs").</w:t>
      </w:r>
    </w:p>
    <w:p>
      <w:pPr>
        <w:spacing w:after="0" w:line="173"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On September 16, 2020, the previous sponsor of the arimoclomol program, Orphazyme, submitted an NDA to the FDA, seeking approval for arimoclomol to treat NPC. In June 2021, the FDA issued a complete response letter ("CRL"), meaning it determined that it could not approve the NDA in its present form.</w:t>
      </w:r>
    </w:p>
    <w:p>
      <w:pPr>
        <w:spacing w:after="0" w:line="151" w:lineRule="exact"/>
        <w:rPr>
          <w:sz w:val="20"/>
          <w:szCs w:val="20"/>
          <w:color w:val="auto"/>
        </w:rPr>
      </w:pPr>
    </w:p>
    <w:p>
      <w:pPr>
        <w:jc w:val="both"/>
        <w:ind w:left="20"/>
        <w:spacing w:after="0" w:line="236" w:lineRule="auto"/>
        <w:rPr>
          <w:sz w:val="20"/>
          <w:szCs w:val="20"/>
          <w:color w:val="auto"/>
        </w:rPr>
      </w:pPr>
      <w:r>
        <w:rPr>
          <w:rFonts w:ascii="Times New Roman" w:cs="Times New Roman" w:eastAsia="Times New Roman" w:hAnsi="Times New Roman"/>
          <w:sz w:val="17"/>
          <w:szCs w:val="17"/>
          <w:color w:val="auto"/>
        </w:rPr>
        <w:t>Zevra acquired the assets of Orphazyme A/S (Orphazyme) in May 2022, and took over the responsibility for arimoclomol, including the preparation and resubmission of the NDA designed to respond to the FDA’s specific deficiencies identified in the CRL and feedback in subsequent meetings between the FDA and Orphazyme. Since that time, we have worked diligently to characterize the meaningful evidence of safety and efficacy of arimoclomol for its intended use and the substantial data generated since the CRL, including the recently completed four-year open-label safety trial, an interim analysis of which was presented at the 19th World</w:t>
      </w:r>
      <w:r>
        <w:rPr>
          <w:rFonts w:ascii="Times New Roman" w:cs="Times New Roman" w:eastAsia="Times New Roman" w:hAnsi="Times New Roman"/>
          <w:sz w:val="17"/>
          <w:szCs w:val="17"/>
          <w:i w:val="1"/>
          <w:iCs w:val="1"/>
          <w:color w:val="auto"/>
        </w:rPr>
        <w:t>Symposium</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 February 2023. Upon fulfilling the randomized double-blinded portion of the Phase 2/3 clinical trial, both placebo- and arimoclomol-treated patients were given the option to continue into the four-year (48 month) open-label-extension ("OLE"), phase of the study with arimoclomol treatment provided in addition to their current standard of care. We believe that the results from this analysis, based on up to four years of continuous treatment, suggest that arimoclomol may reduce the long-term progression of NPC.</w:t>
      </w:r>
    </w:p>
    <w:p>
      <w:pPr>
        <w:spacing w:after="0" w:line="194"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In preparation of the arimoclomol NDA resubmission, we completed a meeting with the FDA in August 2023, receiving feedback that was used to finalize the NDA submission. The updated NDA package for arimoclomol was resubmitted to the FDA in December 2023. Zevra believes it has addressed the issues previously raised by the FDA in the 2021 CRL. Zevra has conducted additional studies to support the potential mechanism of action of arimoclomol. Additionally, new data was included in the resubmission as supportive evidence from multiple non-clinical studies, natural history comparisons, real-world data generated from the ongoing early access programs in the U.S. and the European Union, as well as data from the four-year open-label extension of the Phase 2/3 clinical trial (NCT02612129).</w:t>
      </w:r>
    </w:p>
    <w:p>
      <w:pPr>
        <w:spacing w:after="0" w:line="38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In January 2024, the FDA acknowledged receipt of the resubmission and, under the Prescription Drug User Fee Act (“PDUFA”), deemed the arimoclomol NDA resubmission to be a Class II complete response which has a six-month review period from the date of resubmission. On March 4, 2024, we announced that the FDA had extended the review period for the NDA for arimoclomol and set a new PDUFA date of September 21, 2024. The FDA also re-affirmed its intent to present the resubmission for discussion at an advisory committee meeting to be scheduled.</w:t>
      </w:r>
    </w:p>
    <w:p>
      <w:pPr>
        <w:spacing w:after="0" w:line="17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 xml:space="preserve">In April 2024, the Company presented new long-term, real-world data from the expanded access program (EAP: NCT04316637) for the treatment of NPC at the </w:t>
      </w:r>
      <w:r>
        <w:rPr>
          <w:rFonts w:ascii="Times New Roman" w:cs="Times New Roman" w:eastAsia="Times New Roman" w:hAnsi="Times New Roman"/>
          <w:sz w:val="17"/>
          <w:szCs w:val="17"/>
          <w:i w:val="1"/>
          <w:iCs w:val="1"/>
          <w:color w:val="auto"/>
        </w:rPr>
        <w:t>Society for Inherited Metabolic Disorders</w:t>
      </w:r>
      <w:r>
        <w:rPr>
          <w:rFonts w:ascii="Times New Roman" w:cs="Times New Roman" w:eastAsia="Times New Roman" w:hAnsi="Times New Roman"/>
          <w:sz w:val="17"/>
          <w:szCs w:val="17"/>
          <w:color w:val="auto"/>
        </w:rPr>
        <w:t>. The study demonstrated that adults treated with arimoclomol, including those with and without miglustat use,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had a stable disease course with a clinically meaningful slowing of disease progression over two years of treatment and follow-up and the safety profile was consistent with that observed in the Phase 2/3 study where no new safety adverse events were identified.</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Zevra holds the global rights for arimoclomol. We are evaluating the possibility of seeking regulatory approval and commercialization outside of the US.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Arimoclomol summary:</w:t>
      </w:r>
    </w:p>
    <w:p>
      <w:pPr>
        <w:spacing w:after="0" w:line="211" w:lineRule="exact"/>
        <w:rPr>
          <w:sz w:val="20"/>
          <w:szCs w:val="20"/>
          <w:color w:val="auto"/>
        </w:rPr>
      </w:pPr>
    </w:p>
    <w:p>
      <w:pPr>
        <w:ind w:left="900" w:hanging="439"/>
        <w:spacing w:after="0" w:line="294"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Currently, no approved treatments for NPC in the U.S. </w:t>
      </w:r>
      <w:r>
        <w:rPr>
          <w:rFonts w:ascii="Times New Roman" w:cs="Times New Roman" w:eastAsia="Times New Roman" w:hAnsi="Times New Roman"/>
          <w:sz w:val="17"/>
          <w:szCs w:val="17"/>
          <w:color w:val="auto"/>
        </w:rPr>
        <w:t>There are no currently approved products in the U.S. to treat the underlying disease of NPC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we believe, if approved, arimoclomol could be considered a foundational therapy for patients in the U.S.</w:t>
      </w:r>
    </w:p>
    <w:p>
      <w:pPr>
        <w:spacing w:after="0" w:line="139" w:lineRule="exact"/>
        <w:rPr>
          <w:rFonts w:ascii="Times New Roman" w:cs="Times New Roman" w:eastAsia="Times New Roman" w:hAnsi="Times New Roman"/>
          <w:sz w:val="17"/>
          <w:szCs w:val="17"/>
          <w:color w:val="auto"/>
        </w:rPr>
      </w:pPr>
    </w:p>
    <w:p>
      <w:pPr>
        <w:jc w:val="both"/>
        <w:ind w:left="900" w:hanging="439"/>
        <w:spacing w:after="0" w:line="273"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Designed to address disease progression. </w:t>
      </w:r>
      <w:r>
        <w:rPr>
          <w:rFonts w:ascii="Times New Roman" w:cs="Times New Roman" w:eastAsia="Times New Roman" w:hAnsi="Times New Roman"/>
          <w:sz w:val="17"/>
          <w:szCs w:val="17"/>
          <w:color w:val="auto"/>
        </w:rPr>
        <w:t>Arimoclomol is designed to address the symptoms of NPC by slowing the progression of the disease itself,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rather than serving as a symptomatic treatment only. The Phase 2/3 trial data for arimoclomol in NPC demonstrated reduced disease progression, and long-term data from the 4-year OLE of the Phase 2/3 trial suggest improved outcomes vs. historical controls.</w:t>
      </w:r>
    </w:p>
    <w:p>
      <w:pPr>
        <w:spacing w:after="0" w:line="157" w:lineRule="exact"/>
        <w:rPr>
          <w:rFonts w:ascii="Times New Roman" w:cs="Times New Roman" w:eastAsia="Times New Roman" w:hAnsi="Times New Roman"/>
          <w:sz w:val="17"/>
          <w:szCs w:val="17"/>
          <w:color w:val="auto"/>
        </w:rPr>
      </w:pPr>
    </w:p>
    <w:p>
      <w:pPr>
        <w:ind w:left="900" w:right="440" w:hanging="439"/>
        <w:spacing w:after="0" w:line="294"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Ease of flexible administration as an oral treatment. </w:t>
      </w:r>
      <w:r>
        <w:rPr>
          <w:rFonts w:ascii="Times New Roman" w:cs="Times New Roman" w:eastAsia="Times New Roman" w:hAnsi="Times New Roman"/>
          <w:sz w:val="17"/>
          <w:szCs w:val="17"/>
          <w:color w:val="auto"/>
        </w:rPr>
        <w:t>Arimoclomol is administered as an oral capsule that can be swallowed whole, opened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contents mixed with foods or liquids, or delivered through a feeding tube.</w:t>
      </w:r>
    </w:p>
    <w:p>
      <w:pPr>
        <w:spacing w:after="0" w:line="139" w:lineRule="exact"/>
        <w:rPr>
          <w:rFonts w:ascii="Times New Roman" w:cs="Times New Roman" w:eastAsia="Times New Roman" w:hAnsi="Times New Roman"/>
          <w:sz w:val="17"/>
          <w:szCs w:val="17"/>
          <w:color w:val="auto"/>
        </w:rPr>
      </w:pPr>
    </w:p>
    <w:p>
      <w:pPr>
        <w:ind w:left="900" w:right="320" w:hanging="439"/>
        <w:spacing w:after="0" w:line="294"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Extensive clinical experience with favorable safety data. </w:t>
      </w:r>
      <w:r>
        <w:rPr>
          <w:rFonts w:ascii="Times New Roman" w:cs="Times New Roman" w:eastAsia="Times New Roman" w:hAnsi="Times New Roman"/>
          <w:sz w:val="17"/>
          <w:szCs w:val="17"/>
          <w:color w:val="auto"/>
        </w:rPr>
        <w:t>No significant safety findings have been reported with more than 600 patients treated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various clinical trials and through our expanded access programs.</w:t>
      </w:r>
    </w:p>
    <w:p>
      <w:pPr>
        <w:spacing w:after="0" w:line="139" w:lineRule="exact"/>
        <w:rPr>
          <w:rFonts w:ascii="Times New Roman" w:cs="Times New Roman" w:eastAsia="Times New Roman" w:hAnsi="Times New Roman"/>
          <w:sz w:val="17"/>
          <w:szCs w:val="17"/>
          <w:color w:val="auto"/>
        </w:rPr>
      </w:pPr>
    </w:p>
    <w:p>
      <w:pPr>
        <w:jc w:val="both"/>
        <w:ind w:left="900" w:hanging="439"/>
        <w:spacing w:after="0" w:line="273"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Advantageous regulatory designations. </w:t>
      </w:r>
      <w:r>
        <w:rPr>
          <w:rFonts w:ascii="Times New Roman" w:cs="Times New Roman" w:eastAsia="Times New Roman" w:hAnsi="Times New Roman"/>
          <w:sz w:val="17"/>
          <w:szCs w:val="17"/>
          <w:color w:val="auto"/>
        </w:rPr>
        <w:t>Arimoclomol has been granted orphan drug designation, Fast Track designation, and Breakthrough Therapy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designation for the treatment of NPC. If approved for the treatment of NPC, we believe arimoclomol will be eligible to receive a Pediatric Rare Disease Priority Review Voucher (“PRV”).</w:t>
      </w:r>
    </w:p>
    <w:p>
      <w:pPr>
        <w:sectPr>
          <w:pgSz w:w="11900" w:h="16838" w:orient="portrait"/>
          <w:cols w:equalWidth="0" w:num="1">
            <w:col w:w="11260"/>
          </w:cols>
          <w:pgMar w:left="300" w:top="123"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29" w:name="page30"/>
    <w:bookmarkEnd w:id="2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Celiprolol</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The Merger with Acer included the acquisition of celiprolol. We are advancing celiprolol as an investigational product candidate for the treatment of VEDS in patients with a confirmed type III collagen (</w:t>
      </w:r>
      <w:r>
        <w:rPr>
          <w:rFonts w:ascii="Times New Roman" w:cs="Times New Roman" w:eastAsia="Times New Roman" w:hAnsi="Times New Roman"/>
          <w:sz w:val="17"/>
          <w:szCs w:val="17"/>
          <w:i w:val="1"/>
          <w:iCs w:val="1"/>
          <w:color w:val="auto"/>
        </w:rPr>
        <w:t>COL3A1</w:t>
      </w:r>
      <w:r>
        <w:rPr>
          <w:rFonts w:ascii="Times New Roman" w:cs="Times New Roman" w:eastAsia="Times New Roman" w:hAnsi="Times New Roman"/>
          <w:sz w:val="17"/>
          <w:szCs w:val="17"/>
          <w:color w:val="auto"/>
        </w:rPr>
        <w:t>) mutation. Celiprolol is a selective adrenergic modulator (SAM) and, if we receive the first approval in the U.S. for celiprolol, we believe it would be deemed a new chemical entity (“NCE”) in the U.S. Celiprolol is currently approved in the European Union for the treatment of hypertension and angina.</w:t>
      </w:r>
    </w:p>
    <w:p>
      <w:pPr>
        <w:spacing w:after="0" w:line="17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Ehlers-Danlos Syndrome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Gastrointestinal and uterine fragility or rupture also commonly occur in VEDS patients. Spontaneous arterial rupture has a peak incidence in the third or fourth decade of life in VEDS patients but may occur earlier and is the most common cause of sudden death in vEDS patients. Arterial rupture or dissection events occur in about 25% of patients before the age of 20 but increase to roughly 90% of patients by the age of 40. The median survival age of VEDS patients in the U.S. is 51 years, with arterial rupture being the most common cause of sudden death. Pregnancy-related complications also occur in women with VEDS and include arterial dissection or rupture, uterine rupture, hemorrhage, premature rupture of membranes, lacerations, and complications during and after surgery. The incidence of VEDS is estimated to be one in 50,000 to 200,000 people. There are approximately 7,500 diagnosed patients in the U.S.</w:t>
      </w:r>
    </w:p>
    <w:p>
      <w:pPr>
        <w:spacing w:after="0" w:line="38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Currently, there are no approved therapies anywhere in the world for VEDS. However, celiprolol, prescribed off label, has become the standard of care therapy for VEDS in some Europe an countries. Medical intervention for VEDS focuses on surgery, symptomatic treatment, genetic counseling, and prophylactic measures, such as avoiding intense physical activity, scuba diving, and violent sports. Arterial, digestive, or uterine complications in VEDS patients typically require immediate hospitalization, observation in an intensive care unit, and sometimes surgery. Pregnant women with VEDS are considered to be at risk and receive special care. While VEDS patients are encouraged to take steps to minimize the chances of an arterial rupture or dissection, there are no pharmacologic options to reduce the likelihood of such an event, and accordingly current treatments for VEDS focus on the repair of arterial ruptures or dissection. Therefore, patients must adopt a “watch and wait” approach following any confirmed diagnosis. Unfortunately, many of these arterial events have high mortality associated with them, and thus, a pharmacologic intervention that reduces the rate of events would be clinically meaningful.</w:t>
      </w:r>
    </w:p>
    <w:p>
      <w:pPr>
        <w:spacing w:after="0" w:line="175"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Celiprolol has not been approved for any indication in the U.S. In the past, an NDA for celiprolol for the treatment for hypertension was submitted to the FDA by Rorer (subsequently acquired by Aventis Pharma SA (Aventis)) in June 1987, but was subsequently withdrawn prior to completion of the FDA review and therefore never approved. We have obtained the exclusive right in North and South America from Aventis to reference the celiprolol data included in the marketing authorization application dossier filed with and approved by the UK Medicines and Healthcare Products Regulatory Agency (“MHRA”). In addition, our wholly-owned subsidiary, Acer Therapeutics, Inc. (“Acer”) has licensed exclusive worldwide rights to the data from the Phase 3 clinical trial known as the BBEST trial which was sponsored by L’Assistance Publique Hôpitaux de Paris (“AP-HP”).</w:t>
      </w:r>
    </w:p>
    <w:p>
      <w:pPr>
        <w:spacing w:after="0" w:line="17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 xml:space="preserve">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and while the FDA denied the appeal, it described possible paths forward toward approval. In a May 2021 Type B meeting with the FDA, Acer discussed the conduct of an U.S.-based prospective, randomized, double-blind, placebo-controlled, decentralized clinical trial in patients with </w:t>
      </w:r>
      <w:r>
        <w:rPr>
          <w:rFonts w:ascii="Times New Roman" w:cs="Times New Roman" w:eastAsia="Times New Roman" w:hAnsi="Times New Roman"/>
          <w:sz w:val="17"/>
          <w:szCs w:val="17"/>
          <w:i w:val="1"/>
          <w:iCs w:val="1"/>
          <w:color w:val="auto"/>
        </w:rPr>
        <w:t>COL3A1</w:t>
      </w:r>
      <w:r>
        <w:rPr>
          <w:rFonts w:ascii="Times New Roman" w:cs="Times New Roman" w:eastAsia="Times New Roman" w:hAnsi="Times New Roman"/>
          <w:sz w:val="17"/>
          <w:szCs w:val="17"/>
          <w:color w:val="auto"/>
        </w:rPr>
        <w:t xml:space="preserve"> positive VvEDS, and sought the FDA’s opinion on various proposed design features of the study.</w:t>
      </w:r>
    </w:p>
    <w:p>
      <w:pPr>
        <w:spacing w:after="0" w:line="179"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Based on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(“BTD”) in the U.S. for the treatment of patients with COL3A1-positive VEDS.</w:t>
      </w:r>
    </w:p>
    <w:p>
      <w:pPr>
        <w:spacing w:after="0" w:line="165"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7"/>
          <w:szCs w:val="17"/>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We have completed our preliminary evaluation of the celiprolol program for the treatment of VEDS and we recently restarted recruitment of the ongoing Phase 3 trial. We believe that celiprolol could address significant unmet needs as there are currently no approved treatments for VEDS in the U.S.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Celiprolol summary:</w:t>
      </w:r>
    </w:p>
    <w:p>
      <w:pPr>
        <w:spacing w:after="0" w:line="211" w:lineRule="exact"/>
        <w:rPr>
          <w:sz w:val="20"/>
          <w:szCs w:val="20"/>
          <w:color w:val="auto"/>
        </w:rPr>
      </w:pPr>
    </w:p>
    <w:p>
      <w:pPr>
        <w:ind w:left="200" w:right="60" w:hanging="125"/>
        <w:spacing w:after="0" w:line="294" w:lineRule="auto"/>
        <w:tabs>
          <w:tab w:leader="none" w:pos="2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Currently, no approved treatments for VEDS in the U.S. </w:t>
      </w:r>
      <w:r>
        <w:rPr>
          <w:rFonts w:ascii="Times New Roman" w:cs="Times New Roman" w:eastAsia="Times New Roman" w:hAnsi="Times New Roman"/>
          <w:sz w:val="17"/>
          <w:szCs w:val="17"/>
          <w:color w:val="auto"/>
        </w:rPr>
        <w:t>There are currently no approved treatments of VEDS in the U.S. and we believe that celiprolol, if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could be a significant innovation in the treatment of VEDS in the U.S. where current treatment options are focused primarily on surgical intervention.</w:t>
      </w:r>
    </w:p>
    <w:p>
      <w:pPr>
        <w:spacing w:after="0" w:line="139" w:lineRule="exact"/>
        <w:rPr>
          <w:rFonts w:ascii="Times New Roman" w:cs="Times New Roman" w:eastAsia="Times New Roman" w:hAnsi="Times New Roman"/>
          <w:sz w:val="17"/>
          <w:szCs w:val="17"/>
          <w:color w:val="auto"/>
        </w:rPr>
      </w:pPr>
    </w:p>
    <w:p>
      <w:pPr>
        <w:ind w:left="200" w:hanging="125"/>
        <w:spacing w:after="0" w:line="294" w:lineRule="auto"/>
        <w:tabs>
          <w:tab w:leader="none" w:pos="2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Unique pharmacological profile. </w:t>
      </w:r>
      <w:r>
        <w:rPr>
          <w:rFonts w:ascii="Times New Roman" w:cs="Times New Roman" w:eastAsia="Times New Roman" w:hAnsi="Times New Roman"/>
          <w:sz w:val="17"/>
          <w:szCs w:val="17"/>
          <w:color w:val="auto"/>
        </w:rPr>
        <w:t>Mechanism of action in VEDS patients is thought to be through vascular dilatation and smooth muscle relaxation, the effect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is to reduce the mechanical stress on collagen fibers in the arterial wall, and thereby potentially less incidence of vascular ruptures.</w:t>
      </w:r>
    </w:p>
    <w:p>
      <w:pPr>
        <w:spacing w:after="0" w:line="139" w:lineRule="exact"/>
        <w:rPr>
          <w:rFonts w:ascii="Times New Roman" w:cs="Times New Roman" w:eastAsia="Times New Roman" w:hAnsi="Times New Roman"/>
          <w:sz w:val="17"/>
          <w:szCs w:val="17"/>
          <w:color w:val="auto"/>
        </w:rPr>
      </w:pPr>
    </w:p>
    <w:p>
      <w:pPr>
        <w:jc w:val="both"/>
        <w:ind w:left="200" w:hanging="125"/>
        <w:spacing w:after="0" w:line="273" w:lineRule="auto"/>
        <w:tabs>
          <w:tab w:leader="none" w:pos="2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Evidence of efficacy in the E.U and extensive clinical experience from multiple trials. </w:t>
      </w:r>
      <w:r>
        <w:rPr>
          <w:rFonts w:ascii="Times New Roman" w:cs="Times New Roman" w:eastAsia="Times New Roman" w:hAnsi="Times New Roman"/>
          <w:sz w:val="17"/>
          <w:szCs w:val="17"/>
          <w:color w:val="auto"/>
        </w:rPr>
        <w:t>Celiprolol has become the primary treatment for VEDS patients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European countries. BBEST Clinical Trial data showed 76% reduction in risk of arterial events observed in COLA3A1+ subpopulation, with additional data from a long-term observational study in France.</w:t>
      </w:r>
    </w:p>
    <w:p>
      <w:pPr>
        <w:spacing w:after="0" w:line="157" w:lineRule="exact"/>
        <w:rPr>
          <w:rFonts w:ascii="Times New Roman" w:cs="Times New Roman" w:eastAsia="Times New Roman" w:hAnsi="Times New Roman"/>
          <w:sz w:val="17"/>
          <w:szCs w:val="17"/>
          <w:color w:val="auto"/>
        </w:rPr>
      </w:pPr>
    </w:p>
    <w:p>
      <w:pPr>
        <w:ind w:left="200" w:hanging="125"/>
        <w:spacing w:after="0" w:line="294" w:lineRule="auto"/>
        <w:tabs>
          <w:tab w:leader="none" w:pos="2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Regulatory designations. </w:t>
      </w:r>
      <w:r>
        <w:rPr>
          <w:rFonts w:ascii="Times New Roman" w:cs="Times New Roman" w:eastAsia="Times New Roman" w:hAnsi="Times New Roman"/>
          <w:sz w:val="17"/>
          <w:szCs w:val="17"/>
          <w:color w:val="auto"/>
        </w:rPr>
        <w:t>Celiprolol for VEDS would be considered an NCE in the U.S. and has been granted Orphan Drug designation and Breakthrough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Therapy designation.</w:t>
      </w:r>
    </w:p>
    <w:p>
      <w:pPr>
        <w:spacing w:after="0" w:line="139" w:lineRule="exact"/>
        <w:rPr>
          <w:rFonts w:ascii="Times New Roman" w:cs="Times New Roman" w:eastAsia="Times New Roman" w:hAnsi="Times New Roman"/>
          <w:sz w:val="17"/>
          <w:szCs w:val="17"/>
          <w:color w:val="auto"/>
        </w:rPr>
      </w:pPr>
    </w:p>
    <w:p>
      <w:pPr>
        <w:ind w:left="200" w:hanging="125"/>
        <w:spacing w:after="0" w:line="294" w:lineRule="auto"/>
        <w:tabs>
          <w:tab w:leader="none" w:pos="2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Solid patent protection through 2038. </w:t>
      </w:r>
      <w:r>
        <w:rPr>
          <w:rFonts w:ascii="Times New Roman" w:cs="Times New Roman" w:eastAsia="Times New Roman" w:hAnsi="Times New Roman"/>
          <w:sz w:val="17"/>
          <w:szCs w:val="17"/>
          <w:color w:val="auto"/>
        </w:rPr>
        <w:t>Celiprolol is generally protected by U.S. patents that will expire, after utilizing all appropriate patent term adjustments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but excluding possible term extensions, in 2038.</w:t>
      </w:r>
    </w:p>
    <w:p>
      <w:pPr>
        <w:sectPr>
          <w:pgSz w:w="11900" w:h="16838" w:orient="portrait"/>
          <w:cols w:equalWidth="0" w:num="1">
            <w:col w:w="11260"/>
          </w:cols>
          <w:pgMar w:left="300" w:top="123" w:right="339" w:bottom="1115"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115" w:gutter="0" w:footer="0" w:header="0"/>
          <w:type w:val="continuous"/>
        </w:sectPr>
      </w:pPr>
    </w:p>
    <w:bookmarkStart w:id="30" w:name="page31"/>
    <w:bookmarkEnd w:id="30"/>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KP1077</w:t>
      </w:r>
    </w:p>
    <w:p>
      <w:pPr>
        <w:spacing w:after="0" w:line="22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KP1077 is being developed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There is currently only one approved product for the treatment of IH, XYWAV®, developed by Jazz Pharmaceuticals. A second product, WAKIX®, developed by Harmony Biosciences and originally approved for the treatment of EDS or cataplexy in adult patients with narcolepsy, but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("REM"),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with superior exposure/duration characteristics and low abuse potential may be beneficial.</w:t>
      </w:r>
    </w:p>
    <w:p>
      <w:pPr>
        <w:spacing w:after="0" w:line="17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spacing w:after="0" w:line="17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In January 2022, we announced that we had selected KP1077 for the treatment of IH and narcolepsy as our lead clinical development candidate. KP1077 utilizes SDX, our prodrug of d-MPH, as its API. During the first quarter of 2022, we initiated a Phase 1 clinical trial comparing the cardiovascular safety of SDX to immediate-release and long-acting formulations of RITALIN®,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enrolled 48 adult patients with IH in more than 30 centers in the United States. Part 1 of the trial consisted of a five-week open-label titration phase during which patients were optimized to one of four doses of SDX (80, 160, 240, or 320 mg/day). Part 2 of the trial entailed a two-week randomized, double-blind, withdrawal phase, during which two-thirds of the trial participants will continue to receive their optimized dose while the remaining one-third will receive placebo. Participants were further assigned into two evenly divided cohorts. The first cohort received a single daily dose just before bedtime, and the second cohort received half the daily dose shortly after awakening and half the daily dose prior to bedtime.</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Clinically meaningful improvements were observed across all studied endpoints. The trial was not powered for statistical significance, and this was not the primary endpoint.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Phase 2 trial, KP1077 was observed to be well-tolerated at all dose levels and both dosing regimens, with adverse events that are typical for stimulants and mostly mild in severity. These results are consistent with data from the Phase 1 trial with serdexmethylphenidate (SDX) that indicated no greater cardiovascular safety risk despite higher overall exposure levels when compared to both immediate and long-acting methylphenidate products currently used off-label for the treatment of IH. The trial concluded in March 2024 and provided meaningful information of the optimal dose and dosing regimen to inform Phase 3 trial design.</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second quarter of 2023, we initiated a Phase 1 clinical trial in healthy volunteers to assess proposed dosing regimen for the narcolepsy indication. This study was completed in September 2023. By leveraging the data from the IH program, Zevra is evaluating the potential to initiate a Phase 3 trial in narcolepsy.</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KP1077 is subject to a right of first negotiation upon completion of a proof-of-concept study in favor of Commave, under the terms of the AZSTARYS License Agreement, but is not currently licensed to Commave, thereunder.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KP1077 Summary:</w:t>
      </w:r>
    </w:p>
    <w:p>
      <w:pPr>
        <w:spacing w:after="0" w:line="211" w:lineRule="exact"/>
        <w:rPr>
          <w:sz w:val="20"/>
          <w:szCs w:val="20"/>
          <w:color w:val="auto"/>
        </w:rPr>
      </w:pPr>
    </w:p>
    <w:p>
      <w:pPr>
        <w:ind w:left="880" w:hanging="439"/>
        <w:spacing w:after="0"/>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Dosing flexibility. </w:t>
      </w:r>
      <w:r>
        <w:rPr>
          <w:rFonts w:ascii="Times New Roman" w:cs="Times New Roman" w:eastAsia="Times New Roman" w:hAnsi="Times New Roman"/>
          <w:sz w:val="17"/>
          <w:szCs w:val="17"/>
          <w:color w:val="auto"/>
        </w:rPr>
        <w:t>Designed to be delivered in either one or two doses daily, which is designed to address the two primary issues associated with IH:</w:t>
      </w:r>
    </w:p>
    <w:p>
      <w:pPr>
        <w:spacing w:after="0" w:line="33"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nighttime dose would address sleep inertia, and (ii) morning dose would address daytime brain fog.</w:t>
      </w:r>
    </w:p>
    <w:p>
      <w:pPr>
        <w:spacing w:after="0" w:line="194" w:lineRule="exact"/>
        <w:rPr>
          <w:rFonts w:ascii="Times New Roman" w:cs="Times New Roman" w:eastAsia="Times New Roman" w:hAnsi="Times New Roman"/>
          <w:sz w:val="17"/>
          <w:szCs w:val="17"/>
          <w:color w:val="auto"/>
        </w:rPr>
      </w:pPr>
    </w:p>
    <w:p>
      <w:pPr>
        <w:ind w:left="880" w:hanging="439"/>
        <w:spacing w:after="0"/>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drug-to-drug interactions. </w:t>
      </w:r>
      <w:r>
        <w:rPr>
          <w:rFonts w:ascii="Times New Roman" w:cs="Times New Roman" w:eastAsia="Times New Roman" w:hAnsi="Times New Roman"/>
          <w:sz w:val="17"/>
          <w:szCs w:val="17"/>
          <w:color w:val="auto"/>
        </w:rPr>
        <w:t>We have not observed drug-to-drug interactions in clinical drug-drug interaction studies.</w:t>
      </w:r>
    </w:p>
    <w:p>
      <w:pPr>
        <w:spacing w:after="0" w:line="217" w:lineRule="exact"/>
        <w:rPr>
          <w:rFonts w:ascii="Times New Roman" w:cs="Times New Roman" w:eastAsia="Times New Roman" w:hAnsi="Times New Roman"/>
          <w:sz w:val="17"/>
          <w:szCs w:val="17"/>
          <w:color w:val="auto"/>
        </w:rPr>
      </w:pPr>
    </w:p>
    <w:p>
      <w:pPr>
        <w:jc w:val="both"/>
        <w:ind w:left="880" w:hanging="439"/>
        <w:spacing w:after="0" w:line="273" w:lineRule="auto"/>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Potential for reduced abuse potential as a Schedule IV controlled substance. </w:t>
      </w:r>
      <w:r>
        <w:rPr>
          <w:rFonts w:ascii="Times New Roman" w:cs="Times New Roman" w:eastAsia="Times New Roman" w:hAnsi="Times New Roman"/>
          <w:sz w:val="17"/>
          <w:szCs w:val="17"/>
          <w:color w:val="auto"/>
        </w:rPr>
        <w:t>All other methylphenidate-based products have been designated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Schedule II controlled substances, which indicates stricter control over the prescribing and use of such products. KP1077 is based on SDX, which has been designated a Schedule IV controlled substance.</w:t>
      </w:r>
    </w:p>
    <w:p>
      <w:pPr>
        <w:spacing w:after="0" w:line="157" w:lineRule="exact"/>
        <w:rPr>
          <w:rFonts w:ascii="Times New Roman" w:cs="Times New Roman" w:eastAsia="Times New Roman" w:hAnsi="Times New Roman"/>
          <w:sz w:val="17"/>
          <w:szCs w:val="17"/>
          <w:color w:val="auto"/>
        </w:rPr>
      </w:pPr>
    </w:p>
    <w:p>
      <w:pPr>
        <w:jc w:val="both"/>
        <w:ind w:left="880" w:hanging="439"/>
        <w:spacing w:after="0" w:line="273" w:lineRule="auto"/>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currently approved generic equivalent product. </w:t>
      </w:r>
      <w:r>
        <w:rPr>
          <w:rFonts w:ascii="Times New Roman" w:cs="Times New Roman" w:eastAsia="Times New Roman" w:hAnsi="Times New Roman"/>
          <w:sz w:val="17"/>
          <w:szCs w:val="17"/>
          <w:color w:val="auto"/>
        </w:rPr>
        <w:t>KP1077 contains SDX, our proprietary prodrug of d-methylphenidate, also known as the 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chemical name, serdexmethylphenidate, by the U.S. Adopted Names Council of the American Medical Association (“USAN”), which means that there may be no generic equivalent product for KP1077 in most states, making drug-equivalent substitution potentially difficult at the pharmacy.</w:t>
      </w:r>
    </w:p>
    <w:p>
      <w:pPr>
        <w:spacing w:after="0" w:line="157" w:lineRule="exact"/>
        <w:rPr>
          <w:rFonts w:ascii="Times New Roman" w:cs="Times New Roman" w:eastAsia="Times New Roman" w:hAnsi="Times New Roman"/>
          <w:sz w:val="17"/>
          <w:szCs w:val="17"/>
          <w:color w:val="auto"/>
        </w:rPr>
      </w:pPr>
    </w:p>
    <w:p>
      <w:pPr>
        <w:jc w:val="both"/>
        <w:ind w:left="880" w:hanging="439"/>
        <w:spacing w:after="0" w:line="273" w:lineRule="auto"/>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Orphan drug designation. </w:t>
      </w:r>
      <w:r>
        <w:rPr>
          <w:rFonts w:ascii="Times New Roman" w:cs="Times New Roman" w:eastAsia="Times New Roman" w:hAnsi="Times New Roman"/>
          <w:sz w:val="17"/>
          <w:szCs w:val="17"/>
          <w:color w:val="auto"/>
        </w:rPr>
        <w:t>Because small size of the IH patient population, the FDA has granted KP1077 orphan drug designation for the treatment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IH. We believe KP1077 may potentially be eligible for fast-track and breakthrough therapy designation, which may provide various regulatory benefits for the development program.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AZSTARYS (Partnered product)</w:t>
      </w:r>
    </w:p>
    <w:p>
      <w:pPr>
        <w:spacing w:after="0" w:line="22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AZSTARYS contains dexmethylphenidate (d-MPH) and our prodrug of dexmethylphenidate, serdexmethylphenidate (SDX). On March 2, 2021, the FDA approved AZSTARYS as a once-daily treatment for attention deficit hyperactivity disorder (ADHD), in patients age six years and older. AZSTARYS is currently being marketed in the U.S. under our September 2019 collaboration and license agreement, or the AZSTARYS License Agreement, with Commave Therapeutics SA (formerly known as Boston Pharmaceutical S.A.) ("Commave"), an affiliate of Gurnet Point Capital, L.P. Under the AZSTARYS License Agreement, we granted to Commave an exclusive, worldwide license, to develop, manufacture, and commercialize AZSTARYS and any of our product candidates containing SDX and used to treat ADHD or any other central nervous system ("CNS") disease.</w:t>
      </w:r>
    </w:p>
    <w:p>
      <w:pPr>
        <w:spacing w:after="0" w:line="17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Commave has tasked Corium, Inc.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spacing w:after="0" w:line="165"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Pursuant to the AZSTARYS License Agreement, Commave agreed to pay up to $63.0 million in milestone payments upon the occurrence of specified regulatory milestones related to the AZSTARYS, including FDA approval and specified conditions with respect to the final approval label. In addition, Corium agreed to make additional payments upon the achievement of specified U.S. sales milestones of up to $420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7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In April 2021, we entered into the AZSTARYS Amendment. Pursuant to the AZSTARYS Amendment,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spacing w:after="0" w:line="17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In May 2021, we announced that SDX, our proprietary prodrug of d-MPH and the primary active pharmaceutical ingredient ("API") in AZSTARYS, was classified as a Schedule IV controlled substance by the DEA. AZSTARYS is classified as a Schedule II controlled substance as its formulation includes a 70:30 mixture of SDX (Schedule IV) and d-MPH (Schedule II), respectively.</w:t>
      </w:r>
    </w:p>
    <w:p>
      <w:pPr>
        <w:spacing w:after="0" w:line="16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During the first half of 2023, annual net sales of AZSTARYS surpassed $25 million, triggering the first annual net sales milestone payment of $5.0 million under the AZSTARYS License Agreement, which was earned and recognized as revenue in the second quarter of 2023, and received after quarter-end. During the second half of 2023, annual net sales of AZSTARYS surpassed $50 million, triggering the second milestone payment of $10.0 million under the AZSTARYS License Agreement, which was earned and recognized in the fourth quarter of 2024.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Third-Party Agreements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Aquestive Termination Agreement</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Under our March 2012 termination agreement with Aquestive, Aquestive has the right to receive a royalty amount equal to 10% of any value generated by AZSTARYS and any product candidates containing SDX. In connection with the AZSTARYS License Agreement, we paid Aquestive a royalty equal to 10% of the regulatory milestone and royalty payments we received in 2021 from AZSTARYS.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Distributor Agreement</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Our current single distributor for sales of our approved product, OLPRUVA is a specialty pharmacy provider, however the Company intends to establish additional distributors such as other retail pharmacies and certain medical centers or hospitals. In addition to distribution agreements, we enter into arrangements with health care providers and payors that provide for government mandated and/or privately negotiated rebates with respect to the purchase of our products.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Relief Exclusive License Agreement</w:t>
      </w:r>
    </w:p>
    <w:p>
      <w:pPr>
        <w:spacing w:after="0" w:line="2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7"/>
          <w:szCs w:val="17"/>
          <w:color w:val="auto"/>
        </w:rPr>
        <w:t>As a condition to entering into the Merger Agreement, Acer and Relief Therapeutics, Inc. ("Relief") entered into an exclusive license agreement on August 30, 2023 (the “Relief License Agreement”). Pursuant to the Relief License Agreement, Relief will hold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The Company will have the right to receive a royalty of up to 10.0% of the net sales of OLPRUVA in Geographical Europe.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2024, and 2023(in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396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Period-to-</w:t>
            </w:r>
          </w:p>
        </w:tc>
      </w:tr>
      <w:tr>
        <w:trPr>
          <w:trHeight w:val="199"/>
        </w:trPr>
        <w:tc>
          <w:tcPr>
            <w:tcW w:w="39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Period Change</w:t>
            </w:r>
          </w:p>
        </w:tc>
      </w:tr>
      <w:tr>
        <w:trPr>
          <w:trHeight w:val="19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net</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190"/>
        </w:trPr>
        <w:tc>
          <w:tcPr>
            <w:tcW w:w="396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Cost of product revenue (excluding $1,528 in</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6"/>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intangible assets amortization for the three months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ended March 31, 2024, shown separately below)</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6"/>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r>
      <w:tr>
        <w:trPr>
          <w:trHeight w:val="19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w:t>
            </w:r>
          </w:p>
        </w:tc>
      </w:tr>
      <w:tr>
        <w:trPr>
          <w:trHeight w:val="206"/>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w:t>
            </w:r>
          </w:p>
        </w:tc>
      </w:tr>
      <w:tr>
        <w:trPr>
          <w:trHeight w:val="206"/>
        </w:trPr>
        <w:tc>
          <w:tcPr>
            <w:tcW w:w="3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7,904</w:t>
            </w:r>
          </w:p>
        </w:tc>
      </w:tr>
      <w:tr>
        <w:trPr>
          <w:trHeight w:val="19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(7,655)</w:t>
            </w:r>
          </w:p>
        </w:tc>
      </w:tr>
      <w:tr>
        <w:trPr>
          <w:trHeight w:val="19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6"/>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190"/>
        </w:trPr>
        <w:tc>
          <w:tcPr>
            <w:tcW w:w="3960" w:type="dxa"/>
            <w:vAlign w:val="bottom"/>
            <w:shd w:val="clear" w:color="auto" w:fill="CCEEFF"/>
          </w:tcPr>
          <w:p>
            <w:pPr>
              <w:ind w:left="160"/>
              <w:spacing w:after="0" w:line="190" w:lineRule="exact"/>
              <w:rPr>
                <w:sz w:val="20"/>
                <w:szCs w:val="20"/>
                <w:color w:val="auto"/>
              </w:rPr>
            </w:pPr>
            <w:r>
              <w:rPr>
                <w:rFonts w:ascii="Times New Roman" w:cs="Times New Roman" w:eastAsia="Times New Roman" w:hAnsi="Times New Roman"/>
                <w:sz w:val="17"/>
                <w:szCs w:val="17"/>
                <w:color w:val="auto"/>
              </w:rPr>
              <w:t>Fair value adjustment related to warrant and CVR</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3"/>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5,172</w:t>
            </w:r>
          </w:p>
        </w:tc>
      </w:tr>
      <w:tr>
        <w:trPr>
          <w:trHeight w:val="206"/>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Fair value adjustment related to investments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06"/>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19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4,283</w:t>
            </w:r>
          </w:p>
        </w:tc>
      </w:tr>
      <w:tr>
        <w:trPr>
          <w:trHeight w:val="19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r>
      <w:tr>
        <w:trPr>
          <w:trHeight w:val="206"/>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19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w:t>
            </w:r>
          </w:p>
        </w:tc>
      </w:tr>
      <w:tr>
        <w:trPr>
          <w:trHeight w:val="20"/>
        </w:trPr>
        <w:tc>
          <w:tcPr>
            <w:tcW w:w="39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Net loss for the three months ended March 31, 2024, was $16.6 million, compared to net loss of $13.2 million for the three months ended March 31, 2023, an increase in net loss of $3.4 million. The change was primarily attributable to an increase in loss from operations of $7.7 million, partially offset by an increase in other income of $3.6 million.</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Revenue for the three months ended March 31, 2024, was $3.4 million, compared to revenue of $3.2 million for the three months ended March 31, 2023., an increase of $0.2 million. Royalties and other reimbursements under the AZSTARYS License Agreement of $1.2 million and French EAP reimbursements of $2.2 million drove net revenue for the three months ended March 31, 2024. Revenue for the three months ended March 31, 2023, was primarily comprised of arimoclomol sales under the French EAP of $3.0 million.</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Cost of products sold</w:t>
      </w:r>
    </w:p>
    <w:p>
      <w:pPr>
        <w:spacing w:after="0" w:line="221"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Cost of products sold for the three months ended March 31, 2024, remained relatively consistent compared to cost of products sold for the three months ended March 31, 2023.</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Intangible asset amortization</w:t>
      </w:r>
    </w:p>
    <w:p>
      <w:pPr>
        <w:spacing w:after="0" w:line="221"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Intangible asset amortization for the three months ended March 31, 2024, was due to $1.5 million in amortization expense related to definite lived intangible assets acquired in the Merger.</w:t>
      </w:r>
    </w:p>
    <w:p>
      <w:pPr>
        <w:sectPr>
          <w:pgSz w:w="11900" w:h="16838" w:orient="portrait"/>
          <w:cols w:equalWidth="0" w:num="1">
            <w:col w:w="11260"/>
          </w:cols>
          <w:pgMar w:left="300" w:top="123" w:right="339" w:bottom="174"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74"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21" w:lineRule="exact"/>
        <w:rPr>
          <w:sz w:val="20"/>
          <w:szCs w:val="20"/>
          <w:color w:val="auto"/>
        </w:rPr>
      </w:pPr>
    </w:p>
    <w:p>
      <w:pPr>
        <w:jc w:val="both"/>
        <w:ind w:left="40"/>
        <w:spacing w:after="0" w:line="264" w:lineRule="auto"/>
        <w:rPr>
          <w:sz w:val="20"/>
          <w:szCs w:val="20"/>
          <w:color w:val="auto"/>
        </w:rPr>
      </w:pPr>
      <w:r>
        <w:rPr>
          <w:rFonts w:ascii="Times New Roman" w:cs="Times New Roman" w:eastAsia="Times New Roman" w:hAnsi="Times New Roman"/>
          <w:sz w:val="17"/>
          <w:szCs w:val="17"/>
          <w:color w:val="auto"/>
        </w:rPr>
        <w:t>Research and development expenses increased by$3.6 million, from $8.7 million for the three months ended March 31, 2023, to $12.3 million for the three months ended March 31, 2024. This increase was primarily driven by an increase in spending for the ongoing Phase 2 clinical study in KP1077 and an increase in personnel-related costs, partially offset by a decrease in third-party costs related to arimoclomol, and a decrease in expenses incurred during the three months ended March 31, 2023, to terminate the collaboration and license agreement with KVK Tech, Inc.</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221" w:lineRule="exact"/>
        <w:rPr>
          <w:sz w:val="20"/>
          <w:szCs w:val="20"/>
          <w:color w:val="auto"/>
        </w:rPr>
      </w:pPr>
    </w:p>
    <w:p>
      <w:pPr>
        <w:jc w:val="both"/>
        <w:ind w:left="40"/>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increased by $2.7 million, from $7.2 million for the three months ended March 31, 2023, to $9.9 million for the three months ended March 31, 2024. The period-over-period increase was primarily related to an increase in personnel costs and fees associated with our commercial and business development activities.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Other Income (Expense)</w:t>
      </w:r>
    </w:p>
    <w:p>
      <w:pPr>
        <w:spacing w:after="0" w:line="221" w:lineRule="exact"/>
        <w:rPr>
          <w:sz w:val="20"/>
          <w:szCs w:val="20"/>
          <w:color w:val="auto"/>
        </w:rPr>
      </w:pPr>
    </w:p>
    <w:p>
      <w:pPr>
        <w:jc w:val="both"/>
        <w:ind w:left="40"/>
        <w:spacing w:after="0" w:line="270" w:lineRule="auto"/>
        <w:rPr>
          <w:sz w:val="20"/>
          <w:szCs w:val="20"/>
          <w:color w:val="auto"/>
        </w:rPr>
      </w:pPr>
      <w:r>
        <w:rPr>
          <w:rFonts w:ascii="Times New Roman" w:cs="Times New Roman" w:eastAsia="Times New Roman" w:hAnsi="Times New Roman"/>
          <w:sz w:val="17"/>
          <w:szCs w:val="17"/>
          <w:color w:val="auto"/>
        </w:rPr>
        <w:t>Other income (expense) changed by $4.3 million, from $0.5 million of expense for the three months ended March 31, 2023, to $3.8 million of income for the three months ended March 31, 2024. This increase was primarily attributable to a change in the fair value adjustment related to warrant and CVR liability of $5.2 million, offset by an increase in interest expense of $0.6 million, and a decrease in fair value adjustment related to investments of $0.2 million.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23" w:lineRule="exact"/>
        <w:rPr>
          <w:sz w:val="20"/>
          <w:szCs w:val="20"/>
          <w:color w:val="auto"/>
        </w:rPr>
      </w:pPr>
    </w:p>
    <w:p>
      <w:pPr>
        <w:jc w:val="both"/>
        <w:ind w:left="40"/>
        <w:spacing w:after="0" w:line="270" w:lineRule="auto"/>
        <w:rPr>
          <w:sz w:val="20"/>
          <w:szCs w:val="20"/>
          <w:color w:val="auto"/>
        </w:rPr>
      </w:pPr>
      <w:r>
        <w:rPr>
          <w:rFonts w:ascii="Times New Roman" w:cs="Times New Roman" w:eastAsia="Times New Roman" w:hAnsi="Times New Roman"/>
          <w:sz w:val="17"/>
          <w:szCs w:val="17"/>
          <w:color w:val="auto"/>
        </w:rPr>
        <w:t>Through March 31, 2024, we have funded our research and development and operating activities primarily through the issuance of debt and equity and from revenue received under the Arimoclomol EAP, AZSTARYS License Agreement, OLPRUVA product sales and consulting arrangements. As of March 31, 2024, we had cash, cash equivalents and investments of $52.7 million.</w:t>
      </w:r>
    </w:p>
    <w:p>
      <w:pPr>
        <w:spacing w:after="0" w:line="165" w:lineRule="exact"/>
        <w:rPr>
          <w:sz w:val="20"/>
          <w:szCs w:val="20"/>
          <w:color w:val="auto"/>
        </w:rPr>
      </w:pPr>
    </w:p>
    <w:p>
      <w:pPr>
        <w:ind w:left="40" w:right="760"/>
        <w:spacing w:after="0" w:line="287" w:lineRule="auto"/>
        <w:rPr>
          <w:sz w:val="20"/>
          <w:szCs w:val="20"/>
          <w:color w:val="auto"/>
        </w:rPr>
      </w:pPr>
      <w:r>
        <w:rPr>
          <w:rFonts w:ascii="Times New Roman" w:cs="Times New Roman" w:eastAsia="Times New Roman" w:hAnsi="Times New Roman"/>
          <w:sz w:val="17"/>
          <w:szCs w:val="17"/>
          <w:color w:val="auto"/>
        </w:rPr>
        <w:t>To date, we have generated revenue from the Arimoclomol EAP, AZSTARYS License Agreement, reimbursement of out-of-pocket third-party costs, the performance of consulting services, and sales of OLPRUVA.</w:t>
      </w:r>
    </w:p>
    <w:p>
      <w:pPr>
        <w:spacing w:after="0" w:line="151" w:lineRule="exact"/>
        <w:rPr>
          <w:sz w:val="20"/>
          <w:szCs w:val="20"/>
          <w:color w:val="auto"/>
        </w:rPr>
      </w:pPr>
    </w:p>
    <w:p>
      <w:pPr>
        <w:jc w:val="both"/>
        <w:ind w:left="40"/>
        <w:spacing w:after="0" w:line="264" w:lineRule="auto"/>
        <w:rPr>
          <w:sz w:val="20"/>
          <w:szCs w:val="20"/>
          <w:color w:val="auto"/>
        </w:rPr>
      </w:pPr>
      <w:r>
        <w:rPr>
          <w:rFonts w:ascii="Times New Roman" w:cs="Times New Roman" w:eastAsia="Times New Roman" w:hAnsi="Times New Roman"/>
          <w:sz w:val="17"/>
          <w:szCs w:val="17"/>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 with Commave, the Arimoclomol EAP, sales of OLPRUVA and other potential consulting arrangements and any other future arrangements related to one of our product candidates</w:t>
      </w:r>
    </w:p>
    <w:p>
      <w:pPr>
        <w:spacing w:after="0" w:line="171" w:lineRule="exact"/>
        <w:rPr>
          <w:sz w:val="20"/>
          <w:szCs w:val="20"/>
          <w:color w:val="auto"/>
        </w:rPr>
      </w:pPr>
    </w:p>
    <w:p>
      <w:pPr>
        <w:jc w:val="both"/>
        <w:ind w:left="40"/>
        <w:spacing w:after="0" w:line="270" w:lineRule="auto"/>
        <w:rPr>
          <w:sz w:val="20"/>
          <w:szCs w:val="20"/>
          <w:color w:val="auto"/>
        </w:rPr>
      </w:pPr>
      <w:r>
        <w:rPr>
          <w:rFonts w:ascii="Times New Roman" w:cs="Times New Roman" w:eastAsia="Times New Roman" w:hAnsi="Times New Roman"/>
          <w:sz w:val="17"/>
          <w:szCs w:val="17"/>
          <w:color w:val="auto"/>
        </w:rPr>
        <w:t>We filed a registration statement on Form S-3 covering the sale of the shares of our common stock up to $350.0 million, $75.0 million of which was allocated to the sales of the shares of common stock issuable under the Equity Distribution Agreement (described below). The Form S-3 was declared effective on July 12, 2021. As of March 31, 2024, no shares have been issued or sold under the Equity Distribution Agreement.</w:t>
      </w:r>
    </w:p>
    <w:p>
      <w:pPr>
        <w:spacing w:after="0" w:line="165" w:lineRule="exact"/>
        <w:rPr>
          <w:sz w:val="20"/>
          <w:szCs w:val="20"/>
          <w:color w:val="auto"/>
        </w:rPr>
      </w:pPr>
    </w:p>
    <w:p>
      <w:pPr>
        <w:jc w:val="both"/>
        <w:ind w:left="40"/>
        <w:spacing w:after="0" w:line="256" w:lineRule="auto"/>
        <w:rPr>
          <w:sz w:val="20"/>
          <w:szCs w:val="20"/>
          <w:color w:val="auto"/>
        </w:rPr>
      </w:pPr>
      <w:r>
        <w:rPr>
          <w:rFonts w:ascii="Times New Roman" w:cs="Times New Roman" w:eastAsia="Times New Roman" w:hAnsi="Times New Roman"/>
          <w:sz w:val="17"/>
          <w:szCs w:val="17"/>
          <w:color w:val="auto"/>
        </w:rPr>
        <w:t>We have incurred operating losses since our inception and, as of March 31, 2024, had an accumulated deficit of $416.4 million. Our recurring operating losses and negative cash flows from operations raise substantial doubt about our ability to continue as a going concern. The Company’s ability to continue operating as a going concern is contingent upon its ability to generate revenue from approved products or obtain product candidate regulatory approvals, which would generate revenue, milestones, and cash flow sufficient to support ongoing operations and the satisfaction of financial covenants. We are early in our commercialization effort for OLPRUVA and do not yet have a substantial basis to project future earnings, and our other sources of revenue are not sufficient to sustain our present activities on their own. Accordingly, our ability to continue as a going concern may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Distribution Agreement</w:t>
      </w:r>
    </w:p>
    <w:p>
      <w:pPr>
        <w:spacing w:after="0" w:line="223" w:lineRule="exact"/>
        <w:rPr>
          <w:sz w:val="20"/>
          <w:szCs w:val="20"/>
          <w:color w:val="auto"/>
        </w:rPr>
      </w:pPr>
    </w:p>
    <w:p>
      <w:pPr>
        <w:jc w:val="both"/>
        <w:ind w:left="40"/>
        <w:spacing w:after="0" w:line="270" w:lineRule="auto"/>
        <w:rPr>
          <w:sz w:val="20"/>
          <w:szCs w:val="20"/>
          <w:color w:val="auto"/>
        </w:rPr>
      </w:pPr>
      <w:r>
        <w:rPr>
          <w:rFonts w:ascii="Times New Roman" w:cs="Times New Roman" w:eastAsia="Times New Roman" w:hAnsi="Times New Roman"/>
          <w:sz w:val="17"/>
          <w:szCs w:val="17"/>
          <w:color w:val="auto"/>
        </w:rPr>
        <w:t>On July 2, 2021, we entered into an Equity Distribution Agreement with JMP and RBCCM, under which we may offer and sell, from time to time at our sole discretion, shares of our common stock having an aggregate offering price of up to $75.0 million through JMP and RBCCM as our sales agents. The issuance and sale, if any, of our common stock under the Equity Distribution Agreement will be made pursuant to a registration statement on Form S-3.</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82550</wp:posOffset>
            </wp:positionV>
            <wp:extent cx="71386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 Transactions and Documents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30, 2023, in connection with the Merger Agreement with Acer, the following transactions occurred prior to Closing:</w:t>
      </w:r>
    </w:p>
    <w:p>
      <w:pPr>
        <w:spacing w:after="0" w:line="213" w:lineRule="exact"/>
        <w:rPr>
          <w:sz w:val="20"/>
          <w:szCs w:val="20"/>
          <w:color w:val="auto"/>
        </w:rPr>
      </w:pPr>
    </w:p>
    <w:p>
      <w:pPr>
        <w:jc w:val="both"/>
        <w:ind w:left="260" w:hanging="205"/>
        <w:spacing w:after="0" w:line="262" w:lineRule="auto"/>
        <w:tabs>
          <w:tab w:leader="none" w:pos="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Bridge Loan </w:t>
      </w:r>
      <w:r>
        <w:rPr>
          <w:rFonts w:ascii="Times New Roman" w:cs="Times New Roman" w:eastAsia="Times New Roman" w:hAnsi="Times New Roman"/>
          <w:sz w:val="17"/>
          <w:szCs w:val="17"/>
          <w:color w:val="auto"/>
        </w:rPr>
        <w:t>- Zevra and Acer entered into a bridge loan agreement (the “Bridge Loan Agreement”), providing for Zevra to make loans (collectively,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“Bridge Loan”) to Acer up to an aggregate principal amount of $16.5 million. The Bridge Loan was provided to Acer to support its termination agreement with Relief Therapeutics Holding SA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$18.0 million.</w:t>
      </w:r>
    </w:p>
    <w:p>
      <w:pPr>
        <w:spacing w:after="0" w:line="170" w:lineRule="exact"/>
        <w:rPr>
          <w:rFonts w:ascii="Times New Roman" w:cs="Times New Roman" w:eastAsia="Times New Roman" w:hAnsi="Times New Roman"/>
          <w:sz w:val="17"/>
          <w:szCs w:val="17"/>
          <w:color w:val="auto"/>
        </w:rPr>
      </w:pPr>
    </w:p>
    <w:p>
      <w:pPr>
        <w:jc w:val="both"/>
        <w:ind w:left="280" w:hanging="225"/>
        <w:spacing w:after="0" w:line="259" w:lineRule="auto"/>
        <w:tabs>
          <w:tab w:leader="none" w:pos="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Purchase of Acer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Term Loans </w:t>
      </w:r>
      <w:r>
        <w:rPr>
          <w:rFonts w:ascii="Times New Roman" w:cs="Times New Roman" w:eastAsia="Times New Roman" w:hAnsi="Times New Roman"/>
          <w:sz w:val="17"/>
          <w:szCs w:val="17"/>
          <w:color w:val="auto"/>
        </w:rPr>
        <w:t>- Zevra purchased certain indebtedness of Acer held by Nantahala Capital Management, LLC ("Nantahala). Under the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with Nantahala, certain of its affiliates and certain other parties (collectively with Nantahala, "Nantahala Holders") 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(the "Nantahala Note"). These were recorded as receivables form Acer and were treated as a settlement of a preexisting relationship in connection with the closing of the transaction and recorded as a component of purchase consideration. In April 2024, the Nantahala Note was repaid in full and terminated.</w:t>
      </w:r>
    </w:p>
    <w:p>
      <w:pPr>
        <w:spacing w:after="0" w:line="173" w:lineRule="exact"/>
        <w:rPr>
          <w:rFonts w:ascii="Times New Roman" w:cs="Times New Roman" w:eastAsia="Times New Roman" w:hAnsi="Times New Roman"/>
          <w:sz w:val="17"/>
          <w:szCs w:val="17"/>
          <w:color w:val="auto"/>
        </w:rPr>
      </w:pPr>
    </w:p>
    <w:p>
      <w:pPr>
        <w:jc w:val="both"/>
        <w:ind w:left="280" w:hanging="225"/>
        <w:spacing w:after="0" w:line="272" w:lineRule="auto"/>
        <w:tabs>
          <w:tab w:leader="none" w:pos="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Purchase of Acer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Convertible </w:t>
      </w:r>
      <w:r>
        <w:rPr>
          <w:rFonts w:ascii="Times New Roman" w:cs="Times New Roman" w:eastAsia="Times New Roman" w:hAnsi="Times New Roman"/>
          <w:sz w:val="17"/>
          <w:szCs w:val="17"/>
          <w:color w:val="auto"/>
        </w:rPr>
        <w:t>Notes (“Marathon Convertible Notes”)- Under the Note Purchase Agreement with the Nantahala Holders, Zevra purchased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Marathon Convertible Notes that Nantahala had acquired on June 16, 2023. Zevra acquired the Marathon Convertible Notes in exchange for the issuance of 2,171,038 shares of Zevra Common Stock at $5.0667 per share for a total purchase price of $11.0 million.</w:t>
      </w:r>
    </w:p>
    <w:p>
      <w:pPr>
        <w:spacing w:after="0" w:line="160" w:lineRule="exact"/>
        <w:rPr>
          <w:rFonts w:ascii="Times New Roman" w:cs="Times New Roman" w:eastAsia="Times New Roman" w:hAnsi="Times New Roman"/>
          <w:sz w:val="17"/>
          <w:szCs w:val="17"/>
          <w:color w:val="auto"/>
        </w:rPr>
      </w:pPr>
    </w:p>
    <w:p>
      <w:pPr>
        <w:jc w:val="both"/>
        <w:ind w:left="280" w:hanging="225"/>
        <w:spacing w:after="0" w:line="257" w:lineRule="auto"/>
        <w:tabs>
          <w:tab w:leader="none" w:pos="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to IP License Agreement and IP Termination Agreement: </w:t>
      </w:r>
      <w:r>
        <w:rPr>
          <w:rFonts w:ascii="Times New Roman" w:cs="Times New Roman" w:eastAsia="Times New Roman" w:hAnsi="Times New Roman"/>
          <w:sz w:val="17"/>
          <w:szCs w:val="17"/>
          <w:color w:val="auto"/>
        </w:rPr>
        <w:t>As a condition to entering into the Merger Agreement, Acer and Relief Therapeutics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Holding AG ("Relief") entered 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has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closing of the Merger on November 17, 2023, each share of common stock of Acer was converted into the right to receive (i) 0.1210 fully paid and non-assessable shares of common stock of Zevra, par value $0.0001 per share , and (ii) one non-transferable contingent value right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Rights Agreement</w:t>
      </w:r>
    </w:p>
    <w:p>
      <w:pPr>
        <w:spacing w:after="0" w:line="221" w:lineRule="exact"/>
        <w:rPr>
          <w:sz w:val="20"/>
          <w:szCs w:val="20"/>
          <w:color w:val="auto"/>
        </w:rPr>
      </w:pPr>
    </w:p>
    <w:p>
      <w:pPr>
        <w:jc w:val="both"/>
        <w:ind w:left="40"/>
        <w:spacing w:after="0" w:line="260" w:lineRule="auto"/>
        <w:rPr>
          <w:sz w:val="20"/>
          <w:szCs w:val="20"/>
          <w:color w:val="auto"/>
        </w:rPr>
      </w:pPr>
      <w:r>
        <w:rPr>
          <w:rFonts w:ascii="Times New Roman" w:cs="Times New Roman" w:eastAsia="Times New Roman" w:hAnsi="Times New Roman"/>
          <w:sz w:val="17"/>
          <w:szCs w:val="17"/>
          <w:color w:val="auto"/>
        </w:rPr>
        <w:t>Zevra and Nantahala concurrently entered into a registration rights agreement (the “Registration Rights Agreement”), pursuant to which Zevra agreed to file a resale registration statement with respect to the resale of the Zevra common stock issuable under the Loan and Note Purchase Agreements and the Nantahala Note. On February 5, 2024, Zevra filed a registration statement on Form S-3 (File No. 333-276856) registering an aggregate of 2,269,721 shares of Zevra’s common stock that were issued pursuant to the Loan and Note Purchase Agreements. On April 5, 2024, we filed an amendment to the registration statement on Form S-3 (File No. 333-250945) covering the issuance of the shares of our common stock issuable upon the exercise of warrants issued in connection with the Merger (Note L) and remaining unexercised as of the date of the amendment, which was declared effective on April 8,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Cancellation of Acer Warrant</w:t>
      </w:r>
    </w:p>
    <w:p>
      <w:pPr>
        <w:spacing w:after="0" w:line="221" w:lineRule="exact"/>
        <w:rPr>
          <w:sz w:val="20"/>
          <w:szCs w:val="20"/>
          <w:color w:val="auto"/>
        </w:rPr>
      </w:pPr>
    </w:p>
    <w:p>
      <w:pPr>
        <w:jc w:val="both"/>
        <w:ind w:left="40"/>
        <w:spacing w:after="0" w:line="264" w:lineRule="auto"/>
        <w:rPr>
          <w:sz w:val="20"/>
          <w:szCs w:val="20"/>
          <w:color w:val="auto"/>
        </w:rPr>
      </w:pPr>
      <w:r>
        <w:rPr>
          <w:rFonts w:ascii="Times New Roman" w:cs="Times New Roman" w:eastAsia="Times New Roman" w:hAnsi="Times New Roman"/>
          <w:sz w:val="17"/>
          <w:szCs w:val="17"/>
          <w:color w:val="auto"/>
        </w:rPr>
        <w:t>On November 22, 2023, we sold an aggregate of 1,382,489 shares of our common stock and accompanying warrants to purchase up to 1,382,489 shares of our common stock at a price of $4.34 per share to a healthcare focused investment fund (the "Investor") for gross proceeds of approximately $6.0 million and an aggregate of 917,934 shares of our common stock to cancel a warrant held by the Investor to purchase 2,920,306 shares of common stock of Acer. The shares of common stock and warrants were offered and sold to the Investor in a registered direct offering without an underwriter or placement agent.</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Line of Credit</w:t>
      </w:r>
    </w:p>
    <w:p>
      <w:pPr>
        <w:spacing w:after="0" w:line="223" w:lineRule="exact"/>
        <w:rPr>
          <w:sz w:val="20"/>
          <w:szCs w:val="20"/>
          <w:color w:val="auto"/>
        </w:rPr>
      </w:pPr>
    </w:p>
    <w:p>
      <w:pPr>
        <w:jc w:val="both"/>
        <w:ind w:left="40"/>
        <w:spacing w:after="0" w:line="264" w:lineRule="auto"/>
        <w:rPr>
          <w:sz w:val="20"/>
          <w:szCs w:val="20"/>
          <w:color w:val="auto"/>
        </w:rPr>
      </w:pPr>
      <w:r>
        <w:rPr>
          <w:rFonts w:ascii="Times New Roman" w:cs="Times New Roman" w:eastAsia="Times New Roman" w:hAnsi="Times New Roman"/>
          <w:sz w:val="17"/>
          <w:szCs w:val="17"/>
          <w:color w:val="auto"/>
        </w:rPr>
        <w:t>On January 26, 2023, we and Wells Fargo, as lender, entered into a margin account agreement. Our investments were used as collateral for the loan and the amount we were able to borrow is limited to 80-90% of our outstanding investment balance held with Wells Fargo. The margin account bore interest at the Prime Rate minus 225 basis-points. As of March 31, 2024, $37.9 million was outstanding under the margin account. This facility was paid off on April 5, 2024, and the margin capability was removed from the account.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82550</wp:posOffset>
            </wp:positionV>
            <wp:extent cx="71386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three months ended March 31, 2024, and 2023 (in thousands):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572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(16,165)</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(4,045)</w:t>
            </w: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6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14,793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(17,555)</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1,217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0" w:type="dxa"/>
            <w:vAlign w:val="bottom"/>
          </w:tcPr>
          <w:p>
            <w:pPr>
              <w:spacing w:after="0"/>
              <w:rPr>
                <w:sz w:val="1"/>
                <w:szCs w:val="1"/>
                <w:color w:val="auto"/>
              </w:rPr>
            </w:pPr>
          </w:p>
        </w:tc>
      </w:tr>
      <w:tr>
        <w:trPr>
          <w:trHeight w:val="155"/>
        </w:trPr>
        <w:tc>
          <w:tcPr>
            <w:tcW w:w="5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9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64"/>
        </w:trPr>
        <w:tc>
          <w:tcPr>
            <w:tcW w:w="57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jc w:val="right"/>
              <w:ind w:right="3"/>
              <w:spacing w:after="0" w:line="65" w:lineRule="exact"/>
              <w:rPr>
                <w:sz w:val="20"/>
                <w:szCs w:val="20"/>
                <w:color w:val="auto"/>
              </w:rPr>
            </w:pPr>
            <w:r>
              <w:rPr>
                <w:rFonts w:ascii="Times New Roman" w:cs="Times New Roman" w:eastAsia="Times New Roman" w:hAnsi="Times New Roman"/>
                <w:sz w:val="6"/>
                <w:szCs w:val="6"/>
                <w:color w:val="auto"/>
              </w:rPr>
              <w:t>(45</w:t>
            </w: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3"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highlight w:val="white"/>
        </w:rPr>
        <w:t>For the three months ended March 31, 2024, net cash used in operating activities of $16.2 million consisted of a net loss of $16.6 million and $0.2 milli</w:t>
      </w:r>
      <w:r>
        <w:rPr>
          <w:rFonts w:ascii="Times New Roman" w:cs="Times New Roman" w:eastAsia="Times New Roman" w:hAnsi="Times New Roman"/>
          <w:sz w:val="17"/>
          <w:szCs w:val="17"/>
          <w:color w:val="auto"/>
        </w:rPr>
        <w:t>on in</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changes in working capital; partially offset by $0.6 million in adjustments for non-cash items. Net loss was primarily attributable to our spending on research and development programs and operating costs; partially offset by revenue received under the AZSTARYS License Agreement, the Arimoclomol EAP and product sales of OLPRUVA. The changes in working capital consisted of $7.4 million related to a change in accounts payable and accrued expenses, $0.1 million related to a change in operating lease liabilities, $2.6 million related to a change in inventories, and $0.3 million related to a change in other liabilities; partially offset by $9.1 million related to a change in accounts and other receivables, $1.0 million related to a change in discount and rebate liabilities, and $0.1 million related to a change in operating lease right-of-use assets. The adjustments for non-cash items primarily consisted of stock-based compensation expense of $2.1 million, interest expense of $0.2 million, and $1.9 million related to depreciation, amortization and other items; partially offset by a change in the fair value of warrant and CVR liability of $3.6 million.</w:t>
      </w:r>
    </w:p>
    <w:p>
      <w:pPr>
        <w:spacing w:after="0" w:line="179"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For the three months ended March 31, 2023, net cash used in operating activities of $4.0 million consisted of a net loss of $13.2 million, partially offset by $0.6 million in adjustments for non-cash items and $7.1 million in changes in working capital. Net loss was primarily attributable to our spending on research and development programs and operating costs, partially offset by revenue received under the AZSTARYS License Agreement, Arimoclomol EAP and the consulting agreements The changes in working capital consisted of $0.7 million related to a change in prepaid expenses and other assets, $0.5 million related to a change in accounts and other receivables, $1.5 million related to a change in discount and rebate liabilities, $3.9 million related to a change in accounts payable and accrued expenses, $0.1 million related to a change in operating lease right-of-use assets, $0.1 million related to a change in inventories and $0.4 million related to a change in other liabilities, partially offset by $0.1 million related to a change in operating lease liabilities. The adjustments for non-cash items primarily consisted of stock-based compensation expense of $0.6 million, non-cash severance expense of $0.4 million and $0.1 million related to depreciation, amortization and other items, partially offset by a change in the fair value adjustment related to investments of $0.2 million and a gain on foreign currency exchange rates of $0.2 million.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3"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2024, net cash provided by investing activities was $14.8 million, which was primarily attributable to maturities of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March 31, 2023, net cash used in investing activities was $17.6 million, which was primarily attributable to purchases of investments.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3"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2024, net cash provided by financing activities was $1.2 million, which was primarily attributable to proceeds from the issuance of stock.</w:t>
      </w:r>
    </w:p>
    <w:p>
      <w:pPr>
        <w:spacing w:after="0" w:line="15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2023, net cash used in financing activities was $3.8 million, which was primarily attributable to proceeds from the issuance of debt of $12.9 million, partially offset by payments of principal on insurance financing arrangements of $0.4 million, payments to repurchase shares as part of the Share Repurchase Program of $3.4 million and payments of principal on debt of $12.8 million.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Funding Requirements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While under applicable accounting principles factors exist that raise substantial doubt about our ability to continue as a going concern, based on our current operating forecast, we believe that our existing cash, cash equivalents and investments will be sufficient to fund our operations into 2026, subject to continuing compliance with our debt covenants. This estimate includes the ongoing reimbursements from the French expanded access program for arimoclomol, completion of the arimoclomol NDA resubmission, commercial activities to support the launch of arimoclomol, if approved, and completion of the KP1077 development program for IH up to NDA submission. This estimate does not include revenue from arimoclomol after potential FDA approval, or the potential sale of the priority review voucher of arimoclomol, which would be received at that time, as well, or the costs of a Phase 3 trial for KP1077 in narcolepsy. Certain of the milestones are associated with regulatory matters that are outside our control. In addition, 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Potential near-term sources of additional funding include:</w:t>
      </w:r>
    </w:p>
    <w:p>
      <w:pPr>
        <w:spacing w:after="0" w:line="217" w:lineRule="exact"/>
        <w:rPr>
          <w:sz w:val="20"/>
          <w:szCs w:val="20"/>
          <w:color w:val="auto"/>
        </w:rPr>
      </w:pPr>
    </w:p>
    <w:p>
      <w:pPr>
        <w:ind w:left="460" w:hanging="225"/>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royalties or net sales milestone payments generated under the AZSTARYS License Agreement;</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product sales under the Arimoclomol EAP;</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product sales of OLPRUVA;</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product sales of arimoclomol, if approved; and</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consulting services revenue generated under other potential consulting agreements;</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cannot guarantee that we will be able to generate sufficient proceeds from any of these potential sources to fund our operating expenses. We anticipate that our expenses will fluctuate substantially as we:</w:t>
      </w:r>
    </w:p>
    <w:p>
      <w:pPr>
        <w:spacing w:after="0" w:line="151" w:lineRule="exact"/>
        <w:rPr>
          <w:sz w:val="20"/>
          <w:szCs w:val="20"/>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our ongoing preclinical studies, clinical trials and our product development activities for our pipeline of product candidates;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product candidates that successfully complete clinical trials;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research and preclinical development and initiate clinical trials of our product candidates;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discover and develop additional product candidates either internally or in partnership with other pharmaceutical companies;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 our regulatory compliance efforts to incorporate requirements applicable to marketed products;</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 and</w:t>
      </w:r>
    </w:p>
    <w:p>
      <w:pPr>
        <w:spacing w:after="0" w:line="217" w:lineRule="exact"/>
        <w:rPr>
          <w:rFonts w:ascii="Times New Roman" w:cs="Times New Roman" w:eastAsia="Times New Roman" w:hAnsi="Times New Roman"/>
          <w:sz w:val="17"/>
          <w:szCs w:val="17"/>
          <w:color w:val="auto"/>
        </w:rPr>
      </w:pPr>
    </w:p>
    <w:p>
      <w:pPr>
        <w:ind w:left="460" w:hanging="22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legal, accounting and other expenses in operating as a public company.</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 date, we have generated revenue from the AZSTARYS License Agreement, reimbursements of out-of-pocket third-party costs, the performance of consulting services, OLPRUVA product sales, and product sales under the Arimoclomol EAP. We expect that, for the foreseeable future, our only sources of revenues will be through payments arising from the AZSTARYS License Agreement, product sales of OLPRUVA. through potential consulting arrangements and any other future arrangements related to one of our product candidates and product sales under the Arimoclomol EAP. While we have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or successfully commercialize OLPRUVA. We also expect to continue to incur additional costs associated with operating as a public company.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7"/>
          <w:szCs w:val="17"/>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product reimbursements under the Arimoclomol EAP, product sales of OLPRUVA,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69"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17"/>
          <w:szCs w:val="17"/>
          <w:color w:val="auto"/>
        </w:rPr>
        <w:t xml:space="preserve">Our critical accounting policies have not changed materially from those described in </w:t>
      </w:r>
      <w:r>
        <w:rPr>
          <w:rFonts w:ascii="Times New Roman" w:cs="Times New Roman" w:eastAsia="Times New Roman" w:hAnsi="Times New Roman"/>
          <w:sz w:val="17"/>
          <w:szCs w:val="17"/>
          <w:i w:val="1"/>
          <w:iCs w:val="1"/>
          <w:color w:val="auto"/>
        </w:rPr>
        <w:t>Item 7 - 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of our Annual Report on Form 10-K for the fiscal year ended December 31, 2023, filed with the SEC on April 1, 2024.</w:t>
      </w:r>
    </w:p>
    <w:p>
      <w:pPr>
        <w:spacing w:after="0" w:line="14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2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March 31, 2024. Based on the evaluation of our disclosure controls and procedures as of March 31, 2024, our chief executive officer and our chief financial officer concluded that, as of such date, our disclosure controls and procedures were not effective at the reasonable assurance level.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w:t>
      </w:r>
    </w:p>
    <w:p>
      <w:pPr>
        <w:spacing w:after="0" w:line="22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As previously disclosed in our Annual Report on Form 10-K for the year ended December 31, 2023, management identified a material weakness in our internal control over financial reporting related to the accounting for warrants to purchase the Company's common stock. The material weakness in our internal control resulted in the restatement of the Company's consolidated financial statements as of and for the year ended December 31, 2022, and the condensed consolidated financial statements for the interim periods ended March 31, 2022, June 30, 2022, September 30, 2022, March 31, 2023, June 30, 2023, and September 30, 2023, included in our Annual Report on Form 10-K. The material weakness, which related to internal controls over the application of specific technical accounting guidance, was identified during the performance of our year-end control procedures.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of Material Weakness</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We have implemented certain remedial measures including, but not limited to, a review of all existing accounting for warrants to purchase the Company’ s common stock to confirm compliance with GAAP prior to filing the consolidated financial statements as of and for the year ended December 31, 2023, with our Annual Report on Form 10-K.</w:t>
      </w:r>
    </w:p>
    <w:p>
      <w:pPr>
        <w:spacing w:after="0" w:line="165"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In addition, we are in the process of developing enhanced control procedures designed to ensure proper accounting for our warrant related accounts and balances, which will include adding technical resources to perform and oversee technical accounting. However, the material weakness cannot be considered remediated until the applicable remedial controls operate for a sufficient period of time and management has concluded, through testing, that these controls are operating effectively.</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Except as disclosed above, there was no change in our internal control over financial reporting identified in connection with the evaluation required by Rules 13a-15(d) and 15d-15(d) of the Exchange Act that occurred during our fiscal quarter ended March 31, 2024, that materially affected, or is reasonably likely to materially affect, our internal control over financial reporting.</w:t>
      </w:r>
    </w:p>
    <w:p>
      <w:pPr>
        <w:sectPr>
          <w:pgSz w:w="11900" w:h="16838" w:orient="portrait"/>
          <w:cols w:equalWidth="0" w:num="1">
            <w:col w:w="11260"/>
          </w:cols>
          <w:pgMar w:left="300" w:top="123"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90170</wp:posOffset>
            </wp:positionV>
            <wp:extent cx="713867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19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2023, filed with the SEC on April 1, 2024, before investing in our common stock. Except as discussed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21" w:lineRule="exact"/>
        <w:rPr>
          <w:sz w:val="20"/>
          <w:szCs w:val="20"/>
          <w:color w:val="auto"/>
        </w:rPr>
      </w:pPr>
    </w:p>
    <w:p>
      <w:pPr>
        <w:ind w:left="420" w:right="6160" w:hanging="242"/>
        <w:spacing w:after="0" w:line="506" w:lineRule="auto"/>
        <w:tabs>
          <w:tab w:leader="none" w:pos="41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in lieu of reporting on a Current Report on Form 8-K. None.</w:t>
      </w:r>
    </w:p>
    <w:p>
      <w:pPr>
        <w:ind w:left="420" w:right="2780" w:hanging="259"/>
        <w:spacing w:after="0" w:line="506" w:lineRule="auto"/>
        <w:tabs>
          <w:tab w:leader="none" w:pos="4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changes to the procedures by which security holders may recommend nominees to the board of directors. None.</w:t>
      </w:r>
    </w:p>
    <w:p>
      <w:pPr>
        <w:ind w:left="420" w:hanging="242"/>
        <w:spacing w:after="0"/>
        <w:tabs>
          <w:tab w:leader="none" w:pos="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 Trading Arrangements and Policies.</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1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82550</wp:posOffset>
            </wp:positionV>
            <wp:extent cx="71386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040"/>
          </w:cols>
          <w:pgMar w:left="300" w:top="123"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is a list of exhibits filed as part of this Form 10-Q (the SEC file number for all items incorporated by reference herein from reports on Forms 10-K, 10-Q, and 8-K is 001-36913):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0"/>
        </w:trPr>
        <w:tc>
          <w:tcPr>
            <w:tcW w:w="10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13"/>
                <w:szCs w:val="13"/>
                <w:color w:val="auto"/>
              </w:rPr>
            </w:pPr>
          </w:p>
        </w:tc>
        <w:tc>
          <w:tcPr>
            <w:tcW w:w="10000" w:type="dxa"/>
            <w:vAlign w:val="bottom"/>
            <w:tcBorders>
              <w:top w:val="single" w:sz="8" w:color="auto"/>
              <w:bottom w:val="single" w:sz="8" w:color="0000EE"/>
            </w:tcBorders>
            <w:gridSpan w:val="10"/>
          </w:tcPr>
          <w:p>
            <w:pPr>
              <w:spacing w:after="0" w:line="161" w:lineRule="exact"/>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Amended and Restated Certificate of Incorporation of Zevra Therapeutics, Inc. (incorporated herein by reference to the Registrant’s Current</w:t>
              </w:r>
            </w:hyperlink>
          </w:p>
        </w:tc>
        <w:tc>
          <w:tcPr>
            <w:tcW w:w="20" w:type="dxa"/>
            <w:vAlign w:val="bottom"/>
          </w:tcPr>
          <w:p>
            <w:pPr>
              <w:spacing w:after="0"/>
              <w:rPr>
                <w:sz w:val="13"/>
                <w:szCs w:val="13"/>
                <w:color w:val="auto"/>
              </w:rPr>
            </w:pP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Borders>
              <w:bottom w:val="single" w:sz="8" w:color="0000EE"/>
            </w:tcBorders>
            <w:gridSpan w:val="4"/>
          </w:tcPr>
          <w:p>
            <w:pPr>
              <w:spacing w:after="0" w:line="186" w:lineRule="exact"/>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Report on Form 8-K as filed with the SEC on April 21, 2015).</w:t>
              </w:r>
            </w:hyperlink>
          </w:p>
        </w:tc>
        <w:tc>
          <w:tcPr>
            <w:tcW w:w="5740" w:type="dxa"/>
            <w:vAlign w:val="bottom"/>
            <w:gridSpan w:val="7"/>
          </w:tcPr>
          <w:p>
            <w:pPr>
              <w:spacing w:after="0"/>
              <w:rPr>
                <w:sz w:val="16"/>
                <w:szCs w:val="16"/>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Certificate of Amendment of Amended and Restated Certificate of Incorporation of the Registrant, effective as of December 23, 2020</w:t>
              </w:r>
            </w:hyperlink>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1"/>
          </w:tcPr>
          <w:p>
            <w:pPr>
              <w:spacing w:after="0" w:line="186" w:lineRule="exact"/>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(incorporated herein by reference to Registrant's Current Report on Form 8-K as filed with the SEC on December 23, 2020).</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3.1.2</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0"/>
          </w:tcPr>
          <w:p>
            <w:pPr>
              <w:spacing w:after="0" w:line="186" w:lineRule="exact"/>
              <w:rPr>
                <w:rFonts w:ascii="Times New Roman" w:cs="Times New Roman" w:eastAsia="Times New Roman" w:hAnsi="Times New Roman"/>
                <w:sz w:val="17"/>
                <w:szCs w:val="17"/>
                <w:color w:val="0000EE"/>
              </w:rPr>
            </w:pPr>
            <w:hyperlink r:id="rId56">
              <w:r>
                <w:rPr>
                  <w:rFonts w:ascii="Times New Roman" w:cs="Times New Roman" w:eastAsia="Times New Roman" w:hAnsi="Times New Roman"/>
                  <w:sz w:val="17"/>
                  <w:szCs w:val="17"/>
                  <w:color w:val="0000EE"/>
                </w:rPr>
                <w:t>Certificate of Amendment of Amended and Restated Certificate of Incorporation of Zevra Therapeutics, Inc. (incorporated herein by reference to</w:t>
              </w:r>
            </w:hyperlink>
          </w:p>
        </w:tc>
        <w:tc>
          <w:tcPr>
            <w:tcW w:w="20" w:type="dxa"/>
            <w:vAlign w:val="bottom"/>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1"/>
          </w:tcPr>
          <w:p>
            <w:pPr>
              <w:spacing w:after="0" w:line="186" w:lineRule="exact"/>
              <w:rPr>
                <w:rFonts w:ascii="Times New Roman" w:cs="Times New Roman" w:eastAsia="Times New Roman" w:hAnsi="Times New Roman"/>
                <w:sz w:val="17"/>
                <w:szCs w:val="17"/>
                <w:color w:val="0000EE"/>
              </w:rPr>
            </w:pPr>
            <w:hyperlink r:id="rId56">
              <w:r>
                <w:rPr>
                  <w:rFonts w:ascii="Times New Roman" w:cs="Times New Roman" w:eastAsia="Times New Roman" w:hAnsi="Times New Roman"/>
                  <w:sz w:val="17"/>
                  <w:szCs w:val="17"/>
                  <w:color w:val="0000EE"/>
                </w:rPr>
                <w:t>the Registrant's Current Report on Form 8-K as filed with the SEC on February 24, 2023).</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rFonts w:ascii="Times New Roman" w:cs="Times New Roman" w:eastAsia="Times New Roman" w:hAnsi="Times New Roman"/>
                <w:sz w:val="17"/>
                <w:szCs w:val="17"/>
                <w:color w:val="0000EE"/>
              </w:rPr>
            </w:pPr>
            <w:hyperlink r:id="rId57">
              <w:r>
                <w:rPr>
                  <w:rFonts w:ascii="Times New Roman" w:cs="Times New Roman" w:eastAsia="Times New Roman" w:hAnsi="Times New Roman"/>
                  <w:sz w:val="17"/>
                  <w:szCs w:val="17"/>
                  <w:color w:val="0000EE"/>
                </w:rPr>
                <w:t>Amended and Restated Bylaws, as currently in effect, of Zevra Therapeutics, Inc. (incorporated herein by reference to the Registrant's Current</w:t>
              </w:r>
            </w:hyperlink>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40" w:type="dxa"/>
            <w:vAlign w:val="bottom"/>
            <w:tcBorders>
              <w:bottom w:val="single" w:sz="8" w:color="0000EE"/>
            </w:tcBorders>
            <w:gridSpan w:val="5"/>
          </w:tcPr>
          <w:p>
            <w:pPr>
              <w:spacing w:after="0" w:line="186" w:lineRule="exact"/>
              <w:rPr>
                <w:rFonts w:ascii="Times New Roman" w:cs="Times New Roman" w:eastAsia="Times New Roman" w:hAnsi="Times New Roman"/>
                <w:sz w:val="17"/>
                <w:szCs w:val="17"/>
                <w:color w:val="0000EE"/>
              </w:rPr>
            </w:pPr>
            <w:hyperlink r:id="rId57">
              <w:r>
                <w:rPr>
                  <w:rFonts w:ascii="Times New Roman" w:cs="Times New Roman" w:eastAsia="Times New Roman" w:hAnsi="Times New Roman"/>
                  <w:sz w:val="17"/>
                  <w:szCs w:val="17"/>
                  <w:color w:val="0000EE"/>
                </w:rPr>
                <w:t>Report on Form 8-K as filed with the SEC on February 28, 2024).</w:t>
              </w:r>
            </w:hyperlink>
          </w:p>
        </w:tc>
        <w:tc>
          <w:tcPr>
            <w:tcW w:w="5480" w:type="dxa"/>
            <w:vAlign w:val="bottom"/>
            <w:gridSpan w:val="6"/>
          </w:tcPr>
          <w:p>
            <w:pPr>
              <w:spacing w:after="0"/>
              <w:rPr>
                <w:sz w:val="16"/>
                <w:szCs w:val="16"/>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Specimen stock certificate evidencing shares of Common Stock (incorporated herein by reference to the Registrant's Annual Report on Form 10-</w:t>
              </w:r>
            </w:hyperlink>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Borders>
              <w:bottom w:val="single" w:sz="8" w:color="0000EE"/>
            </w:tcBorders>
            <w:gridSpan w:val="3"/>
          </w:tcPr>
          <w:p>
            <w:pPr>
              <w:spacing w:after="0" w:line="186" w:lineRule="exact"/>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K as filed with the SEC on March 12, 2021).</w:t>
              </w:r>
            </w:hyperlink>
          </w:p>
        </w:tc>
        <w:tc>
          <w:tcPr>
            <w:tcW w:w="6940" w:type="dxa"/>
            <w:vAlign w:val="bottom"/>
            <w:gridSpan w:val="8"/>
          </w:tcPr>
          <w:p>
            <w:pPr>
              <w:spacing w:after="0"/>
              <w:rPr>
                <w:sz w:val="16"/>
                <w:szCs w:val="16"/>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sz w:val="20"/>
                <w:szCs w:val="20"/>
                <w:color w:val="auto"/>
              </w:rPr>
            </w:pPr>
            <w:r>
              <w:rPr>
                <w:rFonts w:ascii="Times New Roman" w:cs="Times New Roman" w:eastAsia="Times New Roman" w:hAnsi="Times New Roman"/>
                <w:sz w:val="17"/>
                <w:szCs w:val="17"/>
                <w:color w:val="0000EE"/>
              </w:rPr>
              <w:t>Credit Agreement dated as of April 5, 2024, by and among Zevra Therapeutics, Inc. and HCR Stafford Fund II, L.P., HCR Potomac Fund II, L.P.,</w:t>
            </w: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bottom w:val="single" w:sz="8" w:color="0000EE"/>
            </w:tcBorders>
            <w:gridSpan w:val="2"/>
          </w:tcPr>
          <w:p>
            <w:pPr>
              <w:spacing w:after="0" w:line="186" w:lineRule="exact"/>
              <w:rPr>
                <w:sz w:val="20"/>
                <w:szCs w:val="20"/>
                <w:color w:val="auto"/>
              </w:rPr>
            </w:pPr>
            <w:r>
              <w:rPr>
                <w:rFonts w:ascii="Times New Roman" w:cs="Times New Roman" w:eastAsia="Times New Roman" w:hAnsi="Times New Roman"/>
                <w:sz w:val="17"/>
                <w:szCs w:val="17"/>
                <w:color w:val="0000EE"/>
                <w:w w:val="98"/>
              </w:rPr>
              <w:t>and Perceptive Credit Holdings IV, LP.</w:t>
            </w:r>
          </w:p>
        </w:tc>
        <w:tc>
          <w:tcPr>
            <w:tcW w:w="7340" w:type="dxa"/>
            <w:vAlign w:val="bottom"/>
            <w:gridSpan w:val="9"/>
          </w:tcPr>
          <w:p>
            <w:pPr>
              <w:spacing w:after="0"/>
              <w:rPr>
                <w:sz w:val="16"/>
                <w:szCs w:val="16"/>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0"/>
          </w:tcPr>
          <w:p>
            <w:pPr>
              <w:spacing w:after="0" w:line="186" w:lineRule="exact"/>
              <w:rPr>
                <w:sz w:val="20"/>
                <w:szCs w:val="20"/>
                <w:color w:val="auto"/>
              </w:rPr>
            </w:pPr>
            <w:r>
              <w:rPr>
                <w:rFonts w:ascii="Times New Roman" w:cs="Times New Roman" w:eastAsia="Times New Roman" w:hAnsi="Times New Roman"/>
                <w:sz w:val="17"/>
                <w:szCs w:val="17"/>
                <w:color w:val="0000EE"/>
              </w:rPr>
              <w:t>Certification of the Principal Executive Officer pursuant to Rule 13a-14(a) or Rule 15d-14(a) of the Securities Exchange Act of 1934, as</w:t>
            </w:r>
          </w:p>
        </w:tc>
        <w:tc>
          <w:tcPr>
            <w:tcW w:w="20" w:type="dxa"/>
            <w:vAlign w:val="bottom"/>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1"/>
          </w:tcPr>
          <w:p>
            <w:pPr>
              <w:spacing w:after="0" w:line="186" w:lineRule="exact"/>
              <w:rPr>
                <w:sz w:val="20"/>
                <w:szCs w:val="20"/>
                <w:color w:val="auto"/>
              </w:rPr>
            </w:pPr>
            <w:r>
              <w:rPr>
                <w:rFonts w:ascii="Times New Roman" w:cs="Times New Roman" w:eastAsia="Times New Roman" w:hAnsi="Times New Roman"/>
                <w:sz w:val="17"/>
                <w:szCs w:val="17"/>
                <w:color w:val="0000EE"/>
              </w:rPr>
              <w:t>amended.</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sz w:val="20"/>
                <w:szCs w:val="20"/>
                <w:color w:val="auto"/>
              </w:rPr>
            </w:pPr>
            <w:r>
              <w:rPr>
                <w:rFonts w:ascii="Times New Roman" w:cs="Times New Roman" w:eastAsia="Times New Roman" w:hAnsi="Times New Roman"/>
                <w:sz w:val="17"/>
                <w:szCs w:val="17"/>
                <w:color w:val="0000EE"/>
              </w:rPr>
              <w:t>Certification of the Principal Financial Officer pursuant to Rule 13a-14(a) or Rule 15d-14(a) of the Securities Exchange Act of 1934, as</w:t>
            </w: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1"/>
          </w:tcPr>
          <w:p>
            <w:pPr>
              <w:spacing w:after="0" w:line="186" w:lineRule="exact"/>
              <w:rPr>
                <w:sz w:val="20"/>
                <w:szCs w:val="20"/>
                <w:color w:val="auto"/>
              </w:rPr>
            </w:pPr>
            <w:r>
              <w:rPr>
                <w:rFonts w:ascii="Times New Roman" w:cs="Times New Roman" w:eastAsia="Times New Roman" w:hAnsi="Times New Roman"/>
                <w:sz w:val="17"/>
                <w:szCs w:val="17"/>
                <w:color w:val="0000EE"/>
              </w:rPr>
              <w:t>amended.</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32.1**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sz w:val="20"/>
                <w:szCs w:val="20"/>
                <w:color w:val="auto"/>
              </w:rPr>
            </w:pPr>
            <w:r>
              <w:rPr>
                <w:rFonts w:ascii="Times New Roman" w:cs="Times New Roman" w:eastAsia="Times New Roman" w:hAnsi="Times New Roman"/>
                <w:sz w:val="17"/>
                <w:szCs w:val="17"/>
                <w:color w:val="0000EE"/>
              </w:rPr>
              <w:t>Certification of the Principal Executive Officer pursuant to Rule 13a-14(b) of the Securities Exchange Act of 1934, as amended, and 18. U.S.C.</w:t>
            </w: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0" w:type="dxa"/>
            <w:vAlign w:val="bottom"/>
            <w:tcBorders>
              <w:bottom w:val="single" w:sz="8" w:color="0000EE"/>
            </w:tcBorders>
            <w:gridSpan w:val="7"/>
          </w:tcPr>
          <w:p>
            <w:pPr>
              <w:spacing w:after="0" w:line="186" w:lineRule="exact"/>
              <w:rPr>
                <w:sz w:val="20"/>
                <w:szCs w:val="20"/>
                <w:color w:val="auto"/>
              </w:rPr>
            </w:pPr>
            <w:r>
              <w:rPr>
                <w:rFonts w:ascii="Times New Roman" w:cs="Times New Roman" w:eastAsia="Times New Roman" w:hAnsi="Times New Roman"/>
                <w:sz w:val="17"/>
                <w:szCs w:val="17"/>
                <w:color w:val="0000EE"/>
              </w:rPr>
              <w:t>Section 1350, as adopted pursuant to Section 906 of the Sarbanes-Oxley Act of 2002.</w:t>
            </w:r>
          </w:p>
        </w:tc>
        <w:tc>
          <w:tcPr>
            <w:tcW w:w="4120" w:type="dxa"/>
            <w:vAlign w:val="bottom"/>
            <w:gridSpan w:val="4"/>
          </w:tcPr>
          <w:p>
            <w:pPr>
              <w:spacing w:after="0"/>
              <w:rPr>
                <w:sz w:val="16"/>
                <w:szCs w:val="16"/>
                <w:color w:val="auto"/>
              </w:rPr>
            </w:pPr>
          </w:p>
        </w:tc>
      </w:tr>
      <w:tr>
        <w:trPr>
          <w:trHeight w:val="186"/>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86" w:lineRule="exact"/>
              <w:rPr>
                <w:sz w:val="20"/>
                <w:szCs w:val="20"/>
                <w:color w:val="auto"/>
              </w:rPr>
            </w:pPr>
            <w:r>
              <w:rPr>
                <w:rFonts w:ascii="Times New Roman" w:cs="Times New Roman" w:eastAsia="Times New Roman" w:hAnsi="Times New Roman"/>
                <w:sz w:val="17"/>
                <w:szCs w:val="17"/>
                <w:color w:val="0000EE"/>
              </w:rPr>
              <w:t>Certification of the Principal Financial Officer pursuant to Rule 13a-14(b) of the Securities Exchange Act of 1934, as amended, and 18. U.S.C.</w:t>
            </w:r>
          </w:p>
        </w:tc>
      </w:tr>
      <w:tr>
        <w:trPr>
          <w:trHeight w:val="186"/>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80" w:type="dxa"/>
            <w:vAlign w:val="bottom"/>
            <w:tcBorders>
              <w:bottom w:val="single" w:sz="8" w:color="0000EE"/>
            </w:tcBorders>
            <w:gridSpan w:val="6"/>
          </w:tcPr>
          <w:p>
            <w:pPr>
              <w:spacing w:after="0" w:line="186" w:lineRule="exact"/>
              <w:rPr>
                <w:sz w:val="20"/>
                <w:szCs w:val="20"/>
                <w:color w:val="auto"/>
              </w:rPr>
            </w:pPr>
            <w:r>
              <w:rPr>
                <w:rFonts w:ascii="Times New Roman" w:cs="Times New Roman" w:eastAsia="Times New Roman" w:hAnsi="Times New Roman"/>
                <w:sz w:val="17"/>
                <w:szCs w:val="17"/>
                <w:color w:val="0000EE"/>
              </w:rPr>
              <w:t>Section 1350, as adopted pursuant to Section 906 of the Sarbanes-Oxley Act of 2002.</w:t>
            </w:r>
          </w:p>
        </w:tc>
        <w:tc>
          <w:tcPr>
            <w:tcW w:w="4140" w:type="dxa"/>
            <w:vAlign w:val="bottom"/>
            <w:gridSpan w:val="5"/>
          </w:tcPr>
          <w:p>
            <w:pPr>
              <w:spacing w:after="0"/>
              <w:rPr>
                <w:sz w:val="16"/>
                <w:szCs w:val="16"/>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6"/>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220" w:type="dxa"/>
            <w:vAlign w:val="bottom"/>
          </w:tcPr>
          <w:p>
            <w:pPr>
              <w:spacing w:after="0"/>
              <w:rPr>
                <w:sz w:val="17"/>
                <w:szCs w:val="17"/>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6"/>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220" w:type="dxa"/>
            <w:vAlign w:val="bottom"/>
          </w:tcPr>
          <w:p>
            <w:pPr>
              <w:spacing w:after="0"/>
              <w:rPr>
                <w:sz w:val="17"/>
                <w:szCs w:val="17"/>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6"/>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101.DEF*</w:t>
            </w:r>
          </w:p>
        </w:tc>
        <w:tc>
          <w:tcPr>
            <w:tcW w:w="220" w:type="dxa"/>
            <w:vAlign w:val="bottom"/>
          </w:tcPr>
          <w:p>
            <w:pPr>
              <w:spacing w:after="0"/>
              <w:rPr>
                <w:sz w:val="17"/>
                <w:szCs w:val="17"/>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6"/>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220" w:type="dxa"/>
            <w:vAlign w:val="bottom"/>
          </w:tcPr>
          <w:p>
            <w:pPr>
              <w:spacing w:after="0"/>
              <w:rPr>
                <w:sz w:val="17"/>
                <w:szCs w:val="17"/>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6"/>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101.PRE*</w:t>
            </w:r>
          </w:p>
        </w:tc>
        <w:tc>
          <w:tcPr>
            <w:tcW w:w="220" w:type="dxa"/>
            <w:vAlign w:val="bottom"/>
          </w:tcPr>
          <w:p>
            <w:pPr>
              <w:spacing w:after="0"/>
              <w:rPr>
                <w:sz w:val="17"/>
                <w:szCs w:val="17"/>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104**</w:t>
            </w:r>
          </w:p>
        </w:tc>
        <w:tc>
          <w:tcPr>
            <w:tcW w:w="220" w:type="dxa"/>
            <w:vAlign w:val="bottom"/>
          </w:tcPr>
          <w:p>
            <w:pPr>
              <w:spacing w:after="0"/>
              <w:rPr>
                <w:sz w:val="19"/>
                <w:szCs w:val="19"/>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and combined in Exhibit 101)</w:t>
            </w:r>
          </w:p>
        </w:tc>
      </w:tr>
    </w:tbl>
    <w:p>
      <w:pPr>
        <w:spacing w:after="0" w:line="189" w:lineRule="exact"/>
        <w:rPr>
          <w:sz w:val="20"/>
          <w:szCs w:val="20"/>
          <w:color w:val="auto"/>
        </w:rPr>
      </w:pPr>
    </w:p>
    <w:p>
      <w:pPr>
        <w:ind w:left="480" w:hanging="477"/>
        <w:spacing w:after="0"/>
        <w:tabs>
          <w:tab w:leader="none" w:pos="4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ind w:left="480" w:hanging="477"/>
        <w:spacing w:after="0"/>
        <w:tabs>
          <w:tab w:leader="none" w:pos="4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11" w:lineRule="exact"/>
        <w:rPr>
          <w:sz w:val="20"/>
          <w:szCs w:val="20"/>
          <w:color w:val="auto"/>
        </w:rPr>
      </w:pPr>
    </w:p>
    <w:p>
      <w:pPr>
        <w:ind w:left="480" w:right="180" w:hanging="434"/>
        <w:spacing w:after="0" w:line="253" w:lineRule="auto"/>
        <w:tabs>
          <w:tab w:leader="none" w:pos="4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Item 601(a)(5) of Regulation S-K, schedules and similar attachments have been omitted. The registrant hereby agrees to furnish a copy of any omitted schedule or similar attachment to the SEC upon request.</w:t>
      </w:r>
    </w:p>
    <w:p>
      <w:pPr>
        <w:ind w:left="480" w:hanging="477"/>
        <w:spacing w:after="0" w:line="266" w:lineRule="auto"/>
        <w:tabs>
          <w:tab w:leader="none" w:pos="4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the exhibit, identified by the mark, “[*]”, have been omitted because such portions contained information that is both (i) not material and (ii) the type that the Registrant treats as private or confidential.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720" w:type="dxa"/>
            <w:vAlign w:val="bottom"/>
            <w:gridSpan w:val="2"/>
          </w:tcPr>
          <w:p>
            <w:pPr>
              <w:ind w:left="2280"/>
              <w:spacing w:after="0"/>
              <w:rPr>
                <w:sz w:val="20"/>
                <w:szCs w:val="20"/>
                <w:color w:val="auto"/>
              </w:rPr>
            </w:pPr>
            <w:r>
              <w:rPr>
                <w:rFonts w:ascii="Times New Roman" w:cs="Times New Roman" w:eastAsia="Times New Roman" w:hAnsi="Times New Roman"/>
                <w:sz w:val="17"/>
                <w:szCs w:val="17"/>
                <w:b w:val="1"/>
                <w:bCs w:val="1"/>
                <w:color w:val="auto"/>
              </w:rPr>
              <w:t>Zevra Therapeutics, Inc.</w:t>
            </w: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9, 2024</w:t>
            </w:r>
          </w:p>
        </w:tc>
        <w:tc>
          <w:tcPr>
            <w:tcW w:w="27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Neil F. McFarlane</w:t>
            </w:r>
          </w:p>
        </w:tc>
      </w:tr>
      <w:tr>
        <w:trPr>
          <w:trHeight w:val="183"/>
        </w:trPr>
        <w:tc>
          <w:tcPr>
            <w:tcW w:w="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0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Neil F. McFarlane</w:t>
            </w:r>
          </w:p>
        </w:tc>
      </w:tr>
      <w:tr>
        <w:trPr>
          <w:trHeight w:val="206"/>
        </w:trPr>
        <w:tc>
          <w:tcPr>
            <w:tcW w:w="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3"/>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9, 2024</w:t>
            </w:r>
          </w:p>
        </w:tc>
        <w:tc>
          <w:tcPr>
            <w:tcW w:w="27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 LaDuane Clifton</w:t>
            </w:r>
          </w:p>
        </w:tc>
      </w:tr>
      <w:tr>
        <w:trPr>
          <w:trHeight w:val="183"/>
        </w:trPr>
        <w:tc>
          <w:tcPr>
            <w:tcW w:w="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0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R. LaDuane Clifton, MBA, CPA</w:t>
            </w:r>
          </w:p>
        </w:tc>
      </w:tr>
      <w:tr>
        <w:trPr>
          <w:trHeight w:val="206"/>
        </w:trPr>
        <w:tc>
          <w:tcPr>
            <w:tcW w:w="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Secretary and Treasurer</w:t>
            </w:r>
          </w:p>
        </w:tc>
      </w:tr>
      <w:tr>
        <w:trPr>
          <w:trHeight w:val="223"/>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13"/>
        </w:trPr>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44</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Pursuant to Item 601(b)(2)(ii), certain identified information marked with [***] has been excluded from this exhibit because it is both not material and is the type that the registrant customarily and actually treats as private or confidential.</w:t>
      </w:r>
    </w:p>
    <w:p>
      <w:pPr>
        <w:spacing w:after="0" w:line="142" w:lineRule="exact"/>
        <w:rPr>
          <w:sz w:val="20"/>
          <w:szCs w:val="20"/>
          <w:color w:val="auto"/>
        </w:rPr>
      </w:pPr>
    </w:p>
    <w:p>
      <w:pPr>
        <w:ind w:right="820"/>
        <w:spacing w:after="0" w:line="292" w:lineRule="auto"/>
        <w:rPr>
          <w:sz w:val="20"/>
          <w:szCs w:val="20"/>
          <w:color w:val="auto"/>
        </w:rPr>
      </w:pPr>
      <w:r>
        <w:rPr>
          <w:rFonts w:ascii="Times New Roman" w:cs="Times New Roman" w:eastAsia="Times New Roman" w:hAnsi="Times New Roman"/>
          <w:sz w:val="17"/>
          <w:szCs w:val="17"/>
          <w:b w:val="1"/>
          <w:bCs w:val="1"/>
          <w:color w:val="auto"/>
        </w:rPr>
        <w:t>FLORIDA DOCUMENTARY STAMP TAX REQUIRED BY LAW IN THE AMOUNT OF $2,450.00 HAS BEEN PAID OR WILL BE PAID DIRECTLY TO THE DEPARTMENT OF REVENUE.</w:t>
      </w:r>
    </w:p>
    <w:p>
      <w:pPr>
        <w:spacing w:after="0" w:line="1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CREDIT AGREEMENT</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Dated as of April 5, 2024</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among</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ZEVRA THERAPEUTICS, INC.,</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as the Borrower,</w:t>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CERTAIN SUBSIDIARIES OF THE BORROWER,</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as Guarantors,</w:t>
      </w:r>
    </w:p>
    <w:p>
      <w:pPr>
        <w:spacing w:after="0" w:line="2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ALTER DOMUS (US) LLC,</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the Administrative Agent</w:t>
      </w:r>
    </w:p>
    <w:p>
      <w:pPr>
        <w:spacing w:after="0" w:line="20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and</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THE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361315</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00"/>
          </w:cols>
          <w:pgMar w:left="460" w:top="11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6"/>
              </w:rPr>
              <w:t>Page</w:t>
            </w: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638"/>
        </w:trPr>
        <w:tc>
          <w:tcPr>
            <w:tcW w:w="41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ARTICLE I DEFINITIONS AND ACCOUNTING TERMS</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color w:val="auto"/>
              </w:rPr>
              <w:t>6</w:t>
            </w: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39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Defined Terms</w:t>
            </w:r>
          </w:p>
        </w:tc>
        <w:tc>
          <w:tcPr>
            <w:tcW w:w="80" w:type="dxa"/>
            <w:vAlign w:val="bottom"/>
          </w:tcPr>
          <w:p>
            <w:pPr>
              <w:spacing w:after="0"/>
              <w:rPr>
                <w:sz w:val="24"/>
                <w:szCs w:val="24"/>
                <w:color w:val="auto"/>
              </w:rPr>
            </w:pP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Other Interpretive Provisions</w:t>
            </w:r>
          </w:p>
        </w:tc>
        <w:tc>
          <w:tcPr>
            <w:tcW w:w="11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Accounting Terms</w:t>
            </w:r>
          </w:p>
        </w:tc>
        <w:tc>
          <w:tcPr>
            <w:tcW w:w="380" w:type="dxa"/>
            <w:vAlign w:val="bottom"/>
          </w:tcPr>
          <w:p>
            <w:pPr>
              <w:spacing w:after="0"/>
              <w:rPr>
                <w:sz w:val="17"/>
                <w:szCs w:val="17"/>
                <w:color w:val="auto"/>
              </w:rPr>
            </w:pP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45</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Times of Day</w:t>
            </w:r>
          </w:p>
        </w:tc>
        <w:tc>
          <w:tcPr>
            <w:tcW w:w="80" w:type="dxa"/>
            <w:vAlign w:val="bottom"/>
          </w:tcPr>
          <w:p>
            <w:pPr>
              <w:spacing w:after="0"/>
              <w:rPr>
                <w:sz w:val="17"/>
                <w:szCs w:val="17"/>
                <w:color w:val="auto"/>
              </w:rPr>
            </w:pP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Danish Terms.</w:t>
            </w:r>
          </w:p>
        </w:tc>
        <w:tc>
          <w:tcPr>
            <w:tcW w:w="80" w:type="dxa"/>
            <w:vAlign w:val="bottom"/>
          </w:tcPr>
          <w:p>
            <w:pPr>
              <w:spacing w:after="0"/>
              <w:rPr>
                <w:sz w:val="19"/>
                <w:szCs w:val="19"/>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46</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13"/>
        </w:trPr>
        <w:tc>
          <w:tcPr>
            <w:tcW w:w="29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ARTICLE II THE COMMITMENTS</w:t>
            </w:r>
          </w:p>
        </w:tc>
        <w:tc>
          <w:tcPr>
            <w:tcW w:w="112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39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2.01</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Commitments</w:t>
            </w:r>
          </w:p>
        </w:tc>
        <w:tc>
          <w:tcPr>
            <w:tcW w:w="80" w:type="dxa"/>
            <w:vAlign w:val="bottom"/>
          </w:tcPr>
          <w:p>
            <w:pPr>
              <w:spacing w:after="0"/>
              <w:rPr>
                <w:sz w:val="24"/>
                <w:szCs w:val="24"/>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2.02</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Borrowings</w:t>
            </w:r>
          </w:p>
        </w:tc>
        <w:tc>
          <w:tcPr>
            <w:tcW w:w="46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w w:val="93"/>
              </w:rPr>
              <w:t>47</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2.03</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Prepayments</w:t>
            </w:r>
          </w:p>
        </w:tc>
        <w:tc>
          <w:tcPr>
            <w:tcW w:w="80" w:type="dxa"/>
            <w:vAlign w:val="bottom"/>
          </w:tcPr>
          <w:p>
            <w:pPr>
              <w:spacing w:after="0"/>
              <w:rPr>
                <w:sz w:val="17"/>
                <w:szCs w:val="17"/>
                <w:color w:val="auto"/>
              </w:rPr>
            </w:pP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48</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2.04</w:t>
            </w: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Termination of Commitments</w:t>
            </w:r>
          </w:p>
        </w:tc>
        <w:tc>
          <w:tcPr>
            <w:tcW w:w="11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2.05</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Repayment of Loans</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2.06</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2.07</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Fees</w:t>
            </w:r>
          </w:p>
        </w:tc>
        <w:tc>
          <w:tcPr>
            <w:tcW w:w="5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52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2.08</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9"/>
              </w:rPr>
              <w:t>Computation of Interest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2.09</w:t>
            </w:r>
          </w:p>
        </w:tc>
        <w:tc>
          <w:tcPr>
            <w:tcW w:w="14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Evidence of Debt</w:t>
            </w:r>
          </w:p>
        </w:tc>
        <w:tc>
          <w:tcPr>
            <w:tcW w:w="9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52</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2.10</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Payments Generally</w:t>
            </w: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52</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5420" w:type="dxa"/>
            <w:vAlign w:val="bottom"/>
            <w:gridSpan w:val="10"/>
          </w:tcPr>
          <w:p>
            <w:pPr>
              <w:ind w:left="180"/>
              <w:spacing w:after="0"/>
              <w:rPr>
                <w:sz w:val="20"/>
                <w:szCs w:val="20"/>
                <w:color w:val="auto"/>
              </w:rPr>
            </w:pPr>
            <w:r>
              <w:rPr>
                <w:rFonts w:ascii="Times New Roman" w:cs="Times New Roman" w:eastAsia="Times New Roman" w:hAnsi="Times New Roman"/>
                <w:sz w:val="17"/>
                <w:szCs w:val="17"/>
                <w:color w:val="auto"/>
              </w:rPr>
              <w:t>Sharing of Payments by Lenders; Presumptions by Administrative Agent</w:t>
            </w:r>
          </w:p>
        </w:tc>
        <w:tc>
          <w:tcPr>
            <w:tcW w:w="5320" w:type="dxa"/>
            <w:vAlign w:val="bottom"/>
          </w:tcPr>
          <w:p>
            <w:pPr>
              <w:jc w:val="right"/>
              <w:ind w:right="4894"/>
              <w:spacing w:after="0"/>
              <w:rPr>
                <w:sz w:val="20"/>
                <w:szCs w:val="20"/>
                <w:color w:val="auto"/>
              </w:rPr>
            </w:pPr>
            <w:r>
              <w:rPr>
                <w:rFonts w:ascii="Times New Roman" w:cs="Times New Roman" w:eastAsia="Times New Roman" w:hAnsi="Times New Roman"/>
                <w:sz w:val="17"/>
                <w:szCs w:val="17"/>
                <w:color w:val="auto"/>
              </w:rPr>
              <w:t>53</w:t>
            </w: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2.12</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Defaulting Lenders</w:t>
            </w:r>
          </w:p>
        </w:tc>
        <w:tc>
          <w:tcPr>
            <w:tcW w:w="5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54</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13"/>
        </w:trPr>
        <w:tc>
          <w:tcPr>
            <w:tcW w:w="54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ARTICLE III TAXES, INCREASED COSTS AND YIELD PROTECTION</w:t>
            </w: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55</w:t>
            </w:r>
          </w:p>
        </w:tc>
        <w:tc>
          <w:tcPr>
            <w:tcW w:w="5320" w:type="dxa"/>
            <w:vAlign w:val="bottom"/>
          </w:tcPr>
          <w:p>
            <w:pPr>
              <w:spacing w:after="0"/>
              <w:rPr>
                <w:sz w:val="24"/>
                <w:szCs w:val="24"/>
                <w:color w:val="auto"/>
              </w:rPr>
            </w:pPr>
          </w:p>
        </w:tc>
      </w:tr>
      <w:tr>
        <w:trPr>
          <w:trHeight w:val="39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3.01</w:t>
            </w:r>
          </w:p>
        </w:tc>
        <w:tc>
          <w:tcPr>
            <w:tcW w:w="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Taxes</w:t>
            </w:r>
          </w:p>
        </w:tc>
        <w:tc>
          <w:tcPr>
            <w:tcW w:w="5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3.02</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Increased Costs</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3.03</w:t>
            </w:r>
          </w:p>
        </w:tc>
        <w:tc>
          <w:tcPr>
            <w:tcW w:w="368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Mitigation Obligations; Replacement of Lenders</w:t>
            </w: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60</w:t>
            </w: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3.04</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Illegality</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3.05</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Inability to Determine Rates</w:t>
            </w:r>
          </w:p>
        </w:tc>
        <w:tc>
          <w:tcPr>
            <w:tcW w:w="11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3.06</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Survival</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13"/>
        </w:trPr>
        <w:tc>
          <w:tcPr>
            <w:tcW w:w="1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IV GUARANTY</w:t>
            </w:r>
          </w:p>
        </w:tc>
        <w:tc>
          <w:tcPr>
            <w:tcW w:w="94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62</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39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4.01</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The Guaranty</w:t>
            </w:r>
          </w:p>
        </w:tc>
        <w:tc>
          <w:tcPr>
            <w:tcW w:w="80" w:type="dxa"/>
            <w:vAlign w:val="bottom"/>
          </w:tcPr>
          <w:p>
            <w:pPr>
              <w:spacing w:after="0"/>
              <w:rPr>
                <w:sz w:val="24"/>
                <w:szCs w:val="24"/>
                <w:color w:val="auto"/>
              </w:rPr>
            </w:pPr>
          </w:p>
        </w:tc>
        <w:tc>
          <w:tcPr>
            <w:tcW w:w="3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62</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4.02</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Obligations Unconditional</w:t>
            </w:r>
          </w:p>
        </w:tc>
        <w:tc>
          <w:tcPr>
            <w:tcW w:w="11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62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4.03</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Reinstatement</w:t>
            </w:r>
          </w:p>
        </w:tc>
        <w:tc>
          <w:tcPr>
            <w:tcW w:w="80" w:type="dxa"/>
            <w:vAlign w:val="bottom"/>
          </w:tcPr>
          <w:p>
            <w:pPr>
              <w:spacing w:after="0"/>
              <w:rPr>
                <w:sz w:val="17"/>
                <w:szCs w:val="17"/>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63</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4.04</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Certain Additional Waivers</w:t>
            </w:r>
          </w:p>
        </w:tc>
        <w:tc>
          <w:tcPr>
            <w:tcW w:w="112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4.05</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8"/>
              </w:rPr>
              <w:t>Remedies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4.06</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Rights of Contribution</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64</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4.07</w:t>
            </w:r>
          </w:p>
        </w:tc>
        <w:tc>
          <w:tcPr>
            <w:tcW w:w="368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Guarantee of Payment; Continuing Guarantee</w:t>
            </w:r>
          </w:p>
        </w:tc>
        <w:tc>
          <w:tcPr>
            <w:tcW w:w="124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64</w:t>
            </w:r>
          </w:p>
        </w:tc>
        <w:tc>
          <w:tcPr>
            <w:tcW w:w="50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4.08</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Danish Guarantee Limitations.</w:t>
            </w:r>
          </w:p>
        </w:tc>
        <w:tc>
          <w:tcPr>
            <w:tcW w:w="11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13"/>
        </w:trPr>
        <w:tc>
          <w:tcPr>
            <w:tcW w:w="59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ARTICLE V CONDITIONS PRECEDENT TO CLOSING AND BORROWINGS</w:t>
            </w:r>
          </w:p>
        </w:tc>
        <w:tc>
          <w:tcPr>
            <w:tcW w:w="5320" w:type="dxa"/>
            <w:vAlign w:val="bottom"/>
          </w:tcPr>
          <w:p>
            <w:pPr>
              <w:jc w:val="right"/>
              <w:ind w:right="4914"/>
              <w:spacing w:after="0"/>
              <w:rPr>
                <w:sz w:val="20"/>
                <w:szCs w:val="20"/>
                <w:color w:val="auto"/>
              </w:rPr>
            </w:pPr>
            <w:r>
              <w:rPr>
                <w:rFonts w:ascii="Times New Roman" w:cs="Times New Roman" w:eastAsia="Times New Roman" w:hAnsi="Times New Roman"/>
                <w:sz w:val="17"/>
                <w:szCs w:val="17"/>
                <w:color w:val="auto"/>
              </w:rPr>
              <w:t>65</w:t>
            </w:r>
          </w:p>
        </w:tc>
      </w:tr>
      <w:tr>
        <w:trPr>
          <w:trHeight w:val="39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5.01</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Conditions of Initial Borrowing</w:t>
            </w: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5.02</w:t>
            </w: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Conditions to all Borrowings</w:t>
            </w:r>
          </w:p>
        </w:tc>
        <w:tc>
          <w:tcPr>
            <w:tcW w:w="112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547"/>
        </w:trPr>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8"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gridSpan w:val="10"/>
          </w:tcPr>
          <w:p>
            <w:pPr>
              <w:spacing w:after="0"/>
              <w:rPr>
                <w:sz w:val="20"/>
                <w:szCs w:val="20"/>
                <w:color w:val="auto"/>
              </w:rPr>
            </w:pPr>
            <w:r>
              <w:rPr>
                <w:rFonts w:ascii="Times New Roman" w:cs="Times New Roman" w:eastAsia="Times New Roman" w:hAnsi="Times New Roman"/>
                <w:sz w:val="17"/>
                <w:szCs w:val="17"/>
                <w:color w:val="auto"/>
                <w:w w:val="99"/>
              </w:rPr>
              <w:t>ARTICLE VI REPRESENTATIONS AND WARRANTIES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69</w:t>
            </w:r>
          </w:p>
        </w:tc>
        <w:tc>
          <w:tcPr>
            <w:tcW w:w="14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396"/>
        </w:trPr>
        <w:tc>
          <w:tcPr>
            <w:tcW w:w="4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6.01</w:t>
            </w:r>
          </w:p>
        </w:tc>
        <w:tc>
          <w:tcPr>
            <w:tcW w:w="2760" w:type="dxa"/>
            <w:vAlign w:val="bottom"/>
            <w:gridSpan w:val="7"/>
          </w:tcPr>
          <w:p>
            <w:pPr>
              <w:jc w:val="center"/>
              <w:ind w:right="154"/>
              <w:spacing w:after="0"/>
              <w:rPr>
                <w:sz w:val="20"/>
                <w:szCs w:val="20"/>
                <w:color w:val="auto"/>
              </w:rPr>
            </w:pPr>
            <w:r>
              <w:rPr>
                <w:rFonts w:ascii="Times New Roman" w:cs="Times New Roman" w:eastAsia="Times New Roman" w:hAnsi="Times New Roman"/>
                <w:sz w:val="17"/>
                <w:szCs w:val="17"/>
                <w:color w:val="auto"/>
              </w:rPr>
              <w:t>Existence, Qualification and Power</w:t>
            </w:r>
          </w:p>
        </w:tc>
        <w:tc>
          <w:tcPr>
            <w:tcW w:w="100" w:type="dxa"/>
            <w:vAlign w:val="bottom"/>
          </w:tcPr>
          <w:p>
            <w:pPr>
              <w:spacing w:after="0"/>
              <w:rPr>
                <w:sz w:val="24"/>
                <w:szCs w:val="24"/>
                <w:color w:val="auto"/>
              </w:rPr>
            </w:pPr>
          </w:p>
        </w:tc>
        <w:tc>
          <w:tcPr>
            <w:tcW w:w="82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3"/>
              </w:rPr>
              <w:t>69</w:t>
            </w:r>
          </w:p>
        </w:tc>
        <w:tc>
          <w:tcPr>
            <w:tcW w:w="1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6.02</w:t>
            </w:r>
          </w:p>
        </w:tc>
        <w:tc>
          <w:tcPr>
            <w:tcW w:w="288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Authorization; No Contravention</w:t>
            </w:r>
          </w:p>
        </w:tc>
        <w:tc>
          <w:tcPr>
            <w:tcW w:w="6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70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6.03</w:t>
            </w:r>
          </w:p>
        </w:tc>
        <w:tc>
          <w:tcPr>
            <w:tcW w:w="356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Governmental Authorization; Other Consents</w:t>
            </w:r>
          </w:p>
        </w:tc>
        <w:tc>
          <w:tcPr>
            <w:tcW w:w="100" w:type="dxa"/>
            <w:vAlign w:val="bottom"/>
          </w:tcPr>
          <w:p>
            <w:pPr>
              <w:spacing w:after="0"/>
              <w:rPr>
                <w:sz w:val="17"/>
                <w:szCs w:val="17"/>
                <w:color w:val="auto"/>
              </w:rPr>
            </w:pPr>
          </w:p>
        </w:tc>
        <w:tc>
          <w:tcPr>
            <w:tcW w:w="82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70</w:t>
            </w: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6.04</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9"/>
              </w:rPr>
              <w:t>Binding Effect</w:t>
            </w:r>
          </w:p>
        </w:tc>
        <w:tc>
          <w:tcPr>
            <w:tcW w:w="360" w:type="dxa"/>
            <w:vAlign w:val="bottom"/>
          </w:tcPr>
          <w:p>
            <w:pPr>
              <w:spacing w:after="0"/>
              <w:rPr>
                <w:sz w:val="17"/>
                <w:szCs w:val="17"/>
                <w:color w:val="auto"/>
              </w:rPr>
            </w:pP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70</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6.05</w:t>
            </w:r>
          </w:p>
        </w:tc>
        <w:tc>
          <w:tcPr>
            <w:tcW w:w="3660" w:type="dxa"/>
            <w:vAlign w:val="bottom"/>
            <w:gridSpan w:val="9"/>
          </w:tcPr>
          <w:p>
            <w:pPr>
              <w:ind w:left="240"/>
              <w:spacing w:after="0"/>
              <w:rPr>
                <w:sz w:val="20"/>
                <w:szCs w:val="20"/>
                <w:color w:val="auto"/>
              </w:rPr>
            </w:pPr>
            <w:r>
              <w:rPr>
                <w:rFonts w:ascii="Times New Roman" w:cs="Times New Roman" w:eastAsia="Times New Roman" w:hAnsi="Times New Roman"/>
                <w:sz w:val="17"/>
                <w:szCs w:val="17"/>
                <w:color w:val="auto"/>
                <w:w w:val="99"/>
              </w:rPr>
              <w:t>Financial Statements; No Material Adverse Effect</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70</w:t>
            </w: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6.06</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Litigation</w:t>
            </w: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6.07</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 Default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6.08</w:t>
            </w: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Ownership of Property; Liens</w:t>
            </w: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6.09</w:t>
            </w: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Environmental Compliance</w:t>
            </w:r>
          </w:p>
        </w:tc>
        <w:tc>
          <w:tcPr>
            <w:tcW w:w="60" w:type="dxa"/>
            <w:vAlign w:val="bottom"/>
          </w:tcPr>
          <w:p>
            <w:pPr>
              <w:spacing w:after="0"/>
              <w:rPr>
                <w:sz w:val="17"/>
                <w:szCs w:val="17"/>
                <w:color w:val="auto"/>
              </w:rPr>
            </w:pPr>
          </w:p>
        </w:tc>
        <w:tc>
          <w:tcPr>
            <w:tcW w:w="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6.10</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Insurance</w:t>
            </w: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6.11</w:t>
            </w:r>
          </w:p>
        </w:tc>
        <w:tc>
          <w:tcPr>
            <w:tcW w:w="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Taxes</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6.12</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ERISA Compliance</w:t>
            </w:r>
          </w:p>
        </w:tc>
        <w:tc>
          <w:tcPr>
            <w:tcW w:w="280" w:type="dxa"/>
            <w:vAlign w:val="bottom"/>
          </w:tcPr>
          <w:p>
            <w:pPr>
              <w:spacing w:after="0"/>
              <w:rPr>
                <w:sz w:val="17"/>
                <w:szCs w:val="17"/>
                <w:color w:val="auto"/>
              </w:rPr>
            </w:pPr>
          </w:p>
        </w:tc>
        <w:tc>
          <w:tcPr>
            <w:tcW w:w="4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73</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6.13</w:t>
            </w:r>
          </w:p>
        </w:tc>
        <w:tc>
          <w:tcPr>
            <w:tcW w:w="24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Subsidiaries and Capitalization</w:t>
            </w:r>
          </w:p>
        </w:tc>
        <w:tc>
          <w:tcPr>
            <w:tcW w:w="1160" w:type="dxa"/>
            <w:vAlign w:val="bottom"/>
            <w:gridSpan w:val="2"/>
          </w:tcPr>
          <w:p>
            <w:pPr>
              <w:jc w:val="right"/>
              <w:ind w:right="55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6.14</w:t>
            </w:r>
          </w:p>
        </w:tc>
        <w:tc>
          <w:tcPr>
            <w:tcW w:w="356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Margin Regulations; Investment Company Act</w:t>
            </w:r>
          </w:p>
        </w:tc>
        <w:tc>
          <w:tcPr>
            <w:tcW w:w="100" w:type="dxa"/>
            <w:vAlign w:val="bottom"/>
          </w:tcPr>
          <w:p>
            <w:pPr>
              <w:spacing w:after="0"/>
              <w:rPr>
                <w:sz w:val="17"/>
                <w:szCs w:val="17"/>
                <w:color w:val="auto"/>
              </w:rPr>
            </w:pPr>
          </w:p>
        </w:tc>
        <w:tc>
          <w:tcPr>
            <w:tcW w:w="8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74</w:t>
            </w: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6.15</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Disclosure</w:t>
            </w:r>
          </w:p>
        </w:tc>
        <w:tc>
          <w:tcPr>
            <w:tcW w:w="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74</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6.16</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Compliance with Laws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6.17</w:t>
            </w:r>
          </w:p>
        </w:tc>
        <w:tc>
          <w:tcPr>
            <w:tcW w:w="288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auto"/>
              </w:rPr>
              <w:t>Intellectual Property; Licenses, Etc</w:t>
            </w: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6.18</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Solvency</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82"/>
              </w:rPr>
              <w:t>77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6.19</w:t>
            </w:r>
          </w:p>
        </w:tc>
        <w:tc>
          <w:tcPr>
            <w:tcW w:w="356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Perfection of Security Interests in the Collateral</w:t>
            </w:r>
          </w:p>
        </w:tc>
        <w:tc>
          <w:tcPr>
            <w:tcW w:w="100" w:type="dxa"/>
            <w:vAlign w:val="bottom"/>
          </w:tcPr>
          <w:p>
            <w:pPr>
              <w:spacing w:after="0"/>
              <w:rPr>
                <w:sz w:val="17"/>
                <w:szCs w:val="17"/>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77</w:t>
            </w: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6.20</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Business Locations</w:t>
            </w:r>
          </w:p>
        </w:tc>
        <w:tc>
          <w:tcPr>
            <w:tcW w:w="280" w:type="dxa"/>
            <w:vAlign w:val="bottom"/>
          </w:tcPr>
          <w:p>
            <w:pPr>
              <w:spacing w:after="0"/>
              <w:rPr>
                <w:sz w:val="17"/>
                <w:szCs w:val="17"/>
                <w:color w:val="auto"/>
              </w:rPr>
            </w:pPr>
          </w:p>
        </w:tc>
        <w:tc>
          <w:tcPr>
            <w:tcW w:w="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77</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6.21</w:t>
            </w:r>
          </w:p>
        </w:tc>
        <w:tc>
          <w:tcPr>
            <w:tcW w:w="4480" w:type="dxa"/>
            <w:vAlign w:val="bottom"/>
            <w:gridSpan w:val="10"/>
          </w:tcPr>
          <w:p>
            <w:pPr>
              <w:ind w:left="240"/>
              <w:spacing w:after="0"/>
              <w:rPr>
                <w:sz w:val="20"/>
                <w:szCs w:val="20"/>
                <w:color w:val="auto"/>
              </w:rPr>
            </w:pPr>
            <w:r>
              <w:rPr>
                <w:rFonts w:ascii="Times New Roman" w:cs="Times New Roman" w:eastAsia="Times New Roman" w:hAnsi="Times New Roman"/>
                <w:sz w:val="17"/>
                <w:szCs w:val="17"/>
                <w:color w:val="auto"/>
              </w:rPr>
              <w:t>Sanctions Concerns; Anti-Corruption Laws; PATRIOT Act</w:t>
            </w:r>
          </w:p>
        </w:tc>
        <w:tc>
          <w:tcPr>
            <w:tcW w:w="142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rPr>
              <w:t>77</w:t>
            </w: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6.22</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Material Contracts</w:t>
            </w:r>
          </w:p>
        </w:tc>
        <w:tc>
          <w:tcPr>
            <w:tcW w:w="280" w:type="dxa"/>
            <w:vAlign w:val="bottom"/>
          </w:tcPr>
          <w:p>
            <w:pPr>
              <w:spacing w:after="0"/>
              <w:rPr>
                <w:sz w:val="17"/>
                <w:szCs w:val="17"/>
                <w:color w:val="auto"/>
              </w:rPr>
            </w:pPr>
          </w:p>
        </w:tc>
        <w:tc>
          <w:tcPr>
            <w:tcW w:w="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78</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6.23</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w w:val="99"/>
              </w:rPr>
              <w:t>Compliance of Products</w:t>
            </w:r>
          </w:p>
        </w:tc>
        <w:tc>
          <w:tcPr>
            <w:tcW w:w="980" w:type="dxa"/>
            <w:vAlign w:val="bottom"/>
            <w:gridSpan w:val="3"/>
          </w:tcPr>
          <w:p>
            <w:pPr>
              <w:jc w:val="right"/>
              <w:ind w:right="354"/>
              <w:spacing w:after="0"/>
              <w:rPr>
                <w:sz w:val="20"/>
                <w:szCs w:val="20"/>
                <w:color w:val="auto"/>
              </w:rPr>
            </w:pPr>
            <w:r>
              <w:rPr>
                <w:rFonts w:ascii="Times New Roman" w:cs="Times New Roman" w:eastAsia="Times New Roman" w:hAnsi="Times New Roman"/>
                <w:sz w:val="17"/>
                <w:szCs w:val="17"/>
                <w:color w:val="auto"/>
              </w:rPr>
              <w:t>78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6.24</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Labor Matters</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81</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6.25</w:t>
            </w: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Affected Financial Institution</w:t>
            </w: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6.26</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Regulation H</w:t>
            </w:r>
          </w:p>
        </w:tc>
        <w:tc>
          <w:tcPr>
            <w:tcW w:w="6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82</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6.27</w:t>
            </w:r>
          </w:p>
        </w:tc>
        <w:tc>
          <w:tcPr>
            <w:tcW w:w="24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Compliance with Privacy Laws</w:t>
            </w:r>
          </w:p>
        </w:tc>
        <w:tc>
          <w:tcPr>
            <w:tcW w:w="1160" w:type="dxa"/>
            <w:vAlign w:val="bottom"/>
            <w:gridSpan w:val="2"/>
          </w:tcPr>
          <w:p>
            <w:pPr>
              <w:jc w:val="right"/>
              <w:ind w:right="51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6.28</w:t>
            </w:r>
          </w:p>
        </w:tc>
        <w:tc>
          <w:tcPr>
            <w:tcW w:w="356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Representations as to Foreign Loan Parties.</w:t>
            </w:r>
          </w:p>
        </w:tc>
        <w:tc>
          <w:tcPr>
            <w:tcW w:w="920" w:type="dxa"/>
            <w:vAlign w:val="bottom"/>
            <w:gridSpan w:val="2"/>
          </w:tcPr>
          <w:p>
            <w:pPr>
              <w:jc w:val="right"/>
              <w:ind w:right="614"/>
              <w:spacing w:after="0"/>
              <w:rPr>
                <w:sz w:val="20"/>
                <w:szCs w:val="20"/>
                <w:color w:val="auto"/>
              </w:rPr>
            </w:pPr>
            <w:r>
              <w:rPr>
                <w:rFonts w:ascii="Times New Roman" w:cs="Times New Roman" w:eastAsia="Times New Roman" w:hAnsi="Times New Roman"/>
                <w:sz w:val="17"/>
                <w:szCs w:val="17"/>
                <w:color w:val="auto"/>
              </w:rPr>
              <w:t>82</w:t>
            </w:r>
          </w:p>
        </w:tc>
        <w:tc>
          <w:tcPr>
            <w:tcW w:w="14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13"/>
        </w:trPr>
        <w:tc>
          <w:tcPr>
            <w:tcW w:w="33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ARTICLE VII AFFIRMATIVE COVENANTS</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9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7.01</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Financial Statements</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7.02</w:t>
            </w:r>
          </w:p>
        </w:tc>
        <w:tc>
          <w:tcPr>
            <w:tcW w:w="24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Certificates; Other Information</w:t>
            </w:r>
          </w:p>
        </w:tc>
        <w:tc>
          <w:tcPr>
            <w:tcW w:w="1160" w:type="dxa"/>
            <w:vAlign w:val="bottom"/>
            <w:gridSpan w:val="2"/>
          </w:tcPr>
          <w:p>
            <w:pPr>
              <w:jc w:val="right"/>
              <w:ind w:right="554"/>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7.03</w:t>
            </w:r>
          </w:p>
        </w:tc>
        <w:tc>
          <w:tcPr>
            <w:tcW w:w="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Notices</w:t>
            </w:r>
          </w:p>
        </w:tc>
        <w:tc>
          <w:tcPr>
            <w:tcW w:w="8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86</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7.04</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Payment of Obligations</w:t>
            </w:r>
          </w:p>
        </w:tc>
        <w:tc>
          <w:tcPr>
            <w:tcW w:w="98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color w:val="auto"/>
              </w:rPr>
              <w:t>87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7.05</w:t>
            </w: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Preservation of Existence, Etc</w:t>
            </w: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7.06</w:t>
            </w: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Maintenance of Properties</w:t>
            </w:r>
          </w:p>
        </w:tc>
        <w:tc>
          <w:tcPr>
            <w:tcW w:w="60" w:type="dxa"/>
            <w:vAlign w:val="bottom"/>
          </w:tcPr>
          <w:p>
            <w:pPr>
              <w:spacing w:after="0"/>
              <w:rPr>
                <w:sz w:val="17"/>
                <w:szCs w:val="17"/>
                <w:color w:val="auto"/>
              </w:rPr>
            </w:pPr>
          </w:p>
        </w:tc>
        <w:tc>
          <w:tcPr>
            <w:tcW w:w="4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7.07</w:t>
            </w: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Maintenance of Insurance</w:t>
            </w:r>
          </w:p>
        </w:tc>
        <w:tc>
          <w:tcPr>
            <w:tcW w:w="60" w:type="dxa"/>
            <w:vAlign w:val="bottom"/>
          </w:tcPr>
          <w:p>
            <w:pPr>
              <w:spacing w:after="0"/>
              <w:rPr>
                <w:sz w:val="17"/>
                <w:szCs w:val="17"/>
                <w:color w:val="auto"/>
              </w:rPr>
            </w:pP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88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7.08</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Compliance with Laws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7.09</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Books and Records, etc</w:t>
            </w:r>
          </w:p>
        </w:tc>
        <w:tc>
          <w:tcPr>
            <w:tcW w:w="98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color w:val="auto"/>
              </w:rPr>
              <w:t>89</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7.10</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Inspection Rights</w:t>
            </w:r>
          </w:p>
        </w:tc>
        <w:tc>
          <w:tcPr>
            <w:tcW w:w="72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89</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7.11</w:t>
            </w: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7.12</w:t>
            </w:r>
          </w:p>
        </w:tc>
        <w:tc>
          <w:tcPr>
            <w:tcW w:w="19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Additional Subsidiaries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7.13</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ERISA Compliance</w:t>
            </w:r>
          </w:p>
        </w:tc>
        <w:tc>
          <w:tcPr>
            <w:tcW w:w="280" w:type="dxa"/>
            <w:vAlign w:val="bottom"/>
          </w:tcPr>
          <w:p>
            <w:pPr>
              <w:spacing w:after="0"/>
              <w:rPr>
                <w:sz w:val="17"/>
                <w:szCs w:val="17"/>
                <w:color w:val="auto"/>
              </w:rPr>
            </w:pPr>
          </w:p>
        </w:tc>
        <w:tc>
          <w:tcPr>
            <w:tcW w:w="4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90</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7.14</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Pledged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7.15</w:t>
            </w:r>
          </w:p>
        </w:tc>
        <w:tc>
          <w:tcPr>
            <w:tcW w:w="288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auto"/>
              </w:rPr>
              <w:t>Compliance with Material Contracts</w:t>
            </w: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7.16</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Deposit Accounts</w:t>
            </w:r>
          </w:p>
        </w:tc>
        <w:tc>
          <w:tcPr>
            <w:tcW w:w="7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91</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7.17</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Products and Permits</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7.18</w:t>
            </w: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Consent of Licensors</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7.19</w:t>
            </w:r>
          </w:p>
        </w:tc>
        <w:tc>
          <w:tcPr>
            <w:tcW w:w="19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Anti-Corruption Laws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7.20</w:t>
            </w:r>
          </w:p>
        </w:tc>
        <w:tc>
          <w:tcPr>
            <w:tcW w:w="5900" w:type="dxa"/>
            <w:vAlign w:val="bottom"/>
            <w:gridSpan w:val="11"/>
          </w:tcPr>
          <w:p>
            <w:pPr>
              <w:ind w:left="240"/>
              <w:spacing w:after="0"/>
              <w:rPr>
                <w:sz w:val="20"/>
                <w:szCs w:val="20"/>
                <w:color w:val="auto"/>
              </w:rPr>
            </w:pPr>
            <w:r>
              <w:rPr>
                <w:rFonts w:ascii="Times New Roman" w:cs="Times New Roman" w:eastAsia="Times New Roman" w:hAnsi="Times New Roman"/>
                <w:sz w:val="17"/>
                <w:szCs w:val="17"/>
                <w:color w:val="auto"/>
              </w:rPr>
              <w:t>Maintenance of Regulatory Authorizations, Contracts, Intellectual Property, Etc</w:t>
            </w:r>
          </w:p>
        </w:tc>
        <w:tc>
          <w:tcPr>
            <w:tcW w:w="4880" w:type="dxa"/>
            <w:vAlign w:val="bottom"/>
          </w:tcPr>
          <w:p>
            <w:pPr>
              <w:jc w:val="right"/>
              <w:ind w:right="4414"/>
              <w:spacing w:after="0"/>
              <w:rPr>
                <w:sz w:val="20"/>
                <w:szCs w:val="20"/>
                <w:color w:val="auto"/>
              </w:rPr>
            </w:pPr>
            <w:r>
              <w:rPr>
                <w:rFonts w:ascii="Times New Roman" w:cs="Times New Roman" w:eastAsia="Times New Roman" w:hAnsi="Times New Roman"/>
                <w:sz w:val="17"/>
                <w:szCs w:val="17"/>
                <w:color w:val="auto"/>
              </w:rPr>
              <w:t>92</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7.21</w:t>
            </w: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Post-Closing Obligations</w:t>
            </w:r>
          </w:p>
        </w:tc>
        <w:tc>
          <w:tcPr>
            <w:tcW w:w="54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color w:val="auto"/>
                <w:w w:val="93"/>
              </w:rPr>
              <w:t>94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ARTICLE VIII NEGATIVE COVENANTS</w:t>
            </w:r>
          </w:p>
        </w:tc>
        <w:tc>
          <w:tcPr>
            <w:tcW w:w="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9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8.01</w:t>
            </w:r>
          </w:p>
        </w:tc>
        <w:tc>
          <w:tcPr>
            <w:tcW w:w="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Liens</w:t>
            </w: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94</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8.02</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Investments</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97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8.03</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Indebtedness</w:t>
            </w: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8.04</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Fundamental Changes</w:t>
            </w:r>
          </w:p>
        </w:tc>
        <w:tc>
          <w:tcPr>
            <w:tcW w:w="22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99</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8.05</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Dispositions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8.06</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Restricted Payments</w:t>
            </w:r>
          </w:p>
        </w:tc>
        <w:tc>
          <w:tcPr>
            <w:tcW w:w="2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8.07</w:t>
            </w: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Change in Nature of Business</w:t>
            </w:r>
          </w:p>
        </w:tc>
        <w:tc>
          <w:tcPr>
            <w:tcW w:w="92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color w:val="auto"/>
              </w:rPr>
              <w:t>101</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8.08</w:t>
            </w:r>
          </w:p>
        </w:tc>
        <w:tc>
          <w:tcPr>
            <w:tcW w:w="3260" w:type="dxa"/>
            <w:vAlign w:val="bottom"/>
            <w:gridSpan w:val="7"/>
          </w:tcPr>
          <w:p>
            <w:pPr>
              <w:ind w:left="140"/>
              <w:spacing w:after="0"/>
              <w:rPr>
                <w:sz w:val="20"/>
                <w:szCs w:val="20"/>
                <w:color w:val="auto"/>
              </w:rPr>
            </w:pPr>
            <w:r>
              <w:rPr>
                <w:rFonts w:ascii="Times New Roman" w:cs="Times New Roman" w:eastAsia="Times New Roman" w:hAnsi="Times New Roman"/>
                <w:sz w:val="17"/>
                <w:szCs w:val="17"/>
                <w:color w:val="auto"/>
              </w:rPr>
              <w:t>Transactions with Affiliates and Insiders</w:t>
            </w: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101</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8.09</w:t>
            </w: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Burdensome Agreements</w:t>
            </w:r>
          </w:p>
        </w:tc>
        <w:tc>
          <w:tcPr>
            <w:tcW w:w="88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102</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8.10</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Use of Proceeds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8.11</w:t>
            </w: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17"/>
                <w:szCs w:val="17"/>
                <w:color w:val="auto"/>
              </w:rPr>
              <w:t>Prepayment of Other Indebtedness</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102</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8.12</w:t>
            </w:r>
          </w:p>
        </w:tc>
        <w:tc>
          <w:tcPr>
            <w:tcW w:w="9260" w:type="dxa"/>
            <w:vAlign w:val="bottom"/>
            <w:gridSpan w:val="11"/>
          </w:tcPr>
          <w:p>
            <w:pPr>
              <w:ind w:left="160"/>
              <w:spacing w:after="0"/>
              <w:rPr>
                <w:sz w:val="20"/>
                <w:szCs w:val="20"/>
                <w:color w:val="auto"/>
              </w:rPr>
            </w:pPr>
            <w:r>
              <w:rPr>
                <w:rFonts w:ascii="Times New Roman" w:cs="Times New Roman" w:eastAsia="Times New Roman" w:hAnsi="Times New Roman"/>
                <w:sz w:val="17"/>
                <w:szCs w:val="17"/>
                <w:color w:val="auto"/>
              </w:rPr>
              <w:t>Organization Documents; Fiscal Year; Legal Name, Jurisdiction of Organization and Form of Organization; Certain Amendments</w:t>
            </w:r>
          </w:p>
        </w:tc>
        <w:tc>
          <w:tcPr>
            <w:tcW w:w="144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103</w:t>
            </w: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8.13</w:t>
            </w: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Ownership of Subsidiaries</w:t>
            </w:r>
          </w:p>
        </w:tc>
        <w:tc>
          <w:tcPr>
            <w:tcW w:w="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8.14</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Sale Leasebacks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8.15</w:t>
            </w: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Sanctions; Anti-Corruption Laws</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104</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8.16</w:t>
            </w:r>
          </w:p>
        </w:tc>
        <w:tc>
          <w:tcPr>
            <w:tcW w:w="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Liquidity.</w:t>
            </w:r>
          </w:p>
        </w:tc>
        <w:tc>
          <w:tcPr>
            <w:tcW w:w="84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104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8.17</w:t>
            </w: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Consolidated Net Product Sales</w:t>
            </w:r>
          </w:p>
        </w:tc>
        <w:tc>
          <w:tcPr>
            <w:tcW w:w="92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104</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3"/>
        </w:trPr>
        <w:tc>
          <w:tcPr>
            <w:tcW w:w="44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ARTICLE IX EVENTS OF DEFAULT AND REMEDIES</w:t>
            </w: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107</w:t>
            </w: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9.01</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8"/>
              </w:rPr>
              <w:t>Events of Default</w:t>
            </w:r>
          </w:p>
        </w:tc>
        <w:tc>
          <w:tcPr>
            <w:tcW w:w="360" w:type="dxa"/>
            <w:vAlign w:val="bottom"/>
          </w:tcPr>
          <w:p>
            <w:pPr>
              <w:spacing w:after="0"/>
              <w:rPr>
                <w:sz w:val="24"/>
                <w:szCs w:val="24"/>
                <w:color w:val="auto"/>
              </w:rPr>
            </w:pPr>
          </w:p>
        </w:tc>
        <w:tc>
          <w:tcPr>
            <w:tcW w:w="62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107</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9.02</w:t>
            </w: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Remedies Upon Event of Default</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110</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9.03</w:t>
            </w: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Application of Funds</w:t>
            </w:r>
          </w:p>
        </w:tc>
        <w:tc>
          <w:tcPr>
            <w:tcW w:w="22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111</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3"/>
        </w:trPr>
        <w:tc>
          <w:tcPr>
            <w:tcW w:w="33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ARTICLE X ADMINISTRATIVE AGENT</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10.01</w:t>
            </w: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Appointment and Authority</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10.02</w:t>
            </w: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Rights as a Lender</w:t>
            </w:r>
          </w:p>
        </w:tc>
        <w:tc>
          <w:tcPr>
            <w:tcW w:w="6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113</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10.03</w:t>
            </w:r>
          </w:p>
        </w:tc>
        <w:tc>
          <w:tcPr>
            <w:tcW w:w="19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Exculpatory Provisions</w:t>
            </w:r>
          </w:p>
        </w:tc>
        <w:tc>
          <w:tcPr>
            <w:tcW w:w="88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113</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10.04</w:t>
            </w: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Reliance by Administrative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10.05</w:t>
            </w: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Delegation of Duties</w:t>
            </w:r>
          </w:p>
        </w:tc>
        <w:tc>
          <w:tcPr>
            <w:tcW w:w="22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115</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10.06</w:t>
            </w: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Resignation of Administrative Agent</w:t>
            </w:r>
          </w:p>
        </w:tc>
        <w:tc>
          <w:tcPr>
            <w:tcW w:w="10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115</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10.07</w:t>
            </w:r>
          </w:p>
        </w:tc>
        <w:tc>
          <w:tcPr>
            <w:tcW w:w="4340" w:type="dxa"/>
            <w:vAlign w:val="bottom"/>
            <w:gridSpan w:val="9"/>
          </w:tcPr>
          <w:p>
            <w:pPr>
              <w:ind w:left="240"/>
              <w:spacing w:after="0"/>
              <w:rPr>
                <w:sz w:val="20"/>
                <w:szCs w:val="20"/>
                <w:color w:val="auto"/>
              </w:rPr>
            </w:pPr>
            <w:r>
              <w:rPr>
                <w:rFonts w:ascii="Times New Roman" w:cs="Times New Roman" w:eastAsia="Times New Roman" w:hAnsi="Times New Roman"/>
                <w:sz w:val="17"/>
                <w:szCs w:val="17"/>
                <w:color w:val="auto"/>
              </w:rPr>
              <w:t>Non-Reliance on Administrative Agent and Other Lenders</w:t>
            </w:r>
          </w:p>
        </w:tc>
        <w:tc>
          <w:tcPr>
            <w:tcW w:w="130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115</w:t>
            </w: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10.08</w:t>
            </w:r>
          </w:p>
        </w:tc>
        <w:tc>
          <w:tcPr>
            <w:tcW w:w="3860" w:type="dxa"/>
            <w:vAlign w:val="bottom"/>
            <w:gridSpan w:val="8"/>
          </w:tcPr>
          <w:p>
            <w:pPr>
              <w:ind w:left="220"/>
              <w:spacing w:after="0"/>
              <w:rPr>
                <w:sz w:val="20"/>
                <w:szCs w:val="20"/>
                <w:color w:val="auto"/>
              </w:rPr>
            </w:pPr>
            <w:r>
              <w:rPr>
                <w:rFonts w:ascii="Times New Roman" w:cs="Times New Roman" w:eastAsia="Times New Roman" w:hAnsi="Times New Roman"/>
                <w:sz w:val="17"/>
                <w:szCs w:val="17"/>
                <w:color w:val="auto"/>
              </w:rPr>
              <w:t>Administrative Agent May File Proofs of Claim</w:t>
            </w:r>
          </w:p>
        </w:tc>
        <w:tc>
          <w:tcPr>
            <w:tcW w:w="4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116</w:t>
            </w: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10.09</w:t>
            </w: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Collateral and Guaranty Matters</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116</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Recovery of Erroneous Payments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3"/>
        </w:trPr>
        <w:tc>
          <w:tcPr>
            <w:tcW w:w="24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ARTICLE XI MISCELLANEOUS</w:t>
            </w:r>
          </w:p>
        </w:tc>
        <w:tc>
          <w:tcPr>
            <w:tcW w:w="88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117</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11.01</w:t>
            </w: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Amendments, Etc</w:t>
            </w:r>
          </w:p>
        </w:tc>
        <w:tc>
          <w:tcPr>
            <w:tcW w:w="62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117</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11.02</w:t>
            </w:r>
          </w:p>
        </w:tc>
        <w:tc>
          <w:tcPr>
            <w:tcW w:w="4340" w:type="dxa"/>
            <w:vAlign w:val="bottom"/>
            <w:gridSpan w:val="9"/>
          </w:tcPr>
          <w:p>
            <w:pPr>
              <w:ind w:left="240"/>
              <w:spacing w:after="0"/>
              <w:rPr>
                <w:sz w:val="20"/>
                <w:szCs w:val="20"/>
                <w:color w:val="auto"/>
              </w:rPr>
            </w:pPr>
            <w:r>
              <w:rPr>
                <w:rFonts w:ascii="Times New Roman" w:cs="Times New Roman" w:eastAsia="Times New Roman" w:hAnsi="Times New Roman"/>
                <w:sz w:val="17"/>
                <w:szCs w:val="17"/>
                <w:color w:val="auto"/>
              </w:rPr>
              <w:t>Notices and Other Communications; Facsimile Copies</w:t>
            </w:r>
          </w:p>
        </w:tc>
        <w:tc>
          <w:tcPr>
            <w:tcW w:w="13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rPr>
              <w:t>119</w:t>
            </w: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11.03</w:t>
            </w:r>
          </w:p>
        </w:tc>
        <w:tc>
          <w:tcPr>
            <w:tcW w:w="386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No Waiver; Cumulative Remedies; Enforcement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11.04</w:t>
            </w:r>
          </w:p>
        </w:tc>
        <w:tc>
          <w:tcPr>
            <w:tcW w:w="32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auto"/>
              </w:rPr>
              <w:t>Expenses; Indemnity; and Damage Waiver</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11.05</w:t>
            </w: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Payments Set Aside</w:t>
            </w:r>
          </w:p>
        </w:tc>
        <w:tc>
          <w:tcPr>
            <w:tcW w:w="220" w:type="dxa"/>
            <w:vAlign w:val="bottom"/>
          </w:tcPr>
          <w:p>
            <w:pPr>
              <w:spacing w:after="0"/>
              <w:rPr>
                <w:sz w:val="17"/>
                <w:szCs w:val="17"/>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123</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11.06</w:t>
            </w:r>
          </w:p>
        </w:tc>
        <w:tc>
          <w:tcPr>
            <w:tcW w:w="19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Successors and Assigns</w:t>
            </w:r>
          </w:p>
        </w:tc>
        <w:tc>
          <w:tcPr>
            <w:tcW w:w="88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123</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11.07</w:t>
            </w:r>
          </w:p>
        </w:tc>
        <w:tc>
          <w:tcPr>
            <w:tcW w:w="3860" w:type="dxa"/>
            <w:vAlign w:val="bottom"/>
            <w:gridSpan w:val="8"/>
          </w:tcPr>
          <w:p>
            <w:pPr>
              <w:ind w:left="220"/>
              <w:spacing w:after="0"/>
              <w:rPr>
                <w:sz w:val="20"/>
                <w:szCs w:val="20"/>
                <w:color w:val="auto"/>
              </w:rPr>
            </w:pPr>
            <w:r>
              <w:rPr>
                <w:rFonts w:ascii="Times New Roman" w:cs="Times New Roman" w:eastAsia="Times New Roman" w:hAnsi="Times New Roman"/>
                <w:sz w:val="17"/>
                <w:szCs w:val="17"/>
                <w:color w:val="auto"/>
              </w:rPr>
              <w:t>Treatment of Certain Information; Confidentiality</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11.08</w:t>
            </w:r>
          </w:p>
        </w:tc>
        <w:tc>
          <w:tcPr>
            <w:tcW w:w="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Set-off</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11.09</w:t>
            </w:r>
          </w:p>
        </w:tc>
        <w:tc>
          <w:tcPr>
            <w:tcW w:w="19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Interest Rate Limitation</w:t>
            </w:r>
          </w:p>
        </w:tc>
        <w:tc>
          <w:tcPr>
            <w:tcW w:w="88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127</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11.10</w:t>
            </w:r>
          </w:p>
        </w:tc>
        <w:tc>
          <w:tcPr>
            <w:tcW w:w="32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auto"/>
              </w:rPr>
              <w:t>Counterparts; Integration; Effectiveness</w:t>
            </w: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128</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11.11</w:t>
            </w:r>
          </w:p>
        </w:tc>
        <w:tc>
          <w:tcPr>
            <w:tcW w:w="326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Survival of Representations and Warranties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11.12</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Severability</w:t>
            </w: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11.13</w:t>
            </w:r>
          </w:p>
        </w:tc>
        <w:tc>
          <w:tcPr>
            <w:tcW w:w="19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Replacement of Lenders</w:t>
            </w:r>
          </w:p>
        </w:tc>
        <w:tc>
          <w:tcPr>
            <w:tcW w:w="8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128</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11.14</w:t>
            </w: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Governing Law; Jurisdiction; Etc</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11.15</w:t>
            </w:r>
          </w:p>
        </w:tc>
        <w:tc>
          <w:tcPr>
            <w:tcW w:w="282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auto"/>
              </w:rPr>
              <w:t>Waiver of Right to Trial by Jury</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130</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11.16</w:t>
            </w:r>
          </w:p>
        </w:tc>
        <w:tc>
          <w:tcPr>
            <w:tcW w:w="4340" w:type="dxa"/>
            <w:vAlign w:val="bottom"/>
            <w:gridSpan w:val="9"/>
          </w:tcPr>
          <w:p>
            <w:pPr>
              <w:ind w:left="240"/>
              <w:spacing w:after="0"/>
              <w:rPr>
                <w:sz w:val="20"/>
                <w:szCs w:val="20"/>
                <w:color w:val="auto"/>
              </w:rPr>
            </w:pPr>
            <w:r>
              <w:rPr>
                <w:rFonts w:ascii="Times New Roman" w:cs="Times New Roman" w:eastAsia="Times New Roman" w:hAnsi="Times New Roman"/>
                <w:sz w:val="17"/>
                <w:szCs w:val="17"/>
                <w:color w:val="auto"/>
              </w:rPr>
              <w:t>Electronic Execution; Electronic Records; Counterparts</w:t>
            </w:r>
          </w:p>
        </w:tc>
        <w:tc>
          <w:tcPr>
            <w:tcW w:w="130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130</w:t>
            </w: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11.17</w:t>
            </w: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USA PATRIOT Act</w:t>
            </w:r>
          </w:p>
        </w:tc>
        <w:tc>
          <w:tcPr>
            <w:tcW w:w="220" w:type="dxa"/>
            <w:vAlign w:val="bottom"/>
          </w:tcPr>
          <w:p>
            <w:pPr>
              <w:spacing w:after="0"/>
              <w:rPr>
                <w:sz w:val="17"/>
                <w:szCs w:val="17"/>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131</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11.18</w:t>
            </w:r>
          </w:p>
        </w:tc>
        <w:tc>
          <w:tcPr>
            <w:tcW w:w="32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auto"/>
              </w:rPr>
              <w:t>No Advisory or Fiduciary Relationship</w:t>
            </w:r>
          </w:p>
        </w:tc>
        <w:tc>
          <w:tcPr>
            <w:tcW w:w="6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132</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11.19</w:t>
            </w:r>
          </w:p>
        </w:tc>
        <w:tc>
          <w:tcPr>
            <w:tcW w:w="5640" w:type="dxa"/>
            <w:vAlign w:val="bottom"/>
            <w:gridSpan w:val="10"/>
          </w:tcPr>
          <w:p>
            <w:pPr>
              <w:ind w:left="220"/>
              <w:spacing w:after="0"/>
              <w:rPr>
                <w:sz w:val="20"/>
                <w:szCs w:val="20"/>
                <w:color w:val="auto"/>
              </w:rPr>
            </w:pPr>
            <w:r>
              <w:rPr>
                <w:rFonts w:ascii="Times New Roman" w:cs="Times New Roman" w:eastAsia="Times New Roman" w:hAnsi="Times New Roman"/>
                <w:sz w:val="17"/>
                <w:szCs w:val="17"/>
                <w:color w:val="auto"/>
              </w:rPr>
              <w:t>Acknowledgement and Consent to Bail-In of Affected Financial Institutions</w:t>
            </w:r>
          </w:p>
        </w:tc>
        <w:tc>
          <w:tcPr>
            <w:tcW w:w="3620" w:type="dxa"/>
            <w:vAlign w:val="bottom"/>
          </w:tcPr>
          <w:p>
            <w:pPr>
              <w:jc w:val="right"/>
              <w:ind w:right="3074"/>
              <w:spacing w:after="0"/>
              <w:rPr>
                <w:sz w:val="20"/>
                <w:szCs w:val="20"/>
                <w:color w:val="auto"/>
              </w:rPr>
            </w:pPr>
            <w:r>
              <w:rPr>
                <w:rFonts w:ascii="Times New Roman" w:cs="Times New Roman" w:eastAsia="Times New Roman" w:hAnsi="Times New Roman"/>
                <w:sz w:val="17"/>
                <w:szCs w:val="17"/>
                <w:color w:val="auto"/>
              </w:rPr>
              <w:t>132</w:t>
            </w:r>
          </w:p>
        </w:tc>
        <w:tc>
          <w:tcPr>
            <w:tcW w:w="1440" w:type="dxa"/>
            <w:vAlign w:val="bottom"/>
          </w:tcPr>
          <w:p>
            <w:pPr>
              <w:spacing w:after="0"/>
              <w:rPr>
                <w:sz w:val="17"/>
                <w:szCs w:val="17"/>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11.20</w:t>
            </w: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w w:val="99"/>
              </w:rPr>
              <w:t>Intended Tax Treatment of the Loans.</w:t>
            </w:r>
          </w:p>
        </w:tc>
        <w:tc>
          <w:tcPr>
            <w:tcW w:w="104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132</w:t>
            </w: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SCHEDULES</w:t>
      </w:r>
    </w:p>
    <w:p>
      <w:pPr>
        <w:spacing w:after="0" w:line="217"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Products</w:t>
      </w:r>
    </w:p>
    <w:p>
      <w:pPr>
        <w:spacing w:after="0" w:line="28"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color w:val="auto"/>
        </w:rPr>
        <w:t>Permitted Licenses</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2.01</w:t>
      </w:r>
      <w:r>
        <w:rPr>
          <w:sz w:val="20"/>
          <w:szCs w:val="20"/>
          <w:color w:val="auto"/>
        </w:rPr>
        <w:tab/>
      </w:r>
      <w:r>
        <w:rPr>
          <w:rFonts w:ascii="Times New Roman" w:cs="Times New Roman" w:eastAsia="Times New Roman" w:hAnsi="Times New Roman"/>
          <w:sz w:val="17"/>
          <w:szCs w:val="17"/>
          <w:color w:val="auto"/>
        </w:rPr>
        <w:t>Commitments and Applicable Percentages</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6.10</w:t>
      </w:r>
      <w:r>
        <w:rPr>
          <w:sz w:val="20"/>
          <w:szCs w:val="20"/>
          <w:color w:val="auto"/>
        </w:rPr>
        <w:tab/>
      </w:r>
      <w:r>
        <w:rPr>
          <w:rFonts w:ascii="Times New Roman" w:cs="Times New Roman" w:eastAsia="Times New Roman" w:hAnsi="Times New Roman"/>
          <w:sz w:val="17"/>
          <w:szCs w:val="17"/>
          <w:color w:val="auto"/>
        </w:rPr>
        <w:t>Insurance</w:t>
      </w:r>
    </w:p>
    <w:p>
      <w:pPr>
        <w:spacing w:after="0" w:line="11"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color w:val="auto"/>
        </w:rPr>
        <w:t>6.13(a)</w:t>
      </w:r>
      <w:r>
        <w:rPr>
          <w:sz w:val="20"/>
          <w:szCs w:val="20"/>
          <w:color w:val="auto"/>
        </w:rPr>
        <w:tab/>
      </w:r>
      <w:r>
        <w:rPr>
          <w:rFonts w:ascii="Times New Roman" w:cs="Times New Roman" w:eastAsia="Times New Roman" w:hAnsi="Times New Roman"/>
          <w:sz w:val="17"/>
          <w:szCs w:val="17"/>
          <w:color w:val="auto"/>
        </w:rPr>
        <w:t>Subsidiaries</w:t>
      </w:r>
    </w:p>
    <w:p>
      <w:pPr>
        <w:spacing w:after="0" w:line="11"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color w:val="auto"/>
        </w:rPr>
        <w:t>6.13(b)</w:t>
      </w:r>
      <w:r>
        <w:rPr>
          <w:sz w:val="20"/>
          <w:szCs w:val="20"/>
          <w:color w:val="auto"/>
        </w:rPr>
        <w:tab/>
      </w:r>
      <w:r>
        <w:rPr>
          <w:rFonts w:ascii="Times New Roman" w:cs="Times New Roman" w:eastAsia="Times New Roman" w:hAnsi="Times New Roman"/>
          <w:sz w:val="17"/>
          <w:szCs w:val="17"/>
          <w:color w:val="auto"/>
        </w:rPr>
        <w:t>Capitalization</w:t>
      </w:r>
    </w:p>
    <w:p>
      <w:pPr>
        <w:spacing w:after="0" w:line="11"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color w:val="auto"/>
        </w:rPr>
        <w:t>6.17(a)</w:t>
      </w:r>
      <w:r>
        <w:rPr>
          <w:sz w:val="20"/>
          <w:szCs w:val="20"/>
          <w:color w:val="auto"/>
        </w:rPr>
        <w:tab/>
      </w:r>
      <w:r>
        <w:rPr>
          <w:rFonts w:ascii="Times New Roman" w:cs="Times New Roman" w:eastAsia="Times New Roman" w:hAnsi="Times New Roman"/>
          <w:sz w:val="17"/>
          <w:szCs w:val="17"/>
          <w:color w:val="auto"/>
        </w:rPr>
        <w:t>Intellectual Property</w:t>
      </w:r>
    </w:p>
    <w:p>
      <w:pPr>
        <w:spacing w:after="0" w:line="11"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color w:val="auto"/>
        </w:rPr>
        <w:t>6.17(b)</w:t>
      </w:r>
      <w:r>
        <w:rPr>
          <w:sz w:val="20"/>
          <w:szCs w:val="20"/>
          <w:color w:val="auto"/>
        </w:rPr>
        <w:tab/>
      </w:r>
      <w:r>
        <w:rPr>
          <w:rFonts w:ascii="Times New Roman" w:cs="Times New Roman" w:eastAsia="Times New Roman" w:hAnsi="Times New Roman"/>
          <w:sz w:val="17"/>
          <w:szCs w:val="17"/>
          <w:color w:val="auto"/>
        </w:rPr>
        <w:t>Product Specific Patents</w:t>
      </w:r>
    </w:p>
    <w:p>
      <w:pPr>
        <w:spacing w:after="0" w:line="11"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color w:val="auto"/>
        </w:rPr>
        <w:t>6.20(a)</w:t>
      </w:r>
      <w:r>
        <w:rPr>
          <w:sz w:val="20"/>
          <w:szCs w:val="20"/>
          <w:color w:val="auto"/>
        </w:rPr>
        <w:tab/>
      </w:r>
      <w:r>
        <w:rPr>
          <w:rFonts w:ascii="Times New Roman" w:cs="Times New Roman" w:eastAsia="Times New Roman" w:hAnsi="Times New Roman"/>
          <w:sz w:val="17"/>
          <w:szCs w:val="17"/>
          <w:color w:val="auto"/>
        </w:rPr>
        <w:t>Locations of Real Property</w:t>
      </w:r>
    </w:p>
    <w:p>
      <w:pPr>
        <w:spacing w:after="0" w:line="11"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color w:val="auto"/>
        </w:rPr>
        <w:t>6.20(b)</w:t>
      </w:r>
      <w:r>
        <w:rPr>
          <w:sz w:val="20"/>
          <w:szCs w:val="20"/>
          <w:color w:val="auto"/>
        </w:rPr>
        <w:tab/>
      </w:r>
      <w:r>
        <w:rPr>
          <w:rFonts w:ascii="Times New Roman" w:cs="Times New Roman" w:eastAsia="Times New Roman" w:hAnsi="Times New Roman"/>
          <w:sz w:val="17"/>
          <w:szCs w:val="17"/>
          <w:color w:val="auto"/>
        </w:rPr>
        <w:t>Taxpayer and Organizational Identification Numbers</w:t>
      </w:r>
    </w:p>
    <w:p>
      <w:pPr>
        <w:spacing w:after="0" w:line="11" w:lineRule="exact"/>
        <w:rPr>
          <w:sz w:val="20"/>
          <w:szCs w:val="20"/>
          <w:color w:val="auto"/>
        </w:rPr>
      </w:pPr>
    </w:p>
    <w:p>
      <w:pPr>
        <w:jc w:val="right"/>
        <w:ind w:right="3999"/>
        <w:spacing w:after="0"/>
        <w:tabs>
          <w:tab w:leader="none" w:pos="4620" w:val="left"/>
        </w:tabs>
        <w:rPr>
          <w:sz w:val="20"/>
          <w:szCs w:val="20"/>
          <w:color w:val="auto"/>
        </w:rPr>
      </w:pPr>
      <w:r>
        <w:rPr>
          <w:rFonts w:ascii="Times New Roman" w:cs="Times New Roman" w:eastAsia="Times New Roman" w:hAnsi="Times New Roman"/>
          <w:sz w:val="17"/>
          <w:szCs w:val="17"/>
          <w:color w:val="auto"/>
        </w:rPr>
        <w:t>6.20(c)</w:t>
      </w:r>
      <w:r>
        <w:rPr>
          <w:sz w:val="20"/>
          <w:szCs w:val="20"/>
          <w:color w:val="auto"/>
        </w:rPr>
        <w:tab/>
      </w:r>
      <w:r>
        <w:rPr>
          <w:rFonts w:ascii="Times New Roman" w:cs="Times New Roman" w:eastAsia="Times New Roman" w:hAnsi="Times New Roman"/>
          <w:sz w:val="17"/>
          <w:szCs w:val="17"/>
          <w:color w:val="auto"/>
        </w:rPr>
        <w:t>Changes in Legal Name, Jurisdiction of Organization and Structure</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6.22</w:t>
      </w:r>
      <w:r>
        <w:rPr>
          <w:sz w:val="20"/>
          <w:szCs w:val="20"/>
          <w:color w:val="auto"/>
        </w:rPr>
        <w:tab/>
      </w:r>
      <w:r>
        <w:rPr>
          <w:rFonts w:ascii="Times New Roman" w:cs="Times New Roman" w:eastAsia="Times New Roman" w:hAnsi="Times New Roman"/>
          <w:sz w:val="17"/>
          <w:szCs w:val="17"/>
          <w:color w:val="auto"/>
        </w:rPr>
        <w:t>Material Contracts</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7.21</w:t>
      </w:r>
      <w:r>
        <w:rPr>
          <w:sz w:val="20"/>
          <w:szCs w:val="20"/>
          <w:color w:val="auto"/>
        </w:rPr>
        <w:tab/>
      </w:r>
      <w:r>
        <w:rPr>
          <w:rFonts w:ascii="Times New Roman" w:cs="Times New Roman" w:eastAsia="Times New Roman" w:hAnsi="Times New Roman"/>
          <w:sz w:val="17"/>
          <w:szCs w:val="17"/>
          <w:color w:val="auto"/>
        </w:rPr>
        <w:t>Post-Closing Obligations</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8.01</w:t>
      </w:r>
      <w:r>
        <w:rPr>
          <w:sz w:val="20"/>
          <w:szCs w:val="20"/>
          <w:color w:val="auto"/>
        </w:rPr>
        <w:tab/>
      </w:r>
      <w:r>
        <w:rPr>
          <w:rFonts w:ascii="Times New Roman" w:cs="Times New Roman" w:eastAsia="Times New Roman" w:hAnsi="Times New Roman"/>
          <w:sz w:val="17"/>
          <w:szCs w:val="17"/>
          <w:color w:val="auto"/>
        </w:rPr>
        <w:t>Liens Existing on the Closing Date</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8.02</w:t>
      </w:r>
      <w:r>
        <w:rPr>
          <w:sz w:val="20"/>
          <w:szCs w:val="20"/>
          <w:color w:val="auto"/>
        </w:rPr>
        <w:tab/>
      </w:r>
      <w:r>
        <w:rPr>
          <w:rFonts w:ascii="Times New Roman" w:cs="Times New Roman" w:eastAsia="Times New Roman" w:hAnsi="Times New Roman"/>
          <w:sz w:val="17"/>
          <w:szCs w:val="17"/>
          <w:color w:val="auto"/>
        </w:rPr>
        <w:t>Investments Existing on the Closing Date</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8.03</w:t>
      </w:r>
      <w:r>
        <w:rPr>
          <w:sz w:val="20"/>
          <w:szCs w:val="20"/>
          <w:color w:val="auto"/>
        </w:rPr>
        <w:tab/>
      </w:r>
      <w:r>
        <w:rPr>
          <w:rFonts w:ascii="Times New Roman" w:cs="Times New Roman" w:eastAsia="Times New Roman" w:hAnsi="Times New Roman"/>
          <w:sz w:val="17"/>
          <w:szCs w:val="17"/>
          <w:color w:val="auto"/>
        </w:rPr>
        <w:t>Indebtedness Existing on the Closing Date</w:t>
      </w:r>
    </w:p>
    <w:p>
      <w:pPr>
        <w:spacing w:after="0" w:line="11"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17"/>
          <w:szCs w:val="17"/>
          <w:color w:val="auto"/>
        </w:rPr>
        <w:t>8.08</w:t>
      </w:r>
      <w:r>
        <w:rPr>
          <w:sz w:val="20"/>
          <w:szCs w:val="20"/>
          <w:color w:val="auto"/>
        </w:rPr>
        <w:tab/>
      </w:r>
      <w:r>
        <w:rPr>
          <w:rFonts w:ascii="Times New Roman" w:cs="Times New Roman" w:eastAsia="Times New Roman" w:hAnsi="Times New Roman"/>
          <w:sz w:val="17"/>
          <w:szCs w:val="17"/>
          <w:color w:val="auto"/>
        </w:rPr>
        <w:t>Transactions with Affiliates and Insiders Existing on the Closing Date</w:t>
      </w:r>
    </w:p>
    <w:p>
      <w:pPr>
        <w:spacing w:after="0" w:line="11" w:lineRule="exact"/>
        <w:rPr>
          <w:sz w:val="20"/>
          <w:szCs w:val="20"/>
          <w:color w:val="auto"/>
        </w:rPr>
      </w:pPr>
    </w:p>
    <w:p>
      <w:pPr>
        <w:ind w:left="620"/>
        <w:spacing w:after="0"/>
        <w:tabs>
          <w:tab w:leader="none" w:pos="1360" w:val="left"/>
        </w:tabs>
        <w:rPr>
          <w:sz w:val="20"/>
          <w:szCs w:val="20"/>
          <w:color w:val="auto"/>
        </w:rPr>
      </w:pPr>
      <w:r>
        <w:rPr>
          <w:rFonts w:ascii="Times New Roman" w:cs="Times New Roman" w:eastAsia="Times New Roman" w:hAnsi="Times New Roman"/>
          <w:sz w:val="17"/>
          <w:szCs w:val="17"/>
          <w:color w:val="auto"/>
        </w:rPr>
        <w:t>11.02</w:t>
      </w:r>
      <w:r>
        <w:rPr>
          <w:sz w:val="20"/>
          <w:szCs w:val="20"/>
          <w:color w:val="auto"/>
        </w:rPr>
        <w:tab/>
      </w:r>
      <w:r>
        <w:rPr>
          <w:rFonts w:ascii="Times New Roman" w:cs="Times New Roman" w:eastAsia="Times New Roman" w:hAnsi="Times New Roman"/>
          <w:sz w:val="17"/>
          <w:szCs w:val="17"/>
          <w:color w:val="auto"/>
        </w:rPr>
        <w:t>Certain Addresses for Notices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EXHIBITS</w:t>
      </w:r>
    </w:p>
    <w:p>
      <w:pPr>
        <w:spacing w:after="0" w:line="217" w:lineRule="exact"/>
        <w:rPr>
          <w:sz w:val="20"/>
          <w:szCs w:val="20"/>
          <w:color w:val="auto"/>
        </w:rPr>
      </w:pPr>
    </w:p>
    <w:p>
      <w:pPr>
        <w:ind w:left="1120" w:hanging="498"/>
        <w:spacing w:after="0"/>
        <w:tabs>
          <w:tab w:leader="none" w:pos="1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Loan Notice</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B-1Form of Term A Note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B-2Form of Term B Note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B-3Form of Term C Note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CForm of Joinder Agreement</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DForm of Assignment and Assumption</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EForm of Compliance Certificate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F-1Form of U.S. Tax Compliance Certificate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F-2Form of U.S. Tax Compliance Certificate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F-3Form of U.S. Tax Compliance Certificate</w:t>
      </w:r>
    </w:p>
    <w:p>
      <w:pPr>
        <w:spacing w:after="0" w:line="1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F-4Form of U.S.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713867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39"/>
          </w:cols>
          <w:pgMar w:left="320" w:top="561"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color w:val="auto"/>
        </w:rPr>
        <w:t>CREDIT AGREEMENT</w:t>
      </w:r>
    </w:p>
    <w:p>
      <w:pPr>
        <w:spacing w:after="0" w:line="217" w:lineRule="exact"/>
        <w:rPr>
          <w:sz w:val="20"/>
          <w:szCs w:val="20"/>
          <w:color w:val="auto"/>
        </w:rPr>
      </w:pPr>
    </w:p>
    <w:p>
      <w:pPr>
        <w:jc w:val="both"/>
        <w:ind w:left="60" w:right="80" w:firstLine="773"/>
        <w:spacing w:after="0" w:line="287" w:lineRule="auto"/>
        <w:rPr>
          <w:sz w:val="20"/>
          <w:szCs w:val="20"/>
          <w:color w:val="auto"/>
        </w:rPr>
      </w:pPr>
      <w:r>
        <w:rPr>
          <w:rFonts w:ascii="Times New Roman" w:cs="Times New Roman" w:eastAsia="Times New Roman" w:hAnsi="Times New Roman"/>
          <w:sz w:val="17"/>
          <w:szCs w:val="17"/>
          <w:color w:val="auto"/>
        </w:rPr>
        <w:t>This CREDIT AGREEMENT is entered into as of April 5, 2024 among ZEVRA THERAPEUTICS, INC.,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the Guarantors (defined herein), the Lenders (defined herein) and ALTER DOMUS (US) LLC, as the Administrative Agent.</w:t>
      </w:r>
    </w:p>
    <w:p>
      <w:pPr>
        <w:spacing w:after="0" w:line="151" w:lineRule="exact"/>
        <w:rPr>
          <w:sz w:val="20"/>
          <w:szCs w:val="20"/>
          <w:color w:val="auto"/>
        </w:rPr>
      </w:pPr>
    </w:p>
    <w:p>
      <w:pPr>
        <w:jc w:val="both"/>
        <w:ind w:left="60" w:right="80" w:firstLine="773"/>
        <w:spacing w:after="0" w:line="287" w:lineRule="auto"/>
        <w:rPr>
          <w:sz w:val="20"/>
          <w:szCs w:val="20"/>
          <w:color w:val="auto"/>
        </w:rPr>
      </w:pPr>
      <w:r>
        <w:rPr>
          <w:rFonts w:ascii="Times New Roman" w:cs="Times New Roman" w:eastAsia="Times New Roman" w:hAnsi="Times New Roman"/>
          <w:sz w:val="17"/>
          <w:szCs w:val="17"/>
          <w:color w:val="auto"/>
        </w:rPr>
        <w:t>The Borrower has requested that the Lenders make an investment in the Borrower in the form of term loan facilities and the Lenders are willing to do so on the terms and conditions set forth herein.</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In consideration of the mutual covenants and agreements herein contained, the parties hereto covenant and agree as follows: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 AND ACCOUNTING TERMS</w:t>
      </w:r>
    </w:p>
    <w:p>
      <w:pPr>
        <w:spacing w:after="0" w:line="217" w:lineRule="exact"/>
        <w:rPr>
          <w:sz w:val="20"/>
          <w:szCs w:val="20"/>
          <w:color w:val="auto"/>
        </w:rPr>
      </w:pPr>
    </w:p>
    <w:p>
      <w:pPr>
        <w:ind w:left="680"/>
        <w:spacing w:after="0"/>
        <w:tabs>
          <w:tab w:leader="none" w:pos="114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6"/>
          <w:szCs w:val="16"/>
          <w:color w:val="auto"/>
        </w:rPr>
        <w:t>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-6350</wp:posOffset>
            </wp:positionV>
            <wp:extent cx="758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spacing w:after="0" w:line="1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As used in this Agreement, the following terms shall have the meanings set forth below:</w:t>
      </w:r>
    </w:p>
    <w:p>
      <w:pPr>
        <w:spacing w:after="0" w:line="217" w:lineRule="exact"/>
        <w:rPr>
          <w:sz w:val="20"/>
          <w:szCs w:val="20"/>
          <w:color w:val="auto"/>
        </w:rPr>
      </w:pPr>
    </w:p>
    <w:p>
      <w:pPr>
        <w:jc w:val="both"/>
        <w:ind w:left="60" w:right="80" w:firstLine="773"/>
        <w:spacing w:after="0" w:line="287" w:lineRule="auto"/>
        <w:rPr>
          <w:sz w:val="20"/>
          <w:szCs w:val="20"/>
          <w:color w:val="auto"/>
        </w:rPr>
      </w:pPr>
      <w:r>
        <w:rPr>
          <w:rFonts w:ascii="Times New Roman" w:cs="Times New Roman" w:eastAsia="Times New Roman" w:hAnsi="Times New Roman"/>
          <w:sz w:val="17"/>
          <w:szCs w:val="17"/>
          <w:u w:val="single" w:color="auto"/>
          <w:color w:val="auto"/>
        </w:rPr>
        <w:t>“Account Control Agreement</w:t>
      </w:r>
      <w:r>
        <w:rPr>
          <w:rFonts w:ascii="Times New Roman" w:cs="Times New Roman" w:eastAsia="Times New Roman" w:hAnsi="Times New Roman"/>
          <w:sz w:val="17"/>
          <w:szCs w:val="17"/>
          <w:color w:val="auto"/>
        </w:rPr>
        <w:t>” means any account control agreement by and among a U.S. Loan Party, the applicable depository bank or securities intermediary (as the case may be) and the Administrative Agent, in each case in form and substance reasonably satisfactory to the Required Lenders.</w:t>
      </w:r>
    </w:p>
    <w:p>
      <w:pPr>
        <w:spacing w:after="0" w:line="151" w:lineRule="exact"/>
        <w:rPr>
          <w:sz w:val="20"/>
          <w:szCs w:val="20"/>
          <w:color w:val="auto"/>
        </w:rPr>
      </w:pPr>
    </w:p>
    <w:p>
      <w:pPr>
        <w:jc w:val="both"/>
        <w:ind w:left="60" w:right="80" w:firstLine="773"/>
        <w:spacing w:after="0" w:line="261" w:lineRule="auto"/>
        <w:rPr>
          <w:sz w:val="20"/>
          <w:szCs w:val="20"/>
          <w:color w:val="auto"/>
        </w:rPr>
      </w:pP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means, with respect to any Person, the acquisition by such Person, in a single transaction or in a series of related transactions, of (a) assets of another Person which constitute all or substantially all of the assets of such Person, or of any division, line of business or other business unit of such Person, (b) at least a majority of the Voting Stock of another Person, in each case whether or not involving a merger or consolidation with such other Person and whether for cash, property, services, assumption of Indebtedness, securities or otherwise or (c) any Acquisition Product or any Person or division, line of business or other business unit of another Person holding any Acquisition Product(s).</w:t>
      </w:r>
    </w:p>
    <w:p>
      <w:pPr>
        <w:spacing w:after="0" w:line="175" w:lineRule="exact"/>
        <w:rPr>
          <w:sz w:val="20"/>
          <w:szCs w:val="20"/>
          <w:color w:val="auto"/>
        </w:rPr>
      </w:pPr>
    </w:p>
    <w:p>
      <w:pPr>
        <w:ind w:firstLine="688"/>
        <w:spacing w:after="0" w:line="287" w:lineRule="auto"/>
        <w:rPr>
          <w:sz w:val="20"/>
          <w:szCs w:val="20"/>
          <w:color w:val="auto"/>
        </w:rPr>
      </w:pPr>
      <w:r>
        <w:rPr>
          <w:rFonts w:ascii="Times New Roman" w:cs="Times New Roman" w:eastAsia="Times New Roman" w:hAnsi="Times New Roman"/>
          <w:sz w:val="17"/>
          <w:szCs w:val="17"/>
          <w:u w:val="single" w:color="auto"/>
          <w:color w:val="auto"/>
        </w:rPr>
        <w:t>“Acquisition Product</w:t>
      </w:r>
      <w:r>
        <w:rPr>
          <w:rFonts w:ascii="Times New Roman" w:cs="Times New Roman" w:eastAsia="Times New Roman" w:hAnsi="Times New Roman"/>
          <w:sz w:val="17"/>
          <w:szCs w:val="17"/>
          <w:color w:val="auto"/>
        </w:rPr>
        <w:t>” means any product or service developed, manufactured, marketed, offered for sale, promoted, sold, tested, used or otherwis istributed by a Person other than the Borrower or any of its Subsidiaries.</w:t>
      </w:r>
    </w:p>
    <w:p>
      <w:pPr>
        <w:spacing w:after="0" w:line="151" w:lineRule="exact"/>
        <w:rPr>
          <w:sz w:val="20"/>
          <w:szCs w:val="20"/>
          <w:color w:val="auto"/>
        </w:rPr>
      </w:pPr>
    </w:p>
    <w:p>
      <w:pPr>
        <w:jc w:val="both"/>
        <w:ind w:left="60" w:right="80" w:firstLine="773"/>
        <w:spacing w:after="0" w:line="287" w:lineRule="auto"/>
        <w:rPr>
          <w:sz w:val="20"/>
          <w:szCs w:val="20"/>
          <w:color w:val="auto"/>
        </w:rPr>
      </w:pP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means Alter Domus (US) LLC, in its capacity as administrative agent under any of the Loan Documents, or any duly appointed successor administrative agent, pursuant to the terms hereof.</w:t>
      </w:r>
    </w:p>
    <w:p>
      <w:pPr>
        <w:spacing w:after="0" w:line="151" w:lineRule="exact"/>
        <w:rPr>
          <w:sz w:val="20"/>
          <w:szCs w:val="20"/>
          <w:color w:val="auto"/>
        </w:rPr>
      </w:pPr>
    </w:p>
    <w:p>
      <w:pPr>
        <w:jc w:val="both"/>
        <w:ind w:left="60" w:right="80" w:firstLine="773"/>
        <w:spacing w:after="0" w:line="287" w:lineRule="auto"/>
        <w:rPr>
          <w:sz w:val="20"/>
          <w:szCs w:val="20"/>
          <w:color w:val="auto"/>
        </w:rPr>
      </w:pPr>
      <w:r>
        <w:rPr>
          <w:rFonts w:ascii="Times New Roman" w:cs="Times New Roman" w:eastAsia="Times New Roman" w:hAnsi="Times New Roman"/>
          <w:sz w:val="17"/>
          <w:szCs w:val="17"/>
          <w:u w:val="single" w:color="auto"/>
          <w:color w:val="auto"/>
        </w:rPr>
        <w:t>“Administrative Agent’s Office</w:t>
      </w:r>
      <w:r>
        <w:rPr>
          <w:rFonts w:ascii="Times New Roman" w:cs="Times New Roman" w:eastAsia="Times New Roman" w:hAnsi="Times New Roman"/>
          <w:sz w:val="17"/>
          <w:szCs w:val="17"/>
          <w:color w:val="auto"/>
        </w:rPr>
        <w:t xml:space="preserve">” means the Administrative Agent’s address and, as appropriate, account as set forth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xml:space="preserve"> or such other address or account as the Administrative Agent may from time to time notify the Borrower and the Lenders.</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u w:val="single" w:color="auto"/>
          <w:color w:val="auto"/>
        </w:rPr>
        <w:t>“Affected Financial Institution</w:t>
      </w:r>
      <w:r>
        <w:rPr>
          <w:rFonts w:ascii="Times New Roman" w:cs="Times New Roman" w:eastAsia="Times New Roman" w:hAnsi="Times New Roman"/>
          <w:sz w:val="17"/>
          <w:szCs w:val="17"/>
          <w:color w:val="auto"/>
        </w:rPr>
        <w:t>” means (a) any EEA Financial Institution or (b) any UK Financial Institution.</w:t>
      </w:r>
    </w:p>
    <w:p>
      <w:pPr>
        <w:spacing w:after="0" w:line="217" w:lineRule="exact"/>
        <w:rPr>
          <w:sz w:val="20"/>
          <w:szCs w:val="20"/>
          <w:color w:val="auto"/>
        </w:rPr>
      </w:pPr>
    </w:p>
    <w:p>
      <w:pPr>
        <w:jc w:val="both"/>
        <w:ind w:left="60" w:right="80" w:firstLine="773"/>
        <w:spacing w:after="0" w:line="287" w:lineRule="auto"/>
        <w:rPr>
          <w:sz w:val="20"/>
          <w:szCs w:val="20"/>
          <w:color w:val="auto"/>
        </w:rPr>
      </w:pP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 specified Person, another Person that directly, or indirectly through one or more intermediaries, Controls or is Controlled by or is under common Control with the Person specified.</w:t>
      </w:r>
    </w:p>
    <w:p>
      <w:pPr>
        <w:spacing w:after="0" w:line="151" w:lineRule="exact"/>
        <w:rPr>
          <w:sz w:val="20"/>
          <w:szCs w:val="20"/>
          <w:color w:val="auto"/>
        </w:rPr>
      </w:pPr>
    </w:p>
    <w:p>
      <w:pPr>
        <w:jc w:val="both"/>
        <w:ind w:left="60" w:right="80"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“Affordable Care Act</w:t>
      </w:r>
      <w:r>
        <w:rPr>
          <w:rFonts w:ascii="Times New Roman" w:cs="Times New Roman" w:eastAsia="Times New Roman" w:hAnsi="Times New Roman"/>
          <w:sz w:val="17"/>
          <w:szCs w:val="17"/>
          <w:color w:val="auto"/>
        </w:rPr>
        <w:t>” means the Patient Protection and Affordable Care Act, Pub. L. No. 111-148, 124 Stat. 119 (2010), as amended by the Health Care and Education Reconciliation Act of 2010, Pub. L. 111-152, 124 Stat. 1029 (2010).</w:t>
      </w:r>
    </w:p>
    <w:p>
      <w:pPr>
        <w:spacing w:after="0" w:line="151" w:lineRule="exact"/>
        <w:rPr>
          <w:sz w:val="20"/>
          <w:szCs w:val="20"/>
          <w:color w:val="auto"/>
        </w:rPr>
      </w:pPr>
    </w:p>
    <w:p>
      <w:pPr>
        <w:jc w:val="both"/>
        <w:ind w:left="60" w:right="80"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“Agent Fee Letter</w:t>
      </w:r>
      <w:r>
        <w:rPr>
          <w:rFonts w:ascii="Times New Roman" w:cs="Times New Roman" w:eastAsia="Times New Roman" w:hAnsi="Times New Roman"/>
          <w:sz w:val="17"/>
          <w:szCs w:val="17"/>
          <w:color w:val="auto"/>
        </w:rPr>
        <w:t>” means that certain letter agreement dated as of the Closing Date among the Borrower, on the one hand, and the Administrative Agent and/or one or more if its Affiliates, on the other hand.</w:t>
      </w:r>
    </w:p>
    <w:p>
      <w:pPr>
        <w:spacing w:after="0" w:line="1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Credit Agreement.</w:t>
      </w:r>
    </w:p>
    <w:p>
      <w:pPr>
        <w:spacing w:after="0" w:line="217" w:lineRule="exact"/>
        <w:rPr>
          <w:sz w:val="20"/>
          <w:szCs w:val="20"/>
          <w:color w:val="auto"/>
        </w:rPr>
      </w:pPr>
    </w:p>
    <w:p>
      <w:pPr>
        <w:jc w:val="both"/>
        <w:ind w:left="60" w:right="80"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“ANDA</w:t>
      </w:r>
      <w:r>
        <w:rPr>
          <w:rFonts w:ascii="Times New Roman" w:cs="Times New Roman" w:eastAsia="Times New Roman" w:hAnsi="Times New Roman"/>
          <w:sz w:val="17"/>
          <w:szCs w:val="17"/>
          <w:color w:val="auto"/>
        </w:rPr>
        <w:t>” means an abbreviated new drug application submitted to the FDA pursuant to section 505(j) of the FDCA, along with all supplements and amendments thereto, and any similar application for marketing authorization required by any country, jurisdiction or Governmental Authority other than the United States.</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“Applicable Foreign Loan Party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6.28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361315</wp:posOffset>
            </wp:positionV>
            <wp:extent cx="713867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80"/>
          </w:cols>
          <w:pgMar w:left="260" w:top="768" w:right="259" w:bottom="1440" w:gutter="0" w:footer="0" w:header="0"/>
        </w:sectPr>
      </w:pPr>
    </w:p>
    <w:bookmarkStart w:id="50" w:name="page51"/>
    <w:bookmarkEnd w:id="50"/>
    <w:p>
      <w:pPr>
        <w:spacing w:after="0" w:line="4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u w:val="single" w:color="auto"/>
          <w:color w:val="auto"/>
        </w:rPr>
        <w:t>“Applicable Margin</w:t>
      </w:r>
      <w:r>
        <w:rPr>
          <w:rFonts w:ascii="Times New Roman" w:cs="Times New Roman" w:eastAsia="Times New Roman" w:hAnsi="Times New Roman"/>
          <w:sz w:val="17"/>
          <w:szCs w:val="17"/>
          <w:color w:val="auto"/>
        </w:rPr>
        <w:t xml:space="preserve">” means, for any Interest Period, seven percent (7.00%) per annum;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for any Interest Period following the occurrence of the Consolidated Net Product Sales Applicable Margin Trigger (2025) (and delivery by the Borrower of the related Consolidated Net Product Sales Applicable Margin Trigger (2025) Certificate to the Administrative Agent (for further distribution to the Lenders) not less than six (6) Business Days prior to the commencement of such Interest Period), the reference preceding this proviso to “seven percent (7.00%) per annum” shall, commencing with the first full Interest Period immediately following the occurrence of the Consolidated Net Product Sales Applicable Margin Trigger (2025) (and delivery by the Borrower of the related Consolidated Net Product Sales Applicable Margin Trigger (2025) Certificate to the Administrative Agent (for further distribution to the Lenders) not less than six</w:t>
      </w:r>
    </w:p>
    <w:p>
      <w:pPr>
        <w:spacing w:after="0" w:line="3" w:lineRule="exact"/>
        <w:rPr>
          <w:sz w:val="20"/>
          <w:szCs w:val="20"/>
          <w:color w:val="auto"/>
        </w:rPr>
      </w:pPr>
    </w:p>
    <w:p>
      <w:pPr>
        <w:jc w:val="both"/>
        <w:ind w:firstLine="3"/>
        <w:spacing w:after="0" w:line="255" w:lineRule="auto"/>
        <w:tabs>
          <w:tab w:leader="none" w:pos="2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commencement of such Interest Period), be deemed replaced with “six percent (6.00%) per annum” and (b) for any Interest Period following the occurrence of the Consolidated Net Product Sales Applicable Margin Trigger (Subsequent Period) (and delivery by the Borrower of the related Consolidated Net Product Sales Applicable Margin Trigger (Subsequent Period) Certificate to the Administrative Agent (for further distribution to the Lenders) not less than six (6) Business Days prior to the commencement of such Interest Period), the reference preceding this proviso to “seven percent (7.00%) per annum” shall, commencing with the first full Interest Period immediately following the occurrence of the Consolidated Net Product Sales Applicable Margin Trigger (Subsequent Period) (and delivery by the Borrower of the related Consolidated Net Product Sales Applicable Margin Trigger (Subsequent Period) Certificate to the Administrative Agent (for further distribution to the Lenders) not less than six (6) Business Days prior to the commencement of such Interest Period) be deemed replaced with “six and one half of one percent (6.50%) per annum”.</w:t>
      </w:r>
    </w:p>
    <w:p>
      <w:pPr>
        <w:spacing w:after="0" w:line="17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u w:val="single" w:color="auto"/>
          <w:color w:val="auto"/>
        </w:rPr>
        <w:t>“Applicable Percentage</w:t>
      </w:r>
      <w:r>
        <w:rPr>
          <w:rFonts w:ascii="Times New Roman" w:cs="Times New Roman" w:eastAsia="Times New Roman" w:hAnsi="Times New Roman"/>
          <w:sz w:val="17"/>
          <w:szCs w:val="17"/>
          <w:color w:val="auto"/>
        </w:rPr>
        <w:t xml:space="preserve">” means with respect to any Lender at any time, (a) in respect of the Term A Facility, the percentage (carried out to the ninth decimal place) of the Term A Facility represented by (i) on or prior to the Closing Date, such Lender’s Term A Commitment at such time and (ii) thereafter, the outstanding principal amount of such Lender’s Term A Loans at such time, (b) in respect of the Term B Facility, the percentage (carried out to the ninth decimal place) of the Term B Facility represented by (i) at any time during the Term B Availability Period, such Lender’s Term B Commitment at such time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outstanding principal amount of such Lender’s Term B Loans at such time and (ii) at any time thereafter, the outstanding principal amount of such Lender’s Term B Loans at such time and (c) in respect of the Term C Facility, the percentage (carried out to the ninth decimal place) of the Term C Facility represented by (i) at any time during the Term C Availability Period, such Lender’s Term C Commitment at such time and (ii) at any time thereafter, the outstanding principal amount of such Lender’s Term C Loans at such time. The initial Applicable Percentage of each Lender in respect of each Term Facility is set forth opposite the name of such Lender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xml:space="preserve"> or in the Assignment and Assumption pursuant to which such Lender becomes a party hereto, as applicable.</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“Appropriate Lender</w:t>
      </w:r>
      <w:r>
        <w:rPr>
          <w:rFonts w:ascii="Times New Roman" w:cs="Times New Roman" w:eastAsia="Times New Roman" w:hAnsi="Times New Roman"/>
          <w:sz w:val="17"/>
          <w:szCs w:val="17"/>
          <w:color w:val="auto"/>
        </w:rPr>
        <w:t>” means, at any time, with respect to any Term Facility, a Lender that has a Commitment with respect to such Term Facility or holds a Loan under such Term Facility at such time.</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“Approved Fund</w:t>
      </w:r>
      <w:r>
        <w:rPr>
          <w:rFonts w:ascii="Times New Roman" w:cs="Times New Roman" w:eastAsia="Times New Roman" w:hAnsi="Times New Roman"/>
          <w:sz w:val="17"/>
          <w:szCs w:val="17"/>
          <w:color w:val="auto"/>
        </w:rPr>
        <w:t>” means any Fund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“Arimoclomol</w:t>
      </w:r>
      <w:r>
        <w:rPr>
          <w:rFonts w:ascii="Times New Roman" w:cs="Times New Roman" w:eastAsia="Times New Roman" w:hAnsi="Times New Roman"/>
          <w:sz w:val="17"/>
          <w:szCs w:val="17"/>
          <w:color w:val="auto"/>
        </w:rPr>
        <w:t>” means any pharmaceutical or biological composition containing arimoclomol in a form for oral use, including the product candidate trademarked in the United States as MIPLYFFA™.</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“Arimoclomol Complete Response Letter</w:t>
      </w:r>
      <w:r>
        <w:rPr>
          <w:rFonts w:ascii="Times New Roman" w:cs="Times New Roman" w:eastAsia="Times New Roman" w:hAnsi="Times New Roman"/>
          <w:sz w:val="17"/>
          <w:szCs w:val="17"/>
          <w:color w:val="auto"/>
        </w:rPr>
        <w:t>” means written FDA notice pursuant to 21 C.F.R. § 314.110 reflecting a determination by the FDA that the FDA will not approve the Borrower’s NDA for Arimoclomol for the treatment of adults and pediatric patients two (2) years of age and older with Niemann-Pick disease Type C in its current form.</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“Arimoclomol FDA Approval</w:t>
      </w:r>
      <w:r>
        <w:rPr>
          <w:rFonts w:ascii="Times New Roman" w:cs="Times New Roman" w:eastAsia="Times New Roman" w:hAnsi="Times New Roman"/>
          <w:sz w:val="17"/>
          <w:szCs w:val="17"/>
          <w:color w:val="auto"/>
        </w:rPr>
        <w:t>” means FDA approval of the Borrower’s NDA for Arimoclomol for the treatment of adults and pediatric patients two (2) years of age and older with Niemann-Pick disease Type C.</w:t>
      </w:r>
    </w:p>
    <w:p>
      <w:pPr>
        <w:spacing w:after="0" w:line="15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u w:val="single" w:color="auto"/>
          <w:color w:val="auto"/>
        </w:rPr>
        <w:t>“Arimoclomol FDA Approval Certificate</w:t>
      </w:r>
      <w:r>
        <w:rPr>
          <w:rFonts w:ascii="Times New Roman" w:cs="Times New Roman" w:eastAsia="Times New Roman" w:hAnsi="Times New Roman"/>
          <w:sz w:val="17"/>
          <w:szCs w:val="17"/>
          <w:color w:val="auto"/>
        </w:rPr>
        <w:t>” means a certificate of a Responsible Officer of the Borrower (in form and substance satisfactory to the Required Lenders) certifying that (a) the Arimoclomol FDA Approval has been obtained on or prior to the date of such certificate, together with the approval letter from the FDA and such other supporting detail as the Required Lenders shall reasonably require and (b) the Priority Review Voucher with respect to Arimoclomol shall have been obtained by the Loan Parties on or prior to the date of such certificate, together with such supporting detail as the Required Lenders shall reasonably require.</w:t>
      </w:r>
    </w:p>
    <w:p>
      <w:pPr>
        <w:spacing w:after="0" w:line="38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means an assignment and assumption entered into by a Lender and an Eligible Assignee and accepted by the Administrative Agent, in substantially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or any other form (including electronic documentation generated by MarkitClear or other electronic platform) approved by the Administrative Agent.</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“Attributable Indebtedness</w:t>
      </w:r>
      <w:r>
        <w:rPr>
          <w:rFonts w:ascii="Times New Roman" w:cs="Times New Roman" w:eastAsia="Times New Roman" w:hAnsi="Times New Roman"/>
          <w:sz w:val="17"/>
          <w:szCs w:val="17"/>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outstanding principal amount of such financing, after taking into account reserve accounts and making appropriate adjustments, determined by the Required Lenders in their reasonable judgment.</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“Audited Financial Statements</w:t>
      </w:r>
      <w:r>
        <w:rPr>
          <w:rFonts w:ascii="Times New Roman" w:cs="Times New Roman" w:eastAsia="Times New Roman" w:hAnsi="Times New Roman"/>
          <w:sz w:val="17"/>
          <w:szCs w:val="17"/>
          <w:color w:val="auto"/>
        </w:rPr>
        <w:t>” means the audited consolidated balance sheet of the Borrower and its Subsidiaries for the fiscal year ended December 31, 2022, and the related consolidated statements of operations, shareholders’ equity and cash flows for such fiscal year of the Borrower and its Subsidiaries, including the notes thereto, audited by independent public accountants of recognized national standing and prepared in conformity with GAAP.</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“Azstarys</w:t>
      </w:r>
      <w:r>
        <w:rPr>
          <w:rFonts w:ascii="Times New Roman" w:cs="Times New Roman" w:eastAsia="Times New Roman" w:hAnsi="Times New Roman"/>
          <w:sz w:val="17"/>
          <w:szCs w:val="17"/>
          <w:color w:val="auto"/>
        </w:rPr>
        <w:t>” means the combination of seventy percent (70%) serdexmethylphenidate and thirty percent (30%) immediate release dexmethylphenidate for the treatment of attention deficit hyperactivity disorder, in any dosage form, formulation, presentation or package configuration, alone or in combination with one or more other active pharmaceutical ingredients, including the product trademarked in the United States as AZSTARYS™.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“Azstarys License Agreement</w:t>
      </w:r>
      <w:r>
        <w:rPr>
          <w:rFonts w:ascii="Times New Roman" w:cs="Times New Roman" w:eastAsia="Times New Roman" w:hAnsi="Times New Roman"/>
          <w:sz w:val="17"/>
          <w:szCs w:val="17"/>
          <w:color w:val="auto"/>
        </w:rPr>
        <w:t>” means that certain Collaboration and License Agreement dated September 3, 2019, by and between the Borrower and Commave Therapeutics SA (formerly known as Boston Pharmaceutical Holdings S.A.), as amended by that certain Amendment No. 1 to the Collaboration and License Agreement dated April 8, 2021 and as amended, restated, amended and restated, supplemented, or otherwise modified from time to time in a manner not prohibited hereby.</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“Bail-In Action</w:t>
      </w:r>
      <w:r>
        <w:rPr>
          <w:rFonts w:ascii="Times New Roman" w:cs="Times New Roman" w:eastAsia="Times New Roman" w:hAnsi="Times New Roman"/>
          <w:sz w:val="17"/>
          <w:szCs w:val="17"/>
          <w:color w:val="auto"/>
        </w:rPr>
        <w:t>” means the exercise of any Write-Down and Conversion Powers by the applicable Resolution Authority in respect of any liability of an Affected Financial Institution.</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ectPr>
          <w:pgSz w:w="11900" w:h="16883" w:orient="portrait"/>
          <w:cols w:equalWidth="0" w:num="1">
            <w:col w:w="11240"/>
          </w:cols>
          <w:pgMar w:left="320" w:top="561" w:right="339" w:bottom="0" w:gutter="0" w:footer="0" w:header="0"/>
        </w:sectPr>
      </w:pPr>
    </w:p>
    <w:bookmarkStart w:id="51" w:name="page52"/>
    <w:bookmarkEnd w:id="51"/>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432435</wp:posOffset>
            </wp:positionV>
            <wp:extent cx="71386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“BLA</w:t>
      </w:r>
      <w:r>
        <w:rPr>
          <w:rFonts w:ascii="Times New Roman" w:cs="Times New Roman" w:eastAsia="Times New Roman" w:hAnsi="Times New Roman"/>
          <w:sz w:val="17"/>
          <w:szCs w:val="17"/>
          <w:color w:val="auto"/>
        </w:rPr>
        <w:t>” means a biologics license application submitted to the FDA pursuant to section 351 of the Public Health Service Act, along with all supplements and amendments thereto, and any similar application for marketing authorization required by any country, jurisdiction or Governmental Authority other than the United States.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(a) with respect to a corporation, the board of directors of the corporation or any committee thereof duly authorized to act on behalf of such board, (b) with respect to a partnership, the Board of Directors of the general partner of the partnership, (c) with respect to a limited liability company, the managing member or members or any controlling committee of managing members thereof, and (d) with respect to any other Person, the board or committee of such Person serving a similar function.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has the meaning set forth in the introductory paragraph hereto.</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“Borrower Investment Policy</w:t>
      </w:r>
      <w:r>
        <w:rPr>
          <w:rFonts w:ascii="Times New Roman" w:cs="Times New Roman" w:eastAsia="Times New Roman" w:hAnsi="Times New Roman"/>
          <w:sz w:val="17"/>
          <w:szCs w:val="17"/>
          <w:color w:val="auto"/>
        </w:rPr>
        <w:t>” means the Borrower’s investment policy approved by the Lenders prior to the Closing Date together with such amendments, supplements, modifications or replacements thereto as may be approved by the Required Lenders after the Closing Date (such approval not to be unreasonably withheld, conditioned or delayed).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“Borrowing</w:t>
      </w:r>
      <w:r>
        <w:rPr>
          <w:rFonts w:ascii="Times New Roman" w:cs="Times New Roman" w:eastAsia="Times New Roman" w:hAnsi="Times New Roman"/>
          <w:sz w:val="17"/>
          <w:szCs w:val="17"/>
          <w:color w:val="auto"/>
        </w:rPr>
        <w:t>” means a Term A Borrowing, a Term B Borrowing or a Term C Borrowing, as the context may require.</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 respect to notices and determinations in connection with, and payments of or with respect to the Loans, such day is also a U.S. Government Securities Business Day.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“Businesses</w:t>
      </w:r>
      <w:r>
        <w:rPr>
          <w:rFonts w:ascii="Times New Roman" w:cs="Times New Roman" w:eastAsia="Times New Roman" w:hAnsi="Times New Roman"/>
          <w:sz w:val="17"/>
          <w:szCs w:val="17"/>
          <w:color w:val="auto"/>
        </w:rPr>
        <w:t>” means, at any time, a collective reference to the businesses operated by the Borrower and its Subsidiaries at such time.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“Capital Lease</w:t>
      </w:r>
      <w:r>
        <w:rPr>
          <w:rFonts w:ascii="Times New Roman" w:cs="Times New Roman" w:eastAsia="Times New Roman" w:hAnsi="Times New Roman"/>
          <w:sz w:val="17"/>
          <w:szCs w:val="17"/>
          <w:color w:val="auto"/>
        </w:rPr>
        <w:t>” means, as applied to any Person, any lease of any property by that Person as lessee which, in accordance with GAAP, is required to be accounted for as a capital lease or a finance lease on the balance sheet of that Person.</w:t>
      </w:r>
    </w:p>
    <w:p>
      <w:pPr>
        <w:spacing w:after="0" w:line="15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means, as at any date, (a) securities issued or directly and fully guaranteed or insured by the United States or any agency or instrumentality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full faith and credit of the United States is pledged in support thereof) having maturities of not more than twelve months from the date of acquisition, (b) Dollar denominated time deposits and certificates of deposit of (i) any domestic commercial bank of recognized standing having capital and surplus in excess of $500,000,000 or (ii) any bank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7"/>
          <w:szCs w:val="17"/>
          <w:u w:val="single" w:color="auto"/>
          <w:color w:val="auto"/>
        </w:rPr>
        <w:t>Approved Bank</w:t>
      </w:r>
      <w:r>
        <w:rPr>
          <w:rFonts w:ascii="Times New Roman" w:cs="Times New Roman" w:eastAsia="Times New Roman" w:hAnsi="Times New Roman"/>
          <w:sz w:val="17"/>
          <w:szCs w:val="17"/>
          <w:color w:val="auto"/>
        </w:rPr>
        <w:t xml:space="preserve">”), in each case with maturities of not more than 270 days from the date of acquisition, (c) commercial paper and variable or fixed rate notes issued by any Approved Bank (or by the parent company thereof) or any variable or fixed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(e) Investments made in accordance with the Borrower Investment Policy, (f)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(g) solely with respect to any Foreign Subsidiary, investments of comparable tenor and credit quality to those described in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customarily utilized in countries in which such Foreign Subsidiary, as the case may be, operates.</w:t>
      </w:r>
    </w:p>
    <w:p>
      <w:pPr>
        <w:spacing w:after="0" w:line="18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“cGCP</w:t>
      </w:r>
      <w:r>
        <w:rPr>
          <w:rFonts w:ascii="Times New Roman" w:cs="Times New Roman" w:eastAsia="Times New Roman" w:hAnsi="Times New Roman"/>
          <w:sz w:val="17"/>
          <w:szCs w:val="17"/>
          <w:color w:val="auto"/>
        </w:rPr>
        <w:t>” means (a) the FDA’s Good Clinical Practice requirements at 21 CFR Parts 50, 54, 56 and 312 and (b) any similar or functionally equivalent requirements applicable to, or required by, comparable Governmental Authorities.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“cGMP</w:t>
      </w:r>
      <w:r>
        <w:rPr>
          <w:rFonts w:ascii="Times New Roman" w:cs="Times New Roman" w:eastAsia="Times New Roman" w:hAnsi="Times New Roman"/>
          <w:sz w:val="17"/>
          <w:szCs w:val="17"/>
          <w:color w:val="auto"/>
        </w:rPr>
        <w:t>” means (a) the FDA’s current Good Manufacturing Practice requirements at 21 CFR Parts 210 and 211 and (b) any similar or functionally equivalent requirements applicable to, or required by, comparable Governmental Authorities.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regardless of the date enacted, adopted or issued.</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w:t>
      </w:r>
    </w:p>
    <w:p>
      <w:pPr>
        <w:spacing w:after="0" w:line="217" w:lineRule="exact"/>
        <w:rPr>
          <w:sz w:val="20"/>
          <w:szCs w:val="20"/>
          <w:color w:val="auto"/>
        </w:rPr>
      </w:pPr>
    </w:p>
    <w:p>
      <w:pPr>
        <w:jc w:val="both"/>
        <w:ind w:left="620" w:firstLine="621"/>
        <w:spacing w:after="0" w:line="258" w:lineRule="auto"/>
        <w:tabs>
          <w:tab w:leader="none" w:pos="165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is or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Equity Interests representing thirty-five percent (35%) or more of the aggregate ordinary voting power in the election of the Board of Directors of the Borrower represented by the issued and outstanding Equity Interests of the Borrower on a fully-diluted basis (and taking into account all such securities that such person or group has the right to acquire pursuant to any option right); or</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6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any period of twelve (12) consecutive months, a majority of the members of the Board of Directors of the Borrower cease to be composed of individuals (i) who were members of that Board of Directors on the first day of such period, (ii) whose election, appointment or nomination to that Board of Directors was approved by individuals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constituting at the time of such election, appointment or nomination at least a majority of that Board of Directors or (iii) whose election, appointment or nomination to that Board of Directors was approved by individuals referred to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constituting at the time of such election, appointment or nomination at least a majority of that Board of Directors; or</w:t>
      </w:r>
    </w:p>
    <w:p>
      <w:pPr>
        <w:spacing w:after="0" w:line="385" w:lineRule="exact"/>
        <w:rPr>
          <w:rFonts w:ascii="Times New Roman" w:cs="Times New Roman" w:eastAsia="Times New Roman" w:hAnsi="Times New Roman"/>
          <w:sz w:val="17"/>
          <w:szCs w:val="17"/>
          <w:color w:val="auto"/>
        </w:rPr>
      </w:pPr>
    </w:p>
    <w:p>
      <w:pPr>
        <w:ind w:left="620" w:right="360" w:firstLine="621"/>
        <w:spacing w:after="0" w:line="287" w:lineRule="auto"/>
        <w:tabs>
          <w:tab w:leader="none" w:pos="160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“Fundamental Change” (or any comparable term) or “Change of Control” (or any comparable term) occurs under any document or agreement evidencing any Indebtedness with an aggregate principal amount in excess of the Threshold Amount.</w:t>
      </w:r>
    </w:p>
    <w:p>
      <w:pPr>
        <w:sectPr>
          <w:pgSz w:w="11900" w:h="16838" w:orient="portrait"/>
          <w:cols w:equalWidth="0" w:num="1">
            <w:col w:w="11240"/>
          </w:cols>
          <w:pgMar w:left="320" w:top="561" w:right="339" w:bottom="0" w:gutter="0" w:footer="0" w:header="0"/>
        </w:sectPr>
      </w:pPr>
    </w:p>
    <w:bookmarkStart w:id="53" w:name="page54"/>
    <w:bookmarkEnd w:id="53"/>
    <w:p>
      <w:pPr>
        <w:spacing w:after="0" w:line="287" w:lineRule="auto"/>
        <w:tabs>
          <w:tab w:leader="none" w:pos="160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date hereof.</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“Closing Date Fee Letter</w:t>
      </w:r>
      <w:r>
        <w:rPr>
          <w:rFonts w:ascii="Times New Roman" w:cs="Times New Roman" w:eastAsia="Times New Roman" w:hAnsi="Times New Roman"/>
          <w:sz w:val="17"/>
          <w:szCs w:val="17"/>
          <w:color w:val="auto"/>
        </w:rPr>
        <w:t>” means that certain letter agreement dated as of the Closing Date among the Borrower, on the one hand, and the Lenders and/or one or more of their respective Affiliates, on the other hand.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“CME</w:t>
      </w:r>
      <w:r>
        <w:rPr>
          <w:rFonts w:ascii="Times New Roman" w:cs="Times New Roman" w:eastAsia="Times New Roman" w:hAnsi="Times New Roman"/>
          <w:sz w:val="17"/>
          <w:szCs w:val="17"/>
          <w:color w:val="auto"/>
        </w:rPr>
        <w:t>” means CME Group Benchmark Administration Limited.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“CMS</w:t>
      </w:r>
      <w:r>
        <w:rPr>
          <w:rFonts w:ascii="Times New Roman" w:cs="Times New Roman" w:eastAsia="Times New Roman" w:hAnsi="Times New Roman"/>
          <w:sz w:val="17"/>
          <w:szCs w:val="17"/>
          <w:color w:val="auto"/>
        </w:rPr>
        <w:t>” means the U.S. Centers for Medicare and Medicaid Services.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means a collective reference to all real and personal property with respect to which Liens in favor of the Administrative Agent, for the benefit of the Secured Parties, are purported to be granted pursuant to and in accordance with the terms of the Collateral Documents and shall, for the avoidance of doubt, in no event include any Excluded Property.</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“Collateral Access Agreement</w:t>
      </w:r>
      <w:r>
        <w:rPr>
          <w:rFonts w:ascii="Times New Roman" w:cs="Times New Roman" w:eastAsia="Times New Roman" w:hAnsi="Times New Roman"/>
          <w:sz w:val="17"/>
          <w:szCs w:val="17"/>
          <w:color w:val="auto"/>
        </w:rPr>
        <w:t>” means an agreement in form and substance reasonably satisfactory to the Required Lenders pursuant to which (a) a lessor of real property located in the United States on which Collateral of a U.S. Loan Party in an aggregate amount in excess of $1,000,000 is stored or otherwise located, or (b) a warehouseman, processor or other bailee of inventory or other property owned by any U.S. Loan Party and located in the United States which is in an aggregate amount in excess of $1,000,000, in each case, acknowledges the Liens of the Administrative Agent and waives (or, if approved by the Required Lenders, subordinates) any Liens held by such Person on such property, and permits the Administrative Agent reasonable access to any Collateral stored or otherwise located thereon.</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Documents</w:t>
      </w:r>
      <w:r>
        <w:rPr>
          <w:rFonts w:ascii="Times New Roman" w:cs="Times New Roman" w:eastAsia="Times New Roman" w:hAnsi="Times New Roman"/>
          <w:sz w:val="17"/>
          <w:szCs w:val="17"/>
          <w:color w:val="auto"/>
        </w:rPr>
        <w:t xml:space="preserve">” means a collective reference to the Security Agreement, the Pledge Agreement, the Mortgages, the Account Control Agreements, the Collateral Questionnaire, the Collateral Access Agreements, the Real Property Security Documents, the Danish Collateral Documents, such security documents with respect to any Foreign Loan Party (or with respect to any deposit accounts or securities accounts of a U.S. Loan Party that are held or otherwise located outside of the United States) as shall be required by the Required Lenders, and other security documents as may be executed and delivered by the Loan Parties pursuant to the terms of </w:t>
      </w:r>
      <w:r>
        <w:rPr>
          <w:rFonts w:ascii="Times New Roman" w:cs="Times New Roman" w:eastAsia="Times New Roman" w:hAnsi="Times New Roman"/>
          <w:sz w:val="17"/>
          <w:szCs w:val="17"/>
          <w:u w:val="single" w:color="auto"/>
          <w:color w:val="auto"/>
        </w:rPr>
        <w:t>Section 7.14</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“Collateral Questionnaire</w:t>
      </w:r>
      <w:r>
        <w:rPr>
          <w:rFonts w:ascii="Times New Roman" w:cs="Times New Roman" w:eastAsia="Times New Roman" w:hAnsi="Times New Roman"/>
          <w:sz w:val="17"/>
          <w:szCs w:val="17"/>
          <w:color w:val="auto"/>
        </w:rPr>
        <w:t>” means that certain collateral and diligence questionnaire, in form and substance reasonably satisfactory to Required Lenders, dated as of the Closing Date.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means a Term A Commitment, a Term B Commitment or a Term C Commitment, as the context may require.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“Communication</w:t>
      </w:r>
      <w:r>
        <w:rPr>
          <w:rFonts w:ascii="Times New Roman" w:cs="Times New Roman" w:eastAsia="Times New Roman" w:hAnsi="Times New Roman"/>
          <w:sz w:val="17"/>
          <w:szCs w:val="17"/>
          <w:color w:val="auto"/>
        </w:rPr>
        <w:t>” means this Agreement, any Loan Document and any document, amendment, approval, consent, information, notice, certificate, request, statement, disclosure or authorization related to any Loan Document.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xml:space="preserve">” means a certificate substantially in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u w:val="single" w:color="auto"/>
          <w:color w:val="auto"/>
        </w:rPr>
        <w:t>“Conforming Changes</w:t>
      </w:r>
      <w:r>
        <w:rPr>
          <w:rFonts w:ascii="Times New Roman" w:cs="Times New Roman" w:eastAsia="Times New Roman" w:hAnsi="Times New Roman"/>
          <w:sz w:val="17"/>
          <w:szCs w:val="17"/>
          <w:color w:val="auto"/>
        </w:rPr>
        <w:t>” means, with respect to the use, administration of or any conventions associated with SOFR or Three-Month Term SOFR, as applicable, any conforming changes to the definitions of “SOFR”, “Three-Month Term SOFR”, “Interest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and length of lookback periods) that the Administrative Agent (with the approval of the Required Lenders), in consultation with the Borrower, reasonably decides may be appropriate to reflect the adoption and implementation of such applicable rate(s) and to permit the administration thereof by the Administrative Agent in a manner substantially consistent with market practice (or, if the Administrative Agent (with the approval of the Required Lenders) reasonably decides that adoption of any portion of such market practice is not administratively feasible or that no market practice for the administration of such rate exists, in such other manner of administration as the Administrative Agent (with the approval of the Required Lenders), in consultation with the Borrower reasonably decides is reasonably necessary in connection with the administration of this Agreement and any other Loan Document).</w:t>
      </w:r>
    </w:p>
    <w:p>
      <w:pPr>
        <w:spacing w:after="0" w:line="17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u w:val="single" w:color="auto"/>
          <w:color w:val="auto"/>
        </w:rPr>
        <w:t>“Consolidated Net Product Sales</w:t>
      </w:r>
      <w:r>
        <w:rPr>
          <w:rFonts w:ascii="Times New Roman" w:cs="Times New Roman" w:eastAsia="Times New Roman" w:hAnsi="Times New Roman"/>
          <w:sz w:val="17"/>
          <w:szCs w:val="17"/>
          <w:color w:val="auto"/>
        </w:rPr>
        <w:t xml:space="preserve">” means, for any period, for the Borrower and its Subsidiaries on a consolidated basis, as determined and reported in accordance with GAAP, the total of (a) the sum (without duplication) of (i) gross sales of FDA Approved Products to independent customers by the Borrower and its Subsidiaries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gross sales of Expanded Access Program Products to independent customers by the Borrower and its Subsidiaries for such period,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(b) the sum (without duplication) of, (i) quantity, trade, cash or other discounts, allowances, credits or rebates (including customer rebates) actually allowed or taken in the ordinary course of business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amounts deducted, repaid or credited by reason of rejections or returns of FDA Approved Products or Expanded Access Program Products, as the case may be, and government mandated rebates, or because of chargebacks or retroactive price reductions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charges for freight, handling, postage, transportation, insurance and other shipping charges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(iv) taxes, tariffs, duties or other governmental charges or assessments (including any sales, value added or similar taxes other than an income tax) levied, absorbed or otherwise imposed on or with respect to the production, sale, transportation, delivery or use of FDA Approved Products or Expanded Access Program Products, as the case may be,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(v) any “cost-plus” supply or manufacturing revenues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(vi) amounts received by the Borrower or any Subsidiary to the extent owed to any Person other the Borrower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“Consolidated Net Product Sales” shall exclude (1) upfront payments, milestones, royalty payments and any other payments relating to out-licensing of Intellectual Property by the Borrower or any of its Subsidiaries (it being understood, for the avoidance of doubt, that this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shall exclude from “Consolidated Net Product Sales” any such payments or other amounts received pursuant to the Azstarys License Agreement), (2) any payments or other amounts received by the Borrower or any of its Subsidiaries from a sale, lease, license, transfer or other disposition of a Priority Review Voucher (including with respect to Arimoclomol) and (3) the gross amount billed or invoiced for sales of FDA Approved Products or Expanded Access Program Products, as the case may be, to independent customers by any Subsidiary to the extent that the declaration or payment of dividends or similar distributions by that Subsidiary of the income resulting from such amount billed or invoiced for sales of FDA Approved Products or Expanded Access Program Products, as the case may be, to independent customers is not at the time permitted by operation of the terms of its Organization Documents or any agreement, instrument, judgment, decree, order, statute, rule or governmental regulation applicable to that Subsidiary. For the avoidance of doubt, “Consolidated Net Product Sales” shall exclude gross sales of FDA Approved Products or Expanded Access Program Products by any Person other than the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7138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5" w:name="page56"/>
    <w:bookmarkEnd w:id="55"/>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“Consolidated Net Product Sales Applicable Margin Trigger (2025)</w:t>
      </w:r>
      <w:r>
        <w:rPr>
          <w:rFonts w:ascii="Times New Roman" w:cs="Times New Roman" w:eastAsia="Times New Roman" w:hAnsi="Times New Roman"/>
          <w:sz w:val="17"/>
          <w:szCs w:val="17"/>
          <w:color w:val="auto"/>
        </w:rPr>
        <w:t xml:space="preserve">” means that Consolidated Net Product Sales, for the fiscal year ending December 31, 2025, exceeded $100,000,000, as shown in the financial statements delivered by the Borrower for such fiscal year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(and the accompanying Compliance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the avoidance of doubt, the “Consolidated Net Product Sales Applicable Margin Trigger (2025)” cannot occur prior to delivery by the Borrower of the financial statements for the fiscal year ending December 31, 2025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(and the related Compliance Certificate).</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“Consolidated Net Product Sales Applicable Margin Trigger (2025) Certificate</w:t>
      </w:r>
      <w:r>
        <w:rPr>
          <w:rFonts w:ascii="Times New Roman" w:cs="Times New Roman" w:eastAsia="Times New Roman" w:hAnsi="Times New Roman"/>
          <w:sz w:val="17"/>
          <w:szCs w:val="17"/>
          <w:color w:val="auto"/>
        </w:rPr>
        <w:t>” means a certificate of a Responsible Financial Officer of the Borrower certifying as to the occurrence of the Consolidated Net Product Sales Applicable Margin Trigger (2025), in form and substance reasonably satisfactory to the Required Lenders, together with such supporting detail as the Required Lenders shall reasonably require.</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“Consolidated Net Product Sales Applicable Margin Trigger (Subsequent Period)</w:t>
      </w:r>
      <w:r>
        <w:rPr>
          <w:rFonts w:ascii="Times New Roman" w:cs="Times New Roman" w:eastAsia="Times New Roman" w:hAnsi="Times New Roman"/>
          <w:sz w:val="17"/>
          <w:szCs w:val="17"/>
          <w:color w:val="auto"/>
        </w:rPr>
        <w:t xml:space="preserve">” means that (a) the Consolidated Net Product Sales Applicable Margin Trigger (2025) shall not have occurred and (b) Consolidated Net Product Sales, for any four (4) consecutive fiscal quarter period ending on or after March 31, 2026, exceeded $125,000,000, as shown in the financial statements delivered by the Borrower for such four (4) consecutive fiscal quarter period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the case may be (and the accompanying Compliance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the avoidance of doubt, the “Consolidated Net Product Sales Applicable Margin Trigger (Subsequent Period)” cannot occur prior to delivery by the Borrower of the financial statements for the four (4) consecutive fiscal quarter period ending March 31, 2026 pursuant to </w:t>
      </w:r>
      <w:r>
        <w:rPr>
          <w:rFonts w:ascii="Times New Roman" w:cs="Times New Roman" w:eastAsia="Times New Roman" w:hAnsi="Times New Roman"/>
          <w:sz w:val="17"/>
          <w:szCs w:val="17"/>
          <w:u w:val="single" w:color="auto"/>
          <w:color w:val="auto"/>
        </w:rPr>
        <w:t>Section 7.01(b)</w:t>
      </w:r>
      <w:r>
        <w:rPr>
          <w:rFonts w:ascii="Times New Roman" w:cs="Times New Roman" w:eastAsia="Times New Roman" w:hAnsi="Times New Roman"/>
          <w:sz w:val="17"/>
          <w:szCs w:val="17"/>
          <w:color w:val="auto"/>
        </w:rPr>
        <w:t xml:space="preserve"> (and the related Compliance Certificate).</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“Consolidated Net Product Sales Applicable Margin Trigger (Subsequent Period) Certificate</w:t>
      </w:r>
      <w:r>
        <w:rPr>
          <w:rFonts w:ascii="Times New Roman" w:cs="Times New Roman" w:eastAsia="Times New Roman" w:hAnsi="Times New Roman"/>
          <w:sz w:val="17"/>
          <w:szCs w:val="17"/>
          <w:color w:val="auto"/>
        </w:rPr>
        <w:t>” means a certificate of a Responsible Financial Officer of the Borrower certifying as to the occurrence of the Consolidated Net Product Sales Applicable Margin Trigger (Subsequent Period), in form and substance reasonably satisfactory to the Required Lenders, together with such supporting detail as the Required Lenders shall reasonably require.</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“Consolidated Net Product Sales Financial Covenant Fall Away Event</w:t>
      </w:r>
      <w:r>
        <w:rPr>
          <w:rFonts w:ascii="Times New Roman" w:cs="Times New Roman" w:eastAsia="Times New Roman" w:hAnsi="Times New Roman"/>
          <w:sz w:val="17"/>
          <w:szCs w:val="17"/>
          <w:color w:val="auto"/>
        </w:rPr>
        <w:t xml:space="preserve">” means that Consolidated Net Product Sales, for any four (4) consecutive fiscal quarter period ending on or after December 31, 2025, exceeded $100,000,000, as shown in the financial statements delivered by the Borrower for such four (4) consecutive fiscal quarter period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the case may be (and the accompanying Compliance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the avoidance of doubt, a “Consolidated Net Product Sales Financial Covenant Fall Away Event” cannot occur prior to delivery by the Borrower of the financial statements for the four (4) consecutive fiscal quarter period ending December 31, 2025 pursuant to </w:t>
      </w:r>
      <w:r>
        <w:rPr>
          <w:rFonts w:ascii="Times New Roman" w:cs="Times New Roman" w:eastAsia="Times New Roman" w:hAnsi="Times New Roman"/>
          <w:sz w:val="17"/>
          <w:szCs w:val="17"/>
          <w:u w:val="single" w:color="auto"/>
          <w:color w:val="auto"/>
        </w:rPr>
        <w:t>Section 7.01(b)</w:t>
      </w:r>
      <w:r>
        <w:rPr>
          <w:rFonts w:ascii="Times New Roman" w:cs="Times New Roman" w:eastAsia="Times New Roman" w:hAnsi="Times New Roman"/>
          <w:sz w:val="17"/>
          <w:szCs w:val="17"/>
          <w:color w:val="auto"/>
        </w:rPr>
        <w:t xml:space="preserve"> (and the related Compliance Certificate).</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“Consolidated Net Product Sales Financial Covenant Fall Away Event Certificate</w:t>
      </w:r>
      <w:r>
        <w:rPr>
          <w:rFonts w:ascii="Times New Roman" w:cs="Times New Roman" w:eastAsia="Times New Roman" w:hAnsi="Times New Roman"/>
          <w:sz w:val="17"/>
          <w:szCs w:val="17"/>
          <w:color w:val="auto"/>
        </w:rPr>
        <w:t>” means a certificate of a Responsible Financial Officer of the Borrower certifying as to the occurrence of a Consolidated Net Product Sales Financial Covenant Fall Away Event, in form and substance reasonably satisfactory to the Required Lenders, together with such supporting detail as the Required Lenders shall reasonably require.</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“Consolidated Net Product Sales Financial Covenant Trigger Event</w:t>
      </w:r>
      <w:r>
        <w:rPr>
          <w:rFonts w:ascii="Times New Roman" w:cs="Times New Roman" w:eastAsia="Times New Roman" w:hAnsi="Times New Roman"/>
          <w:sz w:val="17"/>
          <w:szCs w:val="17"/>
          <w:color w:val="auto"/>
        </w:rPr>
        <w:t xml:space="preserve">” means that Consolidated Net Product Sales, for any four (4) consecutive fiscal quarter period ending on or after the occurrence of any Consolidated Net Product Sales Fall Away Event, failed to exceed $100,000,000, as shown in the financial statements delivered by the Borrower for such four (4) consecutive fiscal quarter period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for the avoidance of doubt, a “Consolidated Net Product Sales Financial Covenant Trigger Event” cannot occur prior to the occurrence of a Consolidated Net Product Sales Fall Away Event.</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“Consolidated Revenues</w:t>
      </w:r>
      <w:r>
        <w:rPr>
          <w:rFonts w:ascii="Times New Roman" w:cs="Times New Roman" w:eastAsia="Times New Roman" w:hAnsi="Times New Roman"/>
          <w:sz w:val="17"/>
          <w:szCs w:val="17"/>
          <w:color w:val="auto"/>
        </w:rPr>
        <w:t xml:space="preserve">” means, for any period, for the Borrower and its Subsidiaries on a consolidated basis, revenues for such period as determined and reported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“Consolidated Revenues” shall exclude the revenues generated by any Subsidiary to the extent that the declaration or payment of dividends or similar distributions by that Subsidiary of the income resulting from such revenues is not at the time permitted by operation of the terms of its Organization Documents or any agreement, instrument, judgment, decree, order, statute, rule or governmental regulation applicable to that Subsidiary.</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“Contractual Obligation</w:t>
      </w:r>
      <w:r>
        <w:rPr>
          <w:rFonts w:ascii="Times New Roman" w:cs="Times New Roman" w:eastAsia="Times New Roman" w:hAnsi="Times New Roman"/>
          <w:sz w:val="17"/>
          <w:szCs w:val="17"/>
          <w:color w:val="auto"/>
        </w:rPr>
        <w:t>” means, as to any Person, any provision of any security issued by such Person or of any agreement, instrument or other undertaking to which such Person is a party or by which it or any of its property is bound.</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 Without limiting the generality of the foregoing, a Person shall be deemed to be Controlled by another Person if such other Person possesses, directly or indirectly, power to vote twenty percent (20%) or more of the securities having ordinary voting power for the election of directors, managing general partners or the equivalent.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“Controlled Substances Act</w:t>
      </w:r>
      <w:r>
        <w:rPr>
          <w:rFonts w:ascii="Times New Roman" w:cs="Times New Roman" w:eastAsia="Times New Roman" w:hAnsi="Times New Roman"/>
          <w:sz w:val="17"/>
          <w:szCs w:val="17"/>
          <w:color w:val="auto"/>
        </w:rPr>
        <w:t>” means the U.S. Controlled Substances Act (or any successor thereto) and the rules and regulations promulgated thereunder.</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“Convertible Bond Indebtedness</w:t>
      </w:r>
      <w:r>
        <w:rPr>
          <w:rFonts w:ascii="Times New Roman" w:cs="Times New Roman" w:eastAsia="Times New Roman" w:hAnsi="Times New Roman"/>
          <w:sz w:val="17"/>
          <w:szCs w:val="17"/>
          <w:color w:val="auto"/>
        </w:rPr>
        <w:t>” means Indebtedness having a feature which entitles the holder thereof to convert or exchange all or a portion of such Indebtedness into Qualified Capital Stock of the Borrower (and cash in lieu of fractional shares) (or other securities or property following a merger event or other change of the common stock of the Borrower), cash or any combination thereof.</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means all copyrights, whether statutory or common law, along with any and all (a) applications for registration, renewals, revisions, extensions, reversions, restorations, derivative works, enhancements, modifications, updates and new releases thereof, (b) income, royalties, damages, claims and payments now and hereafter due and/or payable with respect thereto, including, without limitation, damages and payments for past, present or future infringements thereof, (c) rights to sue for past, present and future infringements thereof, and (d) foreign copyrights and any other rights corresponding thereto throughout the world.</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“Cross-Default Reference Obligation</w:t>
      </w:r>
      <w:r>
        <w:rPr>
          <w:rFonts w:ascii="Times New Roman" w:cs="Times New Roman" w:eastAsia="Times New Roman" w:hAnsi="Times New Roman"/>
          <w:sz w:val="17"/>
          <w:szCs w:val="17"/>
          <w:color w:val="auto"/>
        </w:rPr>
        <w:t>” has the meaning assigned to such term in the definition of “Permitted Convertible Bond Indebtedness”.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“Danish Account Control Agreement</w:t>
      </w:r>
      <w:r>
        <w:rPr>
          <w:rFonts w:ascii="Times New Roman" w:cs="Times New Roman" w:eastAsia="Times New Roman" w:hAnsi="Times New Roman"/>
          <w:sz w:val="17"/>
          <w:szCs w:val="17"/>
          <w:color w:val="auto"/>
        </w:rPr>
        <w:t>” has the meaning set forth in the definition of “Danish Collateral Documents”.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“Danish Bankruptcy Act</w:t>
      </w:r>
      <w:r>
        <w:rPr>
          <w:rFonts w:ascii="Times New Roman" w:cs="Times New Roman" w:eastAsia="Times New Roman" w:hAnsi="Times New Roman"/>
          <w:sz w:val="17"/>
          <w:szCs w:val="17"/>
          <w:color w:val="auto"/>
        </w:rPr>
        <w:t xml:space="preserve">” means the Consolidated Act no. 1600 of 25 December 2022 on bankruptcy (in Danish: </w:t>
      </w:r>
      <w:r>
        <w:rPr>
          <w:rFonts w:ascii="Times New Roman" w:cs="Times New Roman" w:eastAsia="Times New Roman" w:hAnsi="Times New Roman"/>
          <w:sz w:val="17"/>
          <w:szCs w:val="17"/>
          <w:i w:val="1"/>
          <w:iCs w:val="1"/>
          <w:color w:val="auto"/>
        </w:rPr>
        <w:t>konkursloven</w:t>
      </w:r>
      <w:r>
        <w:rPr>
          <w:rFonts w:ascii="Times New Roman" w:cs="Times New Roman" w:eastAsia="Times New Roman" w:hAnsi="Times New Roman"/>
          <w:sz w:val="17"/>
          <w:szCs w:val="17"/>
          <w:color w:val="auto"/>
        </w:rPr>
        <w:t>), as amended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19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u w:val="single" w:color="auto"/>
          <w:color w:val="auto"/>
        </w:rPr>
        <w:t>“Danish Capital Markets Act</w:t>
      </w:r>
      <w:r>
        <w:rPr>
          <w:rFonts w:ascii="Times New Roman" w:cs="Times New Roman" w:eastAsia="Times New Roman" w:hAnsi="Times New Roman"/>
          <w:sz w:val="17"/>
          <w:szCs w:val="17"/>
          <w:color w:val="auto"/>
        </w:rPr>
        <w:t xml:space="preserve">” means the Consolidated Act no. 198 of 26 February 2024 on capital markets (in Danish: </w:t>
      </w:r>
      <w:r>
        <w:rPr>
          <w:rFonts w:ascii="Times New Roman" w:cs="Times New Roman" w:eastAsia="Times New Roman" w:hAnsi="Times New Roman"/>
          <w:sz w:val="17"/>
          <w:szCs w:val="17"/>
          <w:i w:val="1"/>
          <w:iCs w:val="1"/>
          <w:color w:val="auto"/>
        </w:rPr>
        <w:t>lov om kapitalmarkeder</w:t>
      </w:r>
      <w:r>
        <w:rPr>
          <w:rFonts w:ascii="Times New Roman" w:cs="Times New Roman" w:eastAsia="Times New Roman" w:hAnsi="Times New Roman"/>
          <w:sz w:val="17"/>
          <w:szCs w:val="17"/>
          <w:color w:val="auto"/>
        </w:rPr>
        <w:t>),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7138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801"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u w:val="single" w:color="auto"/>
          <w:color w:val="auto"/>
        </w:rPr>
        <w:t>“Danish Collateral Documents</w:t>
      </w:r>
      <w:r>
        <w:rPr>
          <w:rFonts w:ascii="Times New Roman" w:cs="Times New Roman" w:eastAsia="Times New Roman" w:hAnsi="Times New Roman"/>
          <w:sz w:val="17"/>
          <w:szCs w:val="17"/>
          <w:color w:val="auto"/>
        </w:rPr>
        <w:t>” means:</w:t>
      </w:r>
    </w:p>
    <w:p>
      <w:pPr>
        <w:spacing w:after="0" w:line="217" w:lineRule="exact"/>
        <w:rPr>
          <w:sz w:val="20"/>
          <w:szCs w:val="20"/>
          <w:color w:val="auto"/>
        </w:rPr>
      </w:pPr>
    </w:p>
    <w:p>
      <w:pPr>
        <w:ind w:left="620" w:right="140" w:firstLine="621"/>
        <w:spacing w:after="0" w:line="287" w:lineRule="auto"/>
        <w:tabs>
          <w:tab w:leader="none" w:pos="160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Danish law governed share pledge agreement in relation to the shares in Zevra Denmark A/S to be entered into between the Borrower as pledgor and the Administrative Agent, as security agent for and on behalf of the Secured Parties;</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7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Danish law governed account pledge agreement in relation to bank accounts held by Zevra Denmark A/S to be entered into between Zevra Denmark A/S as pledgor and the Administrative Agent, as security agent for and on behalf of the Secured Parties (the “</w:t>
      </w:r>
      <w:r>
        <w:rPr>
          <w:rFonts w:ascii="Times New Roman" w:cs="Times New Roman" w:eastAsia="Times New Roman" w:hAnsi="Times New Roman"/>
          <w:sz w:val="17"/>
          <w:szCs w:val="17"/>
          <w:u w:val="single" w:color="auto"/>
          <w:color w:val="auto"/>
        </w:rPr>
        <w:t>Danish Account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w:t>
      </w:r>
      <w:r>
        <w:rPr>
          <w:rFonts w:ascii="Times New Roman" w:cs="Times New Roman" w:eastAsia="Times New Roman" w:hAnsi="Times New Roman"/>
          <w:sz w:val="17"/>
          <w:szCs w:val="17"/>
          <w:color w:val="auto"/>
        </w:rPr>
        <w:t>t”);</w:t>
      </w:r>
    </w:p>
    <w:p>
      <w:pPr>
        <w:spacing w:after="0" w:line="165" w:lineRule="exact"/>
        <w:rPr>
          <w:rFonts w:ascii="Times New Roman" w:cs="Times New Roman" w:eastAsia="Times New Roman" w:hAnsi="Times New Roman"/>
          <w:sz w:val="17"/>
          <w:szCs w:val="17"/>
          <w:color w:val="auto"/>
        </w:rPr>
      </w:pPr>
    </w:p>
    <w:p>
      <w:pPr>
        <w:ind w:left="620" w:firstLine="621"/>
        <w:spacing w:after="0" w:line="287" w:lineRule="auto"/>
        <w:tabs>
          <w:tab w:leader="none" w:pos="160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Danish law governed assignment agreement in relation to intra-group receivables of Zevra Denmark A/S to be entered into between Zevra Denmark A/S as assignor and the Administrative Agent, as security agent for and on behalf of the Secured Parties; and</w:t>
      </w:r>
    </w:p>
    <w:p>
      <w:pPr>
        <w:spacing w:after="0" w:line="147" w:lineRule="exact"/>
        <w:rPr>
          <w:rFonts w:ascii="Times New Roman" w:cs="Times New Roman" w:eastAsia="Times New Roman" w:hAnsi="Times New Roman"/>
          <w:sz w:val="17"/>
          <w:szCs w:val="17"/>
          <w:color w:val="auto"/>
        </w:rPr>
      </w:pPr>
    </w:p>
    <w:p>
      <w:pPr>
        <w:ind w:left="1660" w:hanging="419"/>
        <w:spacing w:after="0"/>
        <w:tabs>
          <w:tab w:leader="none" w:pos="1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Danish law negative pledge registered in the Danish Chattel Register (in Danish: </w:t>
      </w:r>
      <w:r>
        <w:rPr>
          <w:rFonts w:ascii="Times New Roman" w:cs="Times New Roman" w:eastAsia="Times New Roman" w:hAnsi="Times New Roman"/>
          <w:sz w:val="17"/>
          <w:szCs w:val="17"/>
          <w:i w:val="1"/>
          <w:iCs w:val="1"/>
          <w:color w:val="auto"/>
        </w:rPr>
        <w:t>personbogen</w:t>
      </w:r>
      <w:r>
        <w:rPr>
          <w:rFonts w:ascii="Times New Roman" w:cs="Times New Roman" w:eastAsia="Times New Roman" w:hAnsi="Times New Roman"/>
          <w:sz w:val="17"/>
          <w:szCs w:val="17"/>
          <w:color w:val="auto"/>
        </w:rPr>
        <w:t>) with the Danish Registration Court (in</w:t>
      </w:r>
    </w:p>
    <w:p>
      <w:pPr>
        <w:spacing w:after="0" w:line="31" w:lineRule="exact"/>
        <w:rPr>
          <w:rFonts w:ascii="Times New Roman" w:cs="Times New Roman" w:eastAsia="Times New Roman" w:hAnsi="Times New Roman"/>
          <w:sz w:val="17"/>
          <w:szCs w:val="17"/>
          <w:color w:val="auto"/>
        </w:rPr>
      </w:pPr>
    </w:p>
    <w:p>
      <w:pPr>
        <w:ind w:left="6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Danish: </w:t>
      </w:r>
      <w:r>
        <w:rPr>
          <w:rFonts w:ascii="Times New Roman" w:cs="Times New Roman" w:eastAsia="Times New Roman" w:hAnsi="Times New Roman"/>
          <w:sz w:val="17"/>
          <w:szCs w:val="17"/>
          <w:i w:val="1"/>
          <w:iCs w:val="1"/>
          <w:color w:val="auto"/>
        </w:rPr>
        <w:t>Tinglysningsretten</w:t>
      </w:r>
      <w:r>
        <w:rPr>
          <w:rFonts w:ascii="Times New Roman" w:cs="Times New Roman" w:eastAsia="Times New Roman" w:hAnsi="Times New Roman"/>
          <w:sz w:val="17"/>
          <w:szCs w:val="17"/>
          <w:color w:val="auto"/>
        </w:rPr>
        <w:t>) covering trade receivables, stock and inventory, operating equipment and machinery and goodwill and Intellectual Property owned by Zevra Denmark A/S.</w:t>
      </w:r>
    </w:p>
    <w:p>
      <w:pPr>
        <w:spacing w:after="0" w:line="16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u w:val="single" w:color="auto"/>
          <w:color w:val="auto"/>
        </w:rPr>
        <w:t>“Danish Companies Act</w:t>
      </w:r>
      <w:r>
        <w:rPr>
          <w:rFonts w:ascii="Times New Roman" w:cs="Times New Roman" w:eastAsia="Times New Roman" w:hAnsi="Times New Roman"/>
          <w:sz w:val="17"/>
          <w:szCs w:val="17"/>
          <w:color w:val="auto"/>
        </w:rPr>
        <w:t xml:space="preserve">” means the Consolidated Act no. 1168 of 1 September 2023 on limited liability companies (in Danish: </w:t>
      </w:r>
      <w:r>
        <w:rPr>
          <w:rFonts w:ascii="Times New Roman" w:cs="Times New Roman" w:eastAsia="Times New Roman" w:hAnsi="Times New Roman"/>
          <w:sz w:val="17"/>
          <w:szCs w:val="17"/>
          <w:i w:val="1"/>
          <w:iCs w:val="1"/>
          <w:color w:val="auto"/>
        </w:rPr>
        <w:t>lov om aktie- og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anpartsselskaber</w:t>
      </w:r>
      <w:r>
        <w:rPr>
          <w:rFonts w:ascii="Times New Roman" w:cs="Times New Roman" w:eastAsia="Times New Roman" w:hAnsi="Times New Roman"/>
          <w:sz w:val="17"/>
          <w:szCs w:val="17"/>
          <w:color w:val="auto"/>
        </w:rPr>
        <w:t>), as amended from time to time.</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“Danish Loan Party</w:t>
      </w:r>
      <w:r>
        <w:rPr>
          <w:rFonts w:ascii="Times New Roman" w:cs="Times New Roman" w:eastAsia="Times New Roman" w:hAnsi="Times New Roman"/>
          <w:sz w:val="17"/>
          <w:szCs w:val="17"/>
          <w:color w:val="auto"/>
        </w:rPr>
        <w:t>” means any Loan Party incorporated or established under the laws of Denmark.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“DEA</w:t>
      </w:r>
      <w:r>
        <w:rPr>
          <w:rFonts w:ascii="Times New Roman" w:cs="Times New Roman" w:eastAsia="Times New Roman" w:hAnsi="Times New Roman"/>
          <w:sz w:val="17"/>
          <w:szCs w:val="17"/>
          <w:color w:val="auto"/>
        </w:rPr>
        <w:t>” means the United States Drug Enforcement Administration and any successor thereto.</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“Debt Issuance</w:t>
      </w:r>
      <w:r>
        <w:rPr>
          <w:rFonts w:ascii="Times New Roman" w:cs="Times New Roman" w:eastAsia="Times New Roman" w:hAnsi="Times New Roman"/>
          <w:sz w:val="17"/>
          <w:szCs w:val="17"/>
          <w:color w:val="auto"/>
        </w:rPr>
        <w:t xml:space="preserve">” means the issuance by any Loan Party or any Subsidiary of any Indebtedness other than Indebtedness permitted under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“Debtor Relief Laws</w:t>
      </w:r>
      <w:r>
        <w:rPr>
          <w:rFonts w:ascii="Times New Roman" w:cs="Times New Roman" w:eastAsia="Times New Roman" w:hAnsi="Times New Roman"/>
          <w:sz w:val="17"/>
          <w:szCs w:val="17"/>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means any event or condition that constitutes an Event of Default or that, with the giving of any notice, the passage of time, or both, would be an Event of Default.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2.06(b)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xml:space="preserve">” means, subject to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xml:space="preserve">, any Lender, as determined by the Administrative Agent, that (a) has failed to perform any of its funding obligations hereunder, including with respect to any Term B Commitments or any Term C Commitments, within three (3) Business Days of the date required to be funded by it hereunder, (b) has notified the Borrower or the Administrative Agent that it does not intend to comply with its funding obligations hereunder or (c)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Lender shall not be a Defaulting Lender solely by virtue of the ownership or acquisition of any Equity Interests in that Lender or any direct or indirect parent company thereof by a Governmental Authority.</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“Deposit Account</w:t>
      </w:r>
      <w:r>
        <w:rPr>
          <w:rFonts w:ascii="Times New Roman" w:cs="Times New Roman" w:eastAsia="Times New Roman" w:hAnsi="Times New Roman"/>
          <w:sz w:val="17"/>
          <w:szCs w:val="17"/>
          <w:color w:val="auto"/>
        </w:rPr>
        <w:t>” means a “deposit account” (as defined in Article 9 of the Uniform Commercial Code), investment account, bank account or other account in which funds are held or invested to or for the credit or account of any Loan Party.</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“Designated Jurisdiction</w:t>
      </w:r>
      <w:r>
        <w:rPr>
          <w:rFonts w:ascii="Times New Roman" w:cs="Times New Roman" w:eastAsia="Times New Roman" w:hAnsi="Times New Roman"/>
          <w:sz w:val="17"/>
          <w:szCs w:val="17"/>
          <w:color w:val="auto"/>
        </w:rPr>
        <w:t>” means any country or territory to the extent that such country or territory is the subject of any comprehensive Sanctions (currently, Cuba, Iran, North Korea, Syria, the Crimea region of Ukraine, the so-called Donetsk People’s Republic, and the so-called Luhansk People’s Republic).</w:t>
      </w:r>
    </w:p>
    <w:p>
      <w:pPr>
        <w:spacing w:after="0" w:line="15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u w:val="single" w:color="auto"/>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Dispose</w:t>
      </w:r>
      <w:r>
        <w:rPr>
          <w:rFonts w:ascii="Times New Roman" w:cs="Times New Roman" w:eastAsia="Times New Roman" w:hAnsi="Times New Roman"/>
          <w:sz w:val="17"/>
          <w:szCs w:val="17"/>
          <w:color w:val="auto"/>
        </w:rPr>
        <w:t>” means the sale, transfer, license, lease or other disposition (including any Sale and Leaseback Transaction or any issuance by any Subsidiary of its Equity Interests) of any property by any Loan Party or any Subsidiary, including any sale, assignment, transfer or other disposal, with or without recourse, of any notes or accounts receivable or any rights and claims associated therewith, but excluding the following (collectively, “</w:t>
      </w:r>
      <w:r>
        <w:rPr>
          <w:rFonts w:ascii="Times New Roman" w:cs="Times New Roman" w:eastAsia="Times New Roman" w:hAnsi="Times New Roman"/>
          <w:sz w:val="17"/>
          <w:szCs w:val="17"/>
          <w:u w:val="single" w:color="auto"/>
          <w:color w:val="auto"/>
        </w:rPr>
        <w:t>Permitted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xml:space="preserve">”): (a) the sale, lease, license, transfer or other disposition of inventory in the ordinary course of business, (b) the sale, lease, license, transfer or other disposition in the ordinary course of business of surplus, obsolete or worn out property no longer used or useful in the conduct of business of any Loan Party or any Subsidiary, (c) any sale, lease, license, transfer or other disposition of property to any Loan Party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transferor of such property is a Loan Party, the transferee thereof must be a Loan Party (other than any Danish Loan Party), (d) the abandonment or other disposition of Intellectual Property that is not Material Intellectual Property, (e) licenses, sublicenses, leases or subleases (other than relating to intellectual property) granted to third parties in the ordinary course of business and not interfering with the business of the Borrower and its Subsidiaries, (f) Permitted Licenses, (g) any (i) Involuntary Disposition or (ii) sale, lease, license or other disposition of property (other than, for the avoidance of doubt, Intellectual Property) in settlement of, or to make payment in satisfaction of, any property or casualty insurance claim, (h) dispositions of cash and Cash Equivalents in the ordinary course of business, (i) dispositions consisting of the sale, transfer, assignment or other disposition of unpaid and overdue accounts receivable in connection with the collection, compromise or settlement thereof in the ordinary course of business and not as part of a financing transaction, (j) the sale, transfer, issuance or other disposition of a de minimis number of shares of the Equity Interests of a Foreign Subsidiary in order to qualify members of the governing body of such Subsidiary if required by applicable Law, (k) to the extent constituting Dispositions, Investments permitted by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transactions permitted by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Restricted Payments permitted by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and Permitted Liens (in each case, except to the extent permitted by reference to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or this definition (or any clause or sub-clause thereof or hereof)), (l) sales, leases, licenses, transfers or other dispositions of property to the extent that (i) such property is exchanged for credit against the purchase price of similar replacement property or (ii) the proceeds of such sale, lease, license, transfer or other disposition are promptly applied to the purchase price of similar replacement property, (m) surrender or waiver of contractual rights and settlement or waiver of contractual or litigation claims in the ordinary course of business, (n) dispositions of property which in the aggregate do not exceed $1,500,000, (o) the sale, lease, license, transfer or other disposition of any Priority Review Voucher (including with respect to Arimoclomol) and (p) any early termination or unwinding of any Permitted Bond Hedge Transaction. It is understood and agreed that, notwithstanding anything to the contrary set forth in this definition, in no event shall any of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(p)</w:t>
      </w:r>
      <w:r>
        <w:rPr>
          <w:rFonts w:ascii="Times New Roman" w:cs="Times New Roman" w:eastAsia="Times New Roman" w:hAnsi="Times New Roman"/>
          <w:sz w:val="17"/>
          <w:szCs w:val="17"/>
          <w:color w:val="auto"/>
        </w:rPr>
        <w:t xml:space="preserve"> be deemed to permit any sale, transfer, license, lease or other disposition of any Material Product (or any Intellectual Property associated therewith), any royalty (or any portion thereof) pursuant to the Azstarys License Agreement or any Material Intellectual Property, other than (x) Permitted Licenses and (y) sales, transfers, licenses, leases or other dispositions permitted by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344170</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433" w:gutter="0" w:footer="0" w:header="0"/>
        </w:sectPr>
      </w:pPr>
    </w:p>
    <w:bookmarkStart w:id="57" w:name="page58"/>
    <w:bookmarkEnd w:id="57"/>
    <w:p>
      <w:pPr>
        <w:jc w:val="both"/>
        <w:ind w:firstLine="619"/>
        <w:spacing w:after="0" w:line="222" w:lineRule="auto"/>
        <w:rPr>
          <w:sz w:val="20"/>
          <w:szCs w:val="20"/>
          <w:color w:val="auto"/>
        </w:rPr>
      </w:pPr>
      <w:r>
        <w:rPr>
          <w:rFonts w:ascii="Times New Roman" w:cs="Times New Roman" w:eastAsia="Times New Roman" w:hAnsi="Times New Roman"/>
          <w:sz w:val="17"/>
          <w:szCs w:val="17"/>
          <w:u w:val="single" w:color="auto"/>
          <w:color w:val="auto"/>
        </w:rPr>
        <w:t>“Disqualified Capital Stock</w:t>
      </w:r>
      <w:r>
        <w:rPr>
          <w:rFonts w:ascii="Times New Roman" w:cs="Times New Roman" w:eastAsia="Times New Roman" w:hAnsi="Times New Roman"/>
          <w:sz w:val="17"/>
          <w:szCs w:val="17"/>
          <w:color w:val="auto"/>
        </w:rPr>
        <w:t>” 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day after the Maturity Date, (b) requires the payment of any cash dividends at any time prior to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day after the Maturity Date,</w:t>
      </w:r>
    </w:p>
    <w:p>
      <w:pPr>
        <w:spacing w:after="0" w:line="3" w:lineRule="exact"/>
        <w:rPr>
          <w:sz w:val="20"/>
          <w:szCs w:val="20"/>
          <w:color w:val="auto"/>
        </w:rPr>
      </w:pPr>
    </w:p>
    <w:p>
      <w:pPr>
        <w:jc w:val="both"/>
        <w:ind w:firstLine="3"/>
        <w:spacing w:after="0" w:line="213" w:lineRule="auto"/>
        <w:tabs>
          <w:tab w:leader="none" w:pos="23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contains any repurchase obligation which may come into effect prior to payment in full of all Obligations, or (d) is convertible into or exchangeable (unless at the sole option of the issuer thereof) for (i) debt securities or (ii) any Equity Interests referred to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in each case at any time prior to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Equity Interest that would not constitute Disqualified Capital Stock but for provisions thereof giving holders thereof (or the holders of any security into or for which such Equity Interests are convertible, exchangeable or exercisable) the right to require the issuer thereof to redeem or repurchase such Equity Interest upon the occurrence of a change in control or an asset sale occurring prior to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day after the Maturity Date shall not constitute Disqualified Capital Stock if such Equity Interest provides that the issuer thereof will not redeem or repurchase such Equity Interest pursuant to such provisions prior to the Facility Termination Date.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“Disqualified Institution</w:t>
      </w:r>
      <w:r>
        <w:rPr>
          <w:rFonts w:ascii="Times New Roman" w:cs="Times New Roman" w:eastAsia="Times New Roman" w:hAnsi="Times New Roman"/>
          <w:sz w:val="17"/>
          <w:szCs w:val="17"/>
          <w:color w:val="auto"/>
        </w:rPr>
        <w:t xml:space="preserve">” means, (a) those (x) financial institutions and (y) competitors of the Borrower and its Subsidiaries, in the case of each of </w:t>
      </w:r>
      <w:r>
        <w:rPr>
          <w:rFonts w:ascii="Times New Roman" w:cs="Times New Roman" w:eastAsia="Times New Roman" w:hAnsi="Times New Roman"/>
          <w:sz w:val="17"/>
          <w:szCs w:val="17"/>
          <w:u w:val="single" w:color="auto"/>
          <w:color w:val="auto"/>
        </w:rPr>
        <w:t>clauses</w:t>
      </w:r>
    </w:p>
    <w:p>
      <w:pPr>
        <w:spacing w:after="0" w:line="28" w:lineRule="exact"/>
        <w:rPr>
          <w:sz w:val="20"/>
          <w:szCs w:val="20"/>
          <w:color w:val="auto"/>
        </w:rPr>
      </w:pPr>
    </w:p>
    <w:p>
      <w:pPr>
        <w:ind w:left="260" w:hanging="257"/>
        <w:spacing w:after="0"/>
        <w:tabs>
          <w:tab w:leader="none" w:pos="260" w:val="left"/>
        </w:tabs>
        <w:numPr>
          <w:ilvl w:val="0"/>
          <w:numId w:val="3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specified in writing to the Administrative Agent (for further distribution to the Lenders) on or prior to the Closing Date and (b) in the cases of </w:t>
      </w:r>
      <w:r>
        <w:rPr>
          <w:rFonts w:ascii="Times New Roman" w:cs="Times New Roman" w:eastAsia="Times New Roman" w:hAnsi="Times New Roman"/>
          <w:sz w:val="17"/>
          <w:szCs w:val="17"/>
          <w:u w:val="single" w:color="auto"/>
          <w:color w:val="auto"/>
        </w:rPr>
        <w:t>clause</w:t>
      </w:r>
    </w:p>
    <w:p>
      <w:pPr>
        <w:spacing w:after="0" w:line="10" w:lineRule="exact"/>
        <w:rPr>
          <w:rFonts w:ascii="Times New Roman" w:cs="Times New Roman" w:eastAsia="Times New Roman" w:hAnsi="Times New Roman"/>
          <w:sz w:val="17"/>
          <w:szCs w:val="17"/>
          <w:u w:val="single" w:color="auto"/>
          <w:color w:val="auto"/>
        </w:rPr>
      </w:pPr>
    </w:p>
    <w:p>
      <w:pPr>
        <w:jc w:val="both"/>
        <w:ind w:firstLine="3"/>
        <w:spacing w:after="0" w:line="255" w:lineRule="auto"/>
        <w:tabs>
          <w:tab w:leader="none" w:pos="245" w:val="left"/>
        </w:tabs>
        <w:numPr>
          <w:ilvl w:val="0"/>
          <w:numId w:val="3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above, Affiliates thereof that are clearly identifiable on the basis of such Affiliates’ names;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foregoing will not retroactively disqualify any Person that previously acquired an assignment or participation in the Loans or Commitments with respect to the portion of Loans or Commitments so previously acquired to the extent that such Person was not a Disqualified Institution at the time of the applicable assignment or participation. Notwithstanding the foregoing, any list of Disqualified Institutions may be shared, on a confidential basis, with any prospective Lender or Participant in order for such prospective Lender or Participant to represent and confirm in the applicable Assignment and Assumption or participation agreement, as applicable, that it is not a Disqualified Institution (and shall be made available, on a confidential basis, to any then-existing Lender upon request by such Lender).</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“Dollar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mean lawful money of the United States.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“Domestic Subsidiary</w:t>
      </w:r>
      <w:r>
        <w:rPr>
          <w:rFonts w:ascii="Times New Roman" w:cs="Times New Roman" w:eastAsia="Times New Roman" w:hAnsi="Times New Roman"/>
          <w:sz w:val="17"/>
          <w:szCs w:val="17"/>
          <w:color w:val="auto"/>
        </w:rPr>
        <w:t>” means any Subsidiary that is organized under the laws of the United States, of any state of the United States or the District of Columbia.</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“Draft Financial Statements</w:t>
      </w:r>
      <w:r>
        <w:rPr>
          <w:rFonts w:ascii="Times New Roman" w:cs="Times New Roman" w:eastAsia="Times New Roman" w:hAnsi="Times New Roman"/>
          <w:sz w:val="17"/>
          <w:szCs w:val="17"/>
          <w:color w:val="auto"/>
        </w:rPr>
        <w:t>” means the unaudited annual consolidated financial statements of the Borrower and its Subsidiaries for the fiscal year ended December 31, 2023, including balance sheets and statements of operations, shareholders’ equity and cash flows.</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“Earn Out Obligations</w:t>
      </w:r>
      <w:r>
        <w:rPr>
          <w:rFonts w:ascii="Times New Roman" w:cs="Times New Roman" w:eastAsia="Times New Roman" w:hAnsi="Times New Roman"/>
          <w:sz w:val="17"/>
          <w:szCs w:val="17"/>
          <w:color w:val="auto"/>
        </w:rPr>
        <w:t>” 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aggregate consideration paid for an Acquisition at the time of such Acquisition, the amount of any Earn Out Obligations shall be deemed to be the maximum amount of the earn-out payments in respect thereof as specified in the documents relating to such Acquisition. For purposes of determining the amount of any Earn Out Obligations to be included in the definition of Funded Indebtedness, the amount of Earn Out Obligations shall be deemed to be the aggregate liability in respect thereof, as determined in accordance with GAAP.</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definition and is subject to consolidated supervision with its parent.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“EEA Member Country</w:t>
      </w:r>
      <w:r>
        <w:rPr>
          <w:rFonts w:ascii="Times New Roman" w:cs="Times New Roman" w:eastAsia="Times New Roman" w:hAnsi="Times New Roman"/>
          <w:sz w:val="17"/>
          <w:szCs w:val="17"/>
          <w:color w:val="auto"/>
        </w:rPr>
        <w:t>” means any of the member states of the European Union, Iceland, Liechtenstein, and Norway.</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“EEA Resolution Authority</w:t>
      </w:r>
      <w:r>
        <w:rPr>
          <w:rFonts w:ascii="Times New Roman" w:cs="Times New Roman" w:eastAsia="Times New Roman" w:hAnsi="Times New Roman"/>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“Electronic Copy</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11.16</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“Electronic Record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have the meanings assigned to them, respectively, by 15 USC §7006, as it may be amended from time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“Eligible Assets</w:t>
      </w:r>
      <w:r>
        <w:rPr>
          <w:rFonts w:ascii="Times New Roman" w:cs="Times New Roman" w:eastAsia="Times New Roman" w:hAnsi="Times New Roman"/>
          <w:sz w:val="17"/>
          <w:szCs w:val="17"/>
          <w:color w:val="auto"/>
        </w:rPr>
        <w:t>” means long-term assets that are used or useful in the same or a similar line of business as the Borrower and its Subsidiaries were engaged in on the Closing Date (or any reasonable extensions or expansions thereof).</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xml:space="preserve">” means any Person that meets the requirements to be an assignee under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“EMA</w:t>
      </w:r>
      <w:r>
        <w:rPr>
          <w:rFonts w:ascii="Times New Roman" w:cs="Times New Roman" w:eastAsia="Times New Roman" w:hAnsi="Times New Roman"/>
          <w:sz w:val="17"/>
          <w:szCs w:val="17"/>
          <w:color w:val="auto"/>
        </w:rPr>
        <w:t>” means the European Medicines Agency or any successor entity.</w:t>
      </w:r>
    </w:p>
    <w:p>
      <w:pPr>
        <w:spacing w:after="0" w:line="21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37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u w:val="single" w:color="auto"/>
          <w:color w:val="auto"/>
        </w:rPr>
        <w:t>“Environmental Liability</w:t>
      </w:r>
      <w:r>
        <w:rPr>
          <w:rFonts w:ascii="Times New Roman" w:cs="Times New Roman" w:eastAsia="Times New Roman" w:hAnsi="Times New Roman"/>
          <w:sz w:val="17"/>
          <w:szCs w:val="17"/>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spacing w:after="0" w:line="1" w:lineRule="exact"/>
        <w:rPr>
          <w:sz w:val="20"/>
          <w:szCs w:val="20"/>
          <w:color w:val="auto"/>
        </w:rPr>
      </w:pPr>
    </w:p>
    <w:p>
      <w:pPr>
        <w:jc w:val="both"/>
        <w:ind w:firstLine="3"/>
        <w:spacing w:after="0" w:line="259" w:lineRule="auto"/>
        <w:tabs>
          <w:tab w:leader="none" w:pos="24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13867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8" w:name="page59"/>
    <w:bookmarkEnd w:id="58"/>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membership or trust interests therein), whether voting or nonvoting, and whether or not such shares, warrants, options, rights or other interests are outstanding on any date of determination.</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means the Employee Retirement Income Security Act of 1974, as the same may be amended from time to time, and the rules and regulations promulgated thereunder.</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(within the meaning of Sections 4203 and 4205 of ERISA) by the Borrower or any ERISA Affiliate from a Multiemployer Plan, (d) the filing of a notice of intent to terminate a Pension Plan or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the Borrower or any ERISA Affiliate.</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“EU Bail-In Legislation Schedule</w:t>
      </w:r>
      <w:r>
        <w:rPr>
          <w:rFonts w:ascii="Times New Roman" w:cs="Times New Roman" w:eastAsia="Times New Roman" w:hAnsi="Times New Roman"/>
          <w:sz w:val="17"/>
          <w:szCs w:val="17"/>
          <w:color w:val="auto"/>
        </w:rPr>
        <w:t>” means the EU Bail-In Legislation Schedule published by the Loan Market Association (or any successor person), as in effect from time to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“Excluded Account</w:t>
      </w:r>
      <w:r>
        <w:rPr>
          <w:rFonts w:ascii="Times New Roman" w:cs="Times New Roman" w:eastAsia="Times New Roman" w:hAnsi="Times New Roman"/>
          <w:sz w:val="17"/>
          <w:szCs w:val="17"/>
          <w:color w:val="auto"/>
        </w:rPr>
        <w:t xml:space="preserve">” means (a) any demand deposit account, securities account, commodity account or other deposit account of any Loan Party (and all cash, Cash Equivalents and other securities or instruments credited thereto or deposited therein) that is used solely and exclusively for payroll, payroll taxes, and other employee wage and benefit payments to or for any Loan Party’s employees; (b) Deposit Accounts pledged in connection with Liens of the type permitted by </w:t>
      </w:r>
      <w:r>
        <w:rPr>
          <w:rFonts w:ascii="Times New Roman" w:cs="Times New Roman" w:eastAsia="Times New Roman" w:hAnsi="Times New Roman"/>
          <w:sz w:val="17"/>
          <w:szCs w:val="17"/>
          <w:u w:val="single" w:color="auto"/>
          <w:color w:val="auto"/>
        </w:rPr>
        <w:t>Section 8.01(u)</w:t>
      </w:r>
      <w:r>
        <w:rPr>
          <w:rFonts w:ascii="Times New Roman" w:cs="Times New Roman" w:eastAsia="Times New Roman" w:hAnsi="Times New Roman"/>
          <w:sz w:val="17"/>
          <w:szCs w:val="17"/>
          <w:color w:val="auto"/>
        </w:rPr>
        <w:t xml:space="preserve">; (c) segregated accounts constituting (and the balance of which consists solely of funds set aside in connection with) fiduciary accounts, escrow accounts or trust accounts; (d) zero balance accounts; and (e) any other Deposit Account which, together with all other Deposit Accounts excluded pursuant to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does not, as of any date of determination, hold cash and Cash Equivalents in an aggregate amount in excess of $750,000.</w:t>
      </w:r>
    </w:p>
    <w:p>
      <w:pPr>
        <w:spacing w:after="0" w:line="17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u w:val="single" w:color="auto"/>
          <w:color w:val="auto"/>
        </w:rPr>
        <w:t>“Excluded Property</w:t>
      </w:r>
      <w:r>
        <w:rPr>
          <w:rFonts w:ascii="Times New Roman" w:cs="Times New Roman" w:eastAsia="Times New Roman" w:hAnsi="Times New Roman"/>
          <w:sz w:val="17"/>
          <w:szCs w:val="17"/>
          <w:color w:val="auto"/>
        </w:rPr>
        <w:t xml:space="preserve">” means, with respect to any Loan Party, including any Person that becomes a Loan Party after the Closing Date as contemplated by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(a) any leasehold interest of such Loan Party in real property, (b) solely with respect to any U.S. Loan Party,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unless requested by the Administrative Agent or the Required Lenders, (c) any property which, subject to the terms of </w:t>
      </w:r>
      <w:r>
        <w:rPr>
          <w:rFonts w:ascii="Times New Roman" w:cs="Times New Roman" w:eastAsia="Times New Roman" w:hAnsi="Times New Roman"/>
          <w:sz w:val="17"/>
          <w:szCs w:val="17"/>
          <w:u w:val="single" w:color="auto"/>
          <w:color w:val="auto"/>
        </w:rPr>
        <w:t>Section 8.09</w:t>
      </w:r>
      <w:r>
        <w:rPr>
          <w:rFonts w:ascii="Times New Roman" w:cs="Times New Roman" w:eastAsia="Times New Roman" w:hAnsi="Times New Roman"/>
          <w:sz w:val="17"/>
          <w:szCs w:val="17"/>
          <w:color w:val="auto"/>
        </w:rPr>
        <w:t xml:space="preserve">, is subject to a Lien of the type described in </w:t>
      </w:r>
      <w:r>
        <w:rPr>
          <w:rFonts w:ascii="Times New Roman" w:cs="Times New Roman" w:eastAsia="Times New Roman" w:hAnsi="Times New Roman"/>
          <w:sz w:val="17"/>
          <w:szCs w:val="17"/>
          <w:u w:val="single" w:color="auto"/>
          <w:color w:val="auto"/>
        </w:rPr>
        <w:t>Section 8.01(i)</w:t>
      </w:r>
      <w:r>
        <w:rPr>
          <w:rFonts w:ascii="Times New Roman" w:cs="Times New Roman" w:eastAsia="Times New Roman" w:hAnsi="Times New Roman"/>
          <w:sz w:val="17"/>
          <w:szCs w:val="17"/>
          <w:color w:val="auto"/>
        </w:rPr>
        <w:t xml:space="preserve"> pursuant to documents which prohibit such Loan Party from granting any other Liens in such property, (d) any general intangible, permit, lease, license, contract or other agreement if the grant of a security interest in such general intangible, permit, lease, license, contract or other agreement in the manner contemplated by the Collateral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 any such limitation described in the foregoing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on the security interests granted under the Collateral Documents shall only apply to the extent that any such prohibition is not rendered ineffective pursuant to the Uniform Commercial Code or any other applicable Law or principles of equity and (ii) in the event of the termination or elimination of any such prohibition or the requirement for any consent contained in any applicable Law, general intangible, permit, lease, license, contract or other agreement, or upon the granting of any such consent, or waiving or terminating any requirement for such consent, a security interest in such general intangible, permit, lease, license, contract or other agreement shall be automatically and simultaneously granted under the Collateral Documents and such general intangible, permit, lease, license, contract or other agreement shall be included as Collateral, and (iii) to the extent that the granting of a security interest in the Azstarys License Agreement to the Administrative Agent, for the benefit of the Secured Parties, is prohibited by the terms and provisions of the Azstarys License Agreement and such prohibition is not rendered ineffective pursuant to the Uniform Commercial Code or any other applicable Law or principles of equity, then any and all proceeds of, and the right to receive money or other consideration in connection with, any direct or indirect sale, assignment or transfer of the Azstarys License Agreement or any Intellectual Property licensed thereunder shall not constitute “Excluded Property”, (e) any United States intent-to-use trademark applications to the extent that, and solely during the period in which, the grant of a security interest therein would impair the validity or enforceability of such intent-to-use trademark applications under applicable federal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upon submission and acceptance by the United States Patent and Trademark Office of a statement of use or an amendment to allege use pursuant to 15 U.S.C. Section 1060(a) (or any successor provision), such intent-to-use trademark application shall no longer constitute “Excluded Property” and shall be considered Collateral,</w:t>
      </w:r>
    </w:p>
    <w:p>
      <w:pPr>
        <w:spacing w:after="0" w:line="3" w:lineRule="exact"/>
        <w:rPr>
          <w:sz w:val="20"/>
          <w:szCs w:val="20"/>
          <w:color w:val="auto"/>
        </w:rPr>
      </w:pPr>
    </w:p>
    <w:p>
      <w:pPr>
        <w:jc w:val="both"/>
        <w:ind w:firstLine="3"/>
        <w:spacing w:after="0" w:line="257" w:lineRule="auto"/>
        <w:tabs>
          <w:tab w:leader="none" w:pos="24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Excluded Accounts, (g) any real or personal property as to which the Administrative Agent and the Borrower agree in writing that the costs or other consequences of obtaining a security interest or perfection thereof are excessive in view of the benefits to be obtained by the Secured Parties therefrom, (h) any margin stock and (i) the Equity Interests in any Excluded Subsidiary to the extent not expressly required to be pledged to guaranty the Obligations pursuant to </w:t>
      </w:r>
      <w:r>
        <w:rPr>
          <w:rFonts w:ascii="Times New Roman" w:cs="Times New Roman" w:eastAsia="Times New Roman" w:hAnsi="Times New Roman"/>
          <w:sz w:val="17"/>
          <w:szCs w:val="17"/>
          <w:u w:val="single" w:color="auto"/>
          <w:color w:val="auto"/>
        </w:rPr>
        <w:t>Section 7.14</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“Excluded Subsidiary</w:t>
      </w:r>
      <w:r>
        <w:rPr>
          <w:rFonts w:ascii="Times New Roman" w:cs="Times New Roman" w:eastAsia="Times New Roman" w:hAnsi="Times New Roman"/>
          <w:sz w:val="17"/>
          <w:szCs w:val="17"/>
          <w:color w:val="auto"/>
        </w:rPr>
        <w:t>” means (a) any Foreign Subsidiary, the grant or perfection of a security interest in the assets of such Foreign Subsidiary in support of, and the guaranteeing of, the Obligations would be prohibited by applicable Law in the jurisdiction of formation or incorporation of such Foreign Subsidiary (as reasonably determined by the Borrower with the consent of the Administrative Agent), (b) any Foreign Subsidiary with respect to which the Administrative Agent and the Borrower agree in writing that the cost or other consequences of such Foreign Subsidiary guaranteeing the Obligations are excessive in view of the benefits to be obtained by the Secured Parties therefrom and (c) any Immaterial Foreign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386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9" w:name="page60"/>
    <w:bookmarkEnd w:id="59"/>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“Expanded Access Program</w:t>
      </w:r>
      <w:r>
        <w:rPr>
          <w:rFonts w:ascii="Times New Roman" w:cs="Times New Roman" w:eastAsia="Times New Roman" w:hAnsi="Times New Roman"/>
          <w:sz w:val="17"/>
          <w:szCs w:val="17"/>
          <w:color w:val="auto"/>
        </w:rPr>
        <w:t>” means any plan under which a Governmental Authority authorizes preapproval access to any investigational drug or biologic for use by an individual.</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“Expanded Access Program Products</w:t>
      </w:r>
      <w:r>
        <w:rPr>
          <w:rFonts w:ascii="Times New Roman" w:cs="Times New Roman" w:eastAsia="Times New Roman" w:hAnsi="Times New Roman"/>
          <w:sz w:val="17"/>
          <w:szCs w:val="17"/>
          <w:color w:val="auto"/>
        </w:rPr>
        <w:t>” means all Products of the Borrower and its Subsidiaries for which the Borrower and its Subsidiaries have received authorization from any Governmental Authority to implement any Expanded Access Program.</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“Extraordinary Receipts</w:t>
      </w:r>
      <w:r>
        <w:rPr>
          <w:rFonts w:ascii="Times New Roman" w:cs="Times New Roman" w:eastAsia="Times New Roman" w:hAnsi="Times New Roman"/>
          <w:sz w:val="17"/>
          <w:szCs w:val="17"/>
          <w:color w:val="auto"/>
        </w:rPr>
        <w:t xml:space="preserve">” means, without duplication, any cash received by or paid to or for the account of any Person not in the ordinary course of business, including, without limitation, tax refunds, pension plan reversions, proceeds of insurance (other than proceeds of business interruption insurance to the extent such proceeds constitute compensation for lost earnings), condemnation awards (and payments in lieu thereof), indemnity payments, any purchase price adjustments and any cash received in connection with the settlement or other resolution (including by judgment) of any litigation, arbitration or other dispute;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in no event shall “Extraordinary Receipts” include the proceeds of any issuance of Qualified Capital Stock by the Borrower or any Subsidiary.</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“Facilities</w:t>
      </w:r>
      <w:r>
        <w:rPr>
          <w:rFonts w:ascii="Times New Roman" w:cs="Times New Roman" w:eastAsia="Times New Roman" w:hAnsi="Times New Roman"/>
          <w:sz w:val="17"/>
          <w:szCs w:val="17"/>
          <w:color w:val="auto"/>
        </w:rPr>
        <w:t>” means, at any time, a collective reference to the facilities and real properties owned, leased or operated by any Loan Party or any Subsidiary.</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“Facility Termination Date</w:t>
      </w:r>
      <w:r>
        <w:rPr>
          <w:rFonts w:ascii="Times New Roman" w:cs="Times New Roman" w:eastAsia="Times New Roman" w:hAnsi="Times New Roman"/>
          <w:sz w:val="17"/>
          <w:szCs w:val="17"/>
          <w:color w:val="auto"/>
        </w:rPr>
        <w:t>” means the date as of which all of the following shall have occurred: (a) all of the Commitments have terminated and (b) all Obligations have been paid in full in cash (other than contingent indemnification or expense reimbursement obligations for which no claim has been asserted).</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Internal Revenue Code as of the Closing Date (or any amended or successor version that is substantively comparable and not materially more onerous to comply with), any current or future regulations thereunder or official interpretations thereof, any agreement entered into pursuant to current Section 1471(b)(1) of the Internal Revenue Code (or any amended or successor version described above) and any intergovernmental agreement, treaty or convention among Governmental Authorities (and any related laws, regulations, or official administrative guidance or practices) implementing such Sections of the Internal Revenue Code.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means the United States Food and Drug Administration and any successor entity.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“FDA Approval</w:t>
      </w:r>
      <w:r>
        <w:rPr>
          <w:rFonts w:ascii="Times New Roman" w:cs="Times New Roman" w:eastAsia="Times New Roman" w:hAnsi="Times New Roman"/>
          <w:sz w:val="17"/>
          <w:szCs w:val="17"/>
          <w:color w:val="auto"/>
        </w:rPr>
        <w:t>” means, with respect to a Product, the FDA approval of an NDA, ANDA, BLA or other marketing application for such Product.</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“FDA Approved Products</w:t>
      </w:r>
      <w:r>
        <w:rPr>
          <w:rFonts w:ascii="Times New Roman" w:cs="Times New Roman" w:eastAsia="Times New Roman" w:hAnsi="Times New Roman"/>
          <w:sz w:val="17"/>
          <w:szCs w:val="17"/>
          <w:color w:val="auto"/>
        </w:rPr>
        <w:t>” means all Products of the Borrower and its Subsidiaries for which the Borrower and its Subsidiaries have received FDA Approval.</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xml:space="preserve">” means the Federal Food, Drug and Cosmetic Act (21 U.S.C. §§ 301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and the rules and regulations promulgated thereunder.</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“Federal Funds Rate</w:t>
      </w:r>
      <w:r>
        <w:rPr>
          <w:rFonts w:ascii="Times New Roman" w:cs="Times New Roman" w:eastAsia="Times New Roman" w:hAnsi="Times New Roman"/>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such day is not a Business Day, the Federal Funds Rate for such day shall be such rate on such transactions on the next preceding Business Day as so published on the next succeeding Business Day.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“Fee Letters</w:t>
      </w:r>
      <w:r>
        <w:rPr>
          <w:rFonts w:ascii="Times New Roman" w:cs="Times New Roman" w:eastAsia="Times New Roman" w:hAnsi="Times New Roman"/>
          <w:sz w:val="17"/>
          <w:szCs w:val="17"/>
          <w:color w:val="auto"/>
        </w:rPr>
        <w:t>” means, collectively, the Agent Fee Letter and the Closing Date Fee Letter.</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“Final Payment Premium</w:t>
      </w:r>
      <w:r>
        <w:rPr>
          <w:rFonts w:ascii="Times New Roman" w:cs="Times New Roman" w:eastAsia="Times New Roman" w:hAnsi="Times New Roman"/>
          <w:sz w:val="17"/>
          <w:szCs w:val="17"/>
          <w:color w:val="auto"/>
        </w:rPr>
        <w:t>” means, as of any date of determination, an amount equal to three percent (3.00%) of the Final Payment Premium Advanced Term Loan Amount as of such date of determination.</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“Final Payment Premium Advanced Term Loan Amount</w:t>
      </w:r>
      <w:r>
        <w:rPr>
          <w:rFonts w:ascii="Times New Roman" w:cs="Times New Roman" w:eastAsia="Times New Roman" w:hAnsi="Times New Roman"/>
          <w:sz w:val="17"/>
          <w:szCs w:val="17"/>
          <w:color w:val="auto"/>
        </w:rPr>
        <w:t>” means, as of any date of determination, the initial aggregate principal amount of the Loans advanced to the Borrower under this Agreement on or prior to such date of determination (for the avoidance of doubt, based on the initial aggregate principal amount thereof without reducing such amount by any applicable original issue discount and without any increase thereto as a result of any capitalized PIK Period Paid-In-Kind Interest that has been added to the principal amount thereof).</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“Flood Hazard Property</w:t>
      </w:r>
      <w:r>
        <w:rPr>
          <w:rFonts w:ascii="Times New Roman" w:cs="Times New Roman" w:eastAsia="Times New Roman" w:hAnsi="Times New Roman"/>
          <w:sz w:val="17"/>
          <w:szCs w:val="17"/>
          <w:color w:val="auto"/>
        </w:rPr>
        <w:t>” means any real property subject to a Mortgage that is in an area designated by the Federal Emergency Management Agency as having special flood or mudslide hazards.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“Foreign Lender</w:t>
      </w:r>
      <w:r>
        <w:rPr>
          <w:rFonts w:ascii="Times New Roman" w:cs="Times New Roman" w:eastAsia="Times New Roman" w:hAnsi="Times New Roman"/>
          <w:sz w:val="17"/>
          <w:szCs w:val="17"/>
          <w:color w:val="auto"/>
        </w:rPr>
        <w:t>” means a Lender that is not a U.S. Person.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“Foreign Loan Party</w:t>
      </w:r>
      <w:r>
        <w:rPr>
          <w:rFonts w:ascii="Times New Roman" w:cs="Times New Roman" w:eastAsia="Times New Roman" w:hAnsi="Times New Roman"/>
          <w:sz w:val="17"/>
          <w:szCs w:val="17"/>
          <w:color w:val="auto"/>
        </w:rPr>
        <w:t>” means any Loan Party that is not a U.S. Loan Party.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“Foreign Subsidiary</w:t>
      </w:r>
      <w:r>
        <w:rPr>
          <w:rFonts w:ascii="Times New Roman" w:cs="Times New Roman" w:eastAsia="Times New Roman" w:hAnsi="Times New Roman"/>
          <w:sz w:val="17"/>
          <w:szCs w:val="17"/>
          <w:color w:val="auto"/>
        </w:rPr>
        <w:t>” means any Subsidiary that is not a Domestic Subsidiary.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“FRB</w:t>
      </w:r>
      <w:r>
        <w:rPr>
          <w:rFonts w:ascii="Times New Roman" w:cs="Times New Roman" w:eastAsia="Times New Roman" w:hAnsi="Times New Roman"/>
          <w:sz w:val="17"/>
          <w:szCs w:val="17"/>
          <w:color w:val="auto"/>
        </w:rPr>
        <w:t>” means the Board of Governors of the Federal Reserve System of the United States.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“Fund</w:t>
      </w:r>
      <w:r>
        <w:rPr>
          <w:rFonts w:ascii="Times New Roman" w:cs="Times New Roman" w:eastAsia="Times New Roman" w:hAnsi="Times New Roman"/>
          <w:sz w:val="17"/>
          <w:szCs w:val="17"/>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0" w:name="page61"/>
    <w:bookmarkEnd w:id="60"/>
    <w:p>
      <w:pPr>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“Funded Indebtedness</w:t>
      </w:r>
      <w:r>
        <w:rPr>
          <w:rFonts w:ascii="Times New Roman" w:cs="Times New Roman" w:eastAsia="Times New Roman" w:hAnsi="Times New Roman"/>
          <w:sz w:val="17"/>
          <w:szCs w:val="17"/>
          <w:color w:val="auto"/>
        </w:rPr>
        <w:t>” means, as to any Person at a particular time, without duplication, all of the following, whether or not included as indebtedness or liabilities in accordance with GAAP:</w:t>
      </w:r>
    </w:p>
    <w:p>
      <w:pPr>
        <w:spacing w:after="0" w:line="151" w:lineRule="exact"/>
        <w:rPr>
          <w:sz w:val="20"/>
          <w:szCs w:val="20"/>
          <w:color w:val="auto"/>
        </w:rPr>
      </w:pPr>
    </w:p>
    <w:p>
      <w:pPr>
        <w:ind w:left="620" w:right="80" w:firstLine="621"/>
        <w:spacing w:after="0" w:line="287" w:lineRule="auto"/>
        <w:tabs>
          <w:tab w:leader="none" w:pos="160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whether current or long-term, for borrowed money (including the Obligations) and all obligations of such Person evidenced by bonds, debentures, notes, loan agreements or other similar instruments;</w:t>
      </w:r>
    </w:p>
    <w:p>
      <w:pPr>
        <w:spacing w:after="0" w:line="151"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purchase money Indebtedness;</w:t>
      </w:r>
    </w:p>
    <w:p>
      <w:pPr>
        <w:spacing w:after="0" w:line="217" w:lineRule="exact"/>
        <w:rPr>
          <w:rFonts w:ascii="Times New Roman" w:cs="Times New Roman" w:eastAsia="Times New Roman" w:hAnsi="Times New Roman"/>
          <w:sz w:val="17"/>
          <w:szCs w:val="17"/>
          <w:color w:val="auto"/>
        </w:rPr>
      </w:pPr>
    </w:p>
    <w:p>
      <w:pPr>
        <w:jc w:val="both"/>
        <w:ind w:left="620" w:right="360" w:firstLine="621"/>
        <w:spacing w:after="0" w:line="270" w:lineRule="auto"/>
        <w:tabs>
          <w:tab w:leader="none" w:pos="160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portion of all obligations under conditional sale or other title retention agreements relating to property purchased by such Person or any Subsidiary thereof (other than customary reservations or retentions of title under agreements with suppliers entered into in the ordinary course of business);</w:t>
      </w:r>
    </w:p>
    <w:p>
      <w:pPr>
        <w:spacing w:after="0" w:line="165" w:lineRule="exact"/>
        <w:rPr>
          <w:rFonts w:ascii="Times New Roman" w:cs="Times New Roman" w:eastAsia="Times New Roman" w:hAnsi="Times New Roman"/>
          <w:sz w:val="17"/>
          <w:szCs w:val="17"/>
          <w:color w:val="auto"/>
        </w:rPr>
      </w:pPr>
    </w:p>
    <w:p>
      <w:pPr>
        <w:ind w:left="620" w:right="140" w:firstLine="621"/>
        <w:spacing w:after="0" w:line="287" w:lineRule="auto"/>
        <w:tabs>
          <w:tab w:leader="none" w:pos="16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arising under letters of credit (including standby and commercial), bankers’ acceptances, bank guaranties, surety bonds and similar instruments;</w:t>
      </w:r>
    </w:p>
    <w:p>
      <w:pPr>
        <w:spacing w:after="0" w:line="151" w:lineRule="exact"/>
        <w:rPr>
          <w:rFonts w:ascii="Times New Roman" w:cs="Times New Roman" w:eastAsia="Times New Roman" w:hAnsi="Times New Roman"/>
          <w:sz w:val="17"/>
          <w:szCs w:val="17"/>
          <w:color w:val="auto"/>
        </w:rPr>
      </w:pPr>
    </w:p>
    <w:p>
      <w:pPr>
        <w:ind w:left="620" w:right="80" w:firstLine="621"/>
        <w:spacing w:after="0" w:line="270" w:lineRule="auto"/>
        <w:tabs>
          <w:tab w:leader="none" w:pos="160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in respect of the deferred purchase price of property or services (other than (x) trade accounts payable in the ordinary course of business and repayable in accordance with customary trade terms and (y) milestone obligations in respect of any license of an Acquisition Product), including, without limitation, any Earn Out Obligations;</w:t>
      </w:r>
    </w:p>
    <w:p>
      <w:pPr>
        <w:spacing w:after="0" w:line="165"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Attributable Indebtedness of Capital Leases, Securitization Transactions and Synthetic Leases;</w:t>
      </w:r>
    </w:p>
    <w:p>
      <w:pPr>
        <w:spacing w:after="0" w:line="217" w:lineRule="exact"/>
        <w:rPr>
          <w:rFonts w:ascii="Times New Roman" w:cs="Times New Roman" w:eastAsia="Times New Roman" w:hAnsi="Times New Roman"/>
          <w:sz w:val="17"/>
          <w:szCs w:val="17"/>
          <w:color w:val="auto"/>
        </w:rPr>
      </w:pPr>
    </w:p>
    <w:p>
      <w:pPr>
        <w:ind w:left="620" w:right="200" w:firstLine="621"/>
        <w:spacing w:after="0" w:line="270" w:lineRule="auto"/>
        <w:tabs>
          <w:tab w:leader="none" w:pos="16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obligations of such Person to purchase, redeem, retire, defease or otherwise make any payment in respect of any Disqualified Capital Stock in such Person or any other Person, valued, in the case of a redeemable preferred interest, at the greater of its voluntary or involuntary liquidation preference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accrued and unpaid dividends;</w:t>
      </w:r>
    </w:p>
    <w:p>
      <w:pPr>
        <w:spacing w:after="0" w:line="165" w:lineRule="exact"/>
        <w:rPr>
          <w:rFonts w:ascii="Times New Roman" w:cs="Times New Roman" w:eastAsia="Times New Roman" w:hAnsi="Times New Roman"/>
          <w:sz w:val="17"/>
          <w:szCs w:val="17"/>
          <w:color w:val="auto"/>
        </w:rPr>
      </w:pPr>
    </w:p>
    <w:p>
      <w:pPr>
        <w:ind w:left="620" w:right="140" w:firstLine="621"/>
        <w:spacing w:after="0" w:line="270" w:lineRule="auto"/>
        <w:tabs>
          <w:tab w:leader="none" w:pos="16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Funded Indebtedness of others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w:t>
      </w:r>
    </w:p>
    <w:p>
      <w:pPr>
        <w:spacing w:after="0" w:line="165"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Guarantees with respect to Funded Indebtedness of the types specified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above of another Person; and</w:t>
      </w:r>
    </w:p>
    <w:p>
      <w:pPr>
        <w:spacing w:after="0" w:line="217" w:lineRule="exact"/>
        <w:rPr>
          <w:rFonts w:ascii="Times New Roman" w:cs="Times New Roman" w:eastAsia="Times New Roman" w:hAnsi="Times New Roman"/>
          <w:sz w:val="17"/>
          <w:szCs w:val="17"/>
          <w:color w:val="auto"/>
        </w:rPr>
      </w:pPr>
    </w:p>
    <w:p>
      <w:pPr>
        <w:jc w:val="both"/>
        <w:ind w:left="620" w:right="540" w:firstLine="621"/>
        <w:spacing w:after="0" w:line="270" w:lineRule="auto"/>
        <w:tabs>
          <w:tab w:leader="none" w:pos="157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Funded Indebtedness of the types referred to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national, supranational, federal, state, county, provincial, local, municipal or other government or political subdivision thereof (including any Regulatory Agency),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 (including any supra-national bodies such as the European Union or the European Central Bank).</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467995</wp:posOffset>
            </wp:positionV>
            <wp:extent cx="71386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1" w:name="page62"/>
    <w:bookmarkEnd w:id="61"/>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xml:space="preserve">” means (a) each Subsidiary identified as a “Guarantor” on the signature pages hereto and (b) each other Person that joins as a Guarantor pursuant to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together with their successors and permitted assigns.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“Guaranty</w:t>
      </w:r>
      <w:r>
        <w:rPr>
          <w:rFonts w:ascii="Times New Roman" w:cs="Times New Roman" w:eastAsia="Times New Roman" w:hAnsi="Times New Roman"/>
          <w:sz w:val="17"/>
          <w:szCs w:val="17"/>
          <w:color w:val="auto"/>
        </w:rPr>
        <w:t xml:space="preserve">” means the Guaranty made by the Guarantors in favor of the Secured Parties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“HCRX</w:t>
      </w:r>
      <w:r>
        <w:rPr>
          <w:rFonts w:ascii="Times New Roman" w:cs="Times New Roman" w:eastAsia="Times New Roman" w:hAnsi="Times New Roman"/>
          <w:sz w:val="17"/>
          <w:szCs w:val="17"/>
          <w:color w:val="auto"/>
        </w:rPr>
        <w:t>” means HealthCare Royalty Management, LLC and its successors and assigns.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“HCRX Lender</w:t>
      </w:r>
      <w:r>
        <w:rPr>
          <w:rFonts w:ascii="Times New Roman" w:cs="Times New Roman" w:eastAsia="Times New Roman" w:hAnsi="Times New Roman"/>
          <w:sz w:val="17"/>
          <w:szCs w:val="17"/>
          <w:color w:val="auto"/>
        </w:rPr>
        <w:t xml:space="preserve">” means (a) HCR Stafford Fund II, L.P., (b) HCR Potomac Fund II, L.P., and (c) any Lender that is an Affiliate or an Approved Fund of HCRX or any Person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definition.</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means the Health Insurance Portability and Accountability Act of 1996, as amended from time to time, and the rules and regulations promulgated thereunder from time to time.</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“Immaterial Foreign Subsidiary</w:t>
      </w:r>
      <w:r>
        <w:rPr>
          <w:rFonts w:ascii="Times New Roman" w:cs="Times New Roman" w:eastAsia="Times New Roman" w:hAnsi="Times New Roman"/>
          <w:sz w:val="17"/>
          <w:szCs w:val="17"/>
          <w:color w:val="auto"/>
        </w:rPr>
        <w:t xml:space="preserve">” means at any time a Foreign Subsidiary that (a) as of the last day of the fiscal quarter of the Borrower most recently ended for which the Borrower was required to deliver financial statements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did not have assets in excess of (i) two and one-half of one percent (2.5%) of the consolidated total assets of the Borrower and its Subsidiaries at the end of such fiscal quarter and (ii) five percent (5%) of the consolidated total assets of the Borrower and its Subsidiaries at the end of such fiscal quarter for all Immaterial Foreign Subsidiaries in the aggregate; and (b) for the period of four fiscal quarters most recently ended for which the Borrower was required to deliver financial statements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did not have Consolidated Revenues attributable to such Foreign Subsidiary for such period in excess of (i) two and one-half of one percent (2.5%) of Consolidated Revenues for such period and (ii) five percent (5%) of Consolidated Revenues for such period for all Immaterial Foreign Subsidiaries in the aggregate;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in no event shall Zevra Denmark A/S be an “Immaterial Foreign Subsidiary”.</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as to any Person at a particular time, without duplication, all of the following, whether or not included as indebtedness or liabilities in accordance with GAAP:</w:t>
      </w:r>
    </w:p>
    <w:p>
      <w:pPr>
        <w:spacing w:after="0" w:line="151" w:lineRule="exact"/>
        <w:rPr>
          <w:sz w:val="20"/>
          <w:szCs w:val="20"/>
          <w:color w:val="auto"/>
        </w:rPr>
      </w:pPr>
    </w:p>
    <w:p>
      <w:pPr>
        <w:ind w:left="1600" w:hanging="359"/>
        <w:spacing w:after="0"/>
        <w:tabs>
          <w:tab w:leader="none" w:pos="1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Funded Indebtedness;</w:t>
      </w:r>
    </w:p>
    <w:p>
      <w:pPr>
        <w:spacing w:after="0" w:line="21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Swap Termination Value of any Swap Contract;</w:t>
      </w:r>
    </w:p>
    <w:p>
      <w:pPr>
        <w:spacing w:after="0" w:line="217"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Guarantees with respect to outstanding Indebtedness of the types specified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of any other Person; and</w:t>
      </w:r>
    </w:p>
    <w:p>
      <w:pPr>
        <w:spacing w:after="0" w:line="217" w:lineRule="exact"/>
        <w:rPr>
          <w:rFonts w:ascii="Times New Roman" w:cs="Times New Roman" w:eastAsia="Times New Roman" w:hAnsi="Times New Roman"/>
          <w:sz w:val="17"/>
          <w:szCs w:val="17"/>
          <w:color w:val="auto"/>
        </w:rPr>
      </w:pPr>
    </w:p>
    <w:p>
      <w:pPr>
        <w:ind w:left="620" w:right="20" w:firstLine="621"/>
        <w:spacing w:after="0" w:line="270" w:lineRule="auto"/>
        <w:tabs>
          <w:tab w:leader="none" w:pos="16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Indebtedness of the types referred to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of any partnership or joint venture (other than a joint venture that is itself a corporation or limited liability company) in which such Person or a Subsidiary thereof is a general partner or joint venturer, unless such Indebtedness is expressly made non-recourse to such Person or such Subsidiary.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avoidance of doubt, “Indebtedness” shall not include Permitted Bond Hedge Transactions or Permitted Warrant Transactions.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“Infringement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Infringes</w:t>
      </w:r>
      <w:r>
        <w:rPr>
          <w:rFonts w:ascii="Times New Roman" w:cs="Times New Roman" w:eastAsia="Times New Roman" w:hAnsi="Times New Roman"/>
          <w:sz w:val="17"/>
          <w:szCs w:val="17"/>
          <w:color w:val="auto"/>
        </w:rPr>
        <w:t>” mean the infringement, misappropriation, or other violation of any Patents, Copyrights, Trademarks, know-how, trade secrets, confidential information, and/or other Intellectual Property.</w:t>
      </w:r>
    </w:p>
    <w:p>
      <w:pPr>
        <w:spacing w:after="0" w:line="15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all (a) Patents; (b) Trademarks and all applications, registrations and renewals thereof; (c) Copyrights and other works of authorship (registered or unregistered), and all applications, registrations and renewals thereof; (d) computer software, databases, websites and domain registrations, data and documentation; (e) trade secrets and confidential information, whether patentable or unpatentable and whether or not reduced to practice, know-how, inventions, manufacturing processes and techniques, research and development information, data and other information included in or supporting Regulatory Authorizations; (f) financial, marketing and business data, pricing and cost information, business, finance and marketing plans, customer and prospective customer lists and information, and supplier and prospective supplier lists and information; and (g) other intellectual property or similar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713867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means (a) the last Business Day of each March, June, September and December and (b) the Maturity Date.</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means, with respect to any Loan, (a) the period commencing on (and including) the applicable date on which such Loan is disbursed and ending on (and including) the first Interest Payment Date following such disbursement date of such Loan, and (b) thereafter, the period beginning on (and including) the first day following the end of the preceding Interest Period and ending on the earlier of (and including) (i) the first Interest Payment Date following the Interest Payment Date on which the preceding Interest Period ended and (ii) the Maturity Date.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“Interest Rate</w:t>
      </w:r>
      <w:r>
        <w:rPr>
          <w:rFonts w:ascii="Times New Roman" w:cs="Times New Roman" w:eastAsia="Times New Roman" w:hAnsi="Times New Roman"/>
          <w:sz w:val="17"/>
          <w:szCs w:val="17"/>
          <w:color w:val="auto"/>
        </w:rPr>
        <w:t xml:space="preserve">” means, for any Interest Period, a per annum rate of interest equal to the sum of (a) the Applicable Margin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Three-Month Term SOFR for such Interest Period.</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“Interim Financial Statements</w:t>
      </w:r>
      <w:r>
        <w:rPr>
          <w:rFonts w:ascii="Times New Roman" w:cs="Times New Roman" w:eastAsia="Times New Roman" w:hAnsi="Times New Roman"/>
          <w:sz w:val="17"/>
          <w:szCs w:val="17"/>
          <w:color w:val="auto"/>
        </w:rPr>
        <w:t>” means the unaudited consolidated financial statements of the Borrower and its Subsidiaries for the fiscal quarter ended September 30, 2023, including balance sheets and statements of operations, shareholders’ equity and cash flows.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“Internal Revenue Code</w:t>
      </w:r>
      <w:r>
        <w:rPr>
          <w:rFonts w:ascii="Times New Roman" w:cs="Times New Roman" w:eastAsia="Times New Roman" w:hAnsi="Times New Roman"/>
          <w:sz w:val="17"/>
          <w:szCs w:val="17"/>
          <w:color w:val="auto"/>
        </w:rPr>
        <w:t>” means the United States Internal Revenue Code of 1986, as amended from time to time.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“Internal Revenue Service</w:t>
      </w:r>
      <w:r>
        <w:rPr>
          <w:rFonts w:ascii="Times New Roman" w:cs="Times New Roman" w:eastAsia="Times New Roman" w:hAnsi="Times New Roman"/>
          <w:sz w:val="17"/>
          <w:szCs w:val="17"/>
          <w:color w:val="auto"/>
        </w:rPr>
        <w:t>” means the United States Internal Revenue Service.</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 less the amount of cash actually received or returned to the Borrower and its Subsidiaries with respect thereto and not subject to any claw-back or similar rights.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“Involuntary Disposition</w:t>
      </w:r>
      <w:r>
        <w:rPr>
          <w:rFonts w:ascii="Times New Roman" w:cs="Times New Roman" w:eastAsia="Times New Roman" w:hAnsi="Times New Roman"/>
          <w:sz w:val="17"/>
          <w:szCs w:val="17"/>
          <w:color w:val="auto"/>
        </w:rPr>
        <w:t>” means any loss of, damage to or destruction of, or any condemnation or other taking for public use of, any property of any Loan Party or any of its Subsidiaries.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“Joinder Agreement</w:t>
      </w:r>
      <w:r>
        <w:rPr>
          <w:rFonts w:ascii="Times New Roman" w:cs="Times New Roman" w:eastAsia="Times New Roman" w:hAnsi="Times New Roman"/>
          <w:sz w:val="17"/>
          <w:szCs w:val="17"/>
          <w:color w:val="auto"/>
        </w:rPr>
        <w:t xml:space="preserve">” means a joinder agreement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executed and delivered by a Subsidiary in accordance with the provisions of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“Key Permits</w:t>
      </w:r>
      <w:r>
        <w:rPr>
          <w:rFonts w:ascii="Times New Roman" w:cs="Times New Roman" w:eastAsia="Times New Roman" w:hAnsi="Times New Roman"/>
          <w:sz w:val="17"/>
          <w:szCs w:val="17"/>
          <w:color w:val="auto"/>
        </w:rPr>
        <w:t>” means all Permits relating to the Material Products (including all applicable Regulatory Authorizations) the loss of which could reasonably be expected to result, either individually or in the aggregate, in a material adverse effect on any Product Development and Commercialization Activities associated with any Material Product. For the avoidance of doubt, any Regulatory Authorizations issued by the FDA to any Loan Party, any of its Subsidiaries or any of its Product Distributors for Arimoclomol, Olpruva, Azstarys or any other Material Product, in each case, shall constitute a Key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3" w:name="page64"/>
    <w:bookmarkEnd w:id="63"/>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“KP1077 Phase 2 Trial</w:t>
      </w:r>
      <w:r>
        <w:rPr>
          <w:rFonts w:ascii="Times New Roman" w:cs="Times New Roman" w:eastAsia="Times New Roman" w:hAnsi="Times New Roman"/>
          <w:sz w:val="17"/>
          <w:szCs w:val="17"/>
          <w:color w:val="auto"/>
        </w:rPr>
        <w:t>” means that certain Phase 2 clinical trial, initiated in December 2022, evaluating the efficacy and safety of KP1077 for treatment of idiopathic hypersomnia.</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having the force of law.</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means each of the Persons identified as a “Lender” on the signature pages hereto, each other Person that becomes a “Lender” in accordance with this Agreement and their successors and assigns.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“Lending Office</w:t>
      </w:r>
      <w:r>
        <w:rPr>
          <w:rFonts w:ascii="Times New Roman" w:cs="Times New Roman" w:eastAsia="Times New Roman" w:hAnsi="Times New Roman"/>
          <w:sz w:val="17"/>
          <w:szCs w:val="17"/>
          <w:color w:val="auto"/>
        </w:rPr>
        <w:t xml:space="preserve">” means, as to any Lender, the office address of such Lender and, as appropriate, account of such Lender set forth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xml:space="preserve"> or such other address or account as such Lender may from time to time notify the Borrower and the Administrative Agent.</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“Loan</w:t>
      </w:r>
      <w:r>
        <w:rPr>
          <w:rFonts w:ascii="Times New Roman" w:cs="Times New Roman" w:eastAsia="Times New Roman" w:hAnsi="Times New Roman"/>
          <w:sz w:val="17"/>
          <w:szCs w:val="17"/>
          <w:color w:val="auto"/>
        </w:rPr>
        <w:t xml:space="preserve">” means an extension of credit by a Lender to the Borrower under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in the form of a Term A Loan, a Term B Loan or a Term C Loan.</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“Loan Documents</w:t>
      </w:r>
      <w:r>
        <w:rPr>
          <w:rFonts w:ascii="Times New Roman" w:cs="Times New Roman" w:eastAsia="Times New Roman" w:hAnsi="Times New Roman"/>
          <w:sz w:val="17"/>
          <w:szCs w:val="17"/>
          <w:color w:val="auto"/>
        </w:rPr>
        <w:t>” means this Agreement, the Fee Letters, each Note, each Joinder Agreement, each Collateral Document and any other agreement, instrument or document between one or more Loan Parties and the Administrative Agent and/or one or more Lender(s) that is designated by its terms as a “Loan Document”.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“Loan Notice</w:t>
      </w:r>
      <w:r>
        <w:rPr>
          <w:rFonts w:ascii="Times New Roman" w:cs="Times New Roman" w:eastAsia="Times New Roman" w:hAnsi="Times New Roman"/>
          <w:sz w:val="17"/>
          <w:szCs w:val="17"/>
          <w:color w:val="auto"/>
        </w:rPr>
        <w:t xml:space="preserve">” means a written notice of a Borrowing of Loans pursuant to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“Loan Parties</w:t>
      </w:r>
      <w:r>
        <w:rPr>
          <w:rFonts w:ascii="Times New Roman" w:cs="Times New Roman" w:eastAsia="Times New Roman" w:hAnsi="Times New Roman"/>
          <w:sz w:val="17"/>
          <w:szCs w:val="17"/>
          <w:color w:val="auto"/>
        </w:rPr>
        <w:t>” means, collectively, the Borrower and each Guarantor.</w:t>
      </w:r>
    </w:p>
    <w:p>
      <w:pPr>
        <w:spacing w:after="0" w:line="21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u w:val="single" w:color="auto"/>
          <w:color w:val="auto"/>
        </w:rPr>
        <w:t>“Make-Whole Amount (Months 1-24)</w:t>
      </w:r>
      <w:r>
        <w:rPr>
          <w:rFonts w:ascii="Times New Roman" w:cs="Times New Roman" w:eastAsia="Times New Roman" w:hAnsi="Times New Roman"/>
          <w:sz w:val="17"/>
          <w:szCs w:val="17"/>
          <w:color w:val="auto"/>
        </w:rPr>
        <w:t xml:space="preserve">” means, on any date of determination, with respect to any Loan that is repaid or required to be repaid, the sum of, without duplication, (a) an amount equal to five percent (5.00%) of the principal amount of such Loan that is repaid or required to be repaid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amount of all interest that would have accrued on the principal amount of such Loan that is repaid or required to be repaid from such date of determination through and including the thirty (30) month anniversary of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it is understood and agreed that for purposes of calculating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(i) the “Three-Month Term SOFR” component of the definition of “Interest Rate” shall be deemed to be Make-Whole Amount Three-Month Term SOFR as of such date of determination, (ii) on each Interest Payment Date occurring after the date of such repayment or requirement to repay, but on or prior to the last day of the PIK Period, interest with respect to such Loans shall be deemed to be capitalized in accordance with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xml:space="preserve"> by adding all PIK Period Paid-in-Kind Interest with respect to such Loans to the outstanding principal amount of such Loans on each such Interest Payment Date (it being understood, for the avoidance of doubt, that the “principal amount of such Loan that is repaid or required to be repaid” for purposes of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shall be increased by all PIK Period Paid-in-Kind Interest that would have been capitalized to such Loan in accordance with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xml:space="preserve"> on each Interest Payment Date from such date of determination through and including the last day of the PIK Period) and (iii) for the purposes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the Applicable Margin applicable to such Loan shall be deemed to be the Applicable Margin that is in effect as of such date of determination.</w:t>
      </w:r>
    </w:p>
    <w:p>
      <w:pPr>
        <w:spacing w:after="0" w:line="17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u w:val="single" w:color="auto"/>
          <w:color w:val="auto"/>
        </w:rPr>
        <w:t>“Make-Whole Amount (Months 25-30)</w:t>
      </w:r>
      <w:r>
        <w:rPr>
          <w:rFonts w:ascii="Times New Roman" w:cs="Times New Roman" w:eastAsia="Times New Roman" w:hAnsi="Times New Roman"/>
          <w:sz w:val="17"/>
          <w:szCs w:val="17"/>
          <w:color w:val="auto"/>
        </w:rPr>
        <w:t xml:space="preserve">” means, on any date of determination, with respect to any Loan that is repaid or required to be repaid, the sum of, without duplication, (a) an amount equal to three and one-half of one percent (3.50%) of the principal amount of such Loan that is repaid or required to be repaid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amount of all interest that would have accrued on the principal amount of such Loan that is repaid or required to be repaid from such date of determination through and including the thirty (30) month anniversary of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it is understood and agreed that for purposes of calculating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(i) the “Three-Month Term SOFR” component of the definition of “Interest Rate” shall be deemed to be Make-Whole Amount Three-Month Term SOFR as of such date of determination, applied as if such rate would have been in effect for all subsequent Interest Periods through and including the thirty (30) month anniversary of the Closing Date, (ii) on each Interest Payment Date occurring after the date of such repayment or requirement to repay, but on or prior to the last day of the PIK Period, interest with respect to such Loans shall be deemed to be capitalized in accordance with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xml:space="preserve"> by adding all PIK Period Paid-in-Kind Interest with respect to such Loans to the outstanding principal amount of such Loans on each such Interest Payment Date (it being understood, for the avoidance of doubt, that the “principal amount of such Loan that is repaid or required to be repaid” for purposes of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shall be increased by all PIK Period Paid-in-Kind Interest that would have been capitalized to such Loan in accordance with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xml:space="preserve"> on each Interest Payment Date from such date of determination through and including the last day of the PIK Period) and (iii) for the purposes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the Applicable Margin applicable to such Loan shall be deemed to be the Applicable Margin that is in effect as of such date of determination.</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“Make-Whole Amount Three-Month Term SOFR</w:t>
      </w:r>
      <w:r>
        <w:rPr>
          <w:rFonts w:ascii="Times New Roman" w:cs="Times New Roman" w:eastAsia="Times New Roman" w:hAnsi="Times New Roman"/>
          <w:sz w:val="17"/>
          <w:szCs w:val="17"/>
          <w:color w:val="auto"/>
        </w:rPr>
        <w:t>” means, as of any date of determination, a rate per annum equal to the greater of (a) four percent (4.00%) per annum and (b) Three-Month Term SOFR for the Interest Period immediately preceding such date of determination.</w:t>
      </w:r>
    </w:p>
    <w:p>
      <w:pPr>
        <w:spacing w:after="0" w:line="15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u w:val="single" w:color="auto"/>
          <w:color w:val="auto"/>
        </w:rPr>
        <w:t>“Market Capitalization</w:t>
      </w:r>
      <w:r>
        <w:rPr>
          <w:rFonts w:ascii="Times New Roman" w:cs="Times New Roman" w:eastAsia="Times New Roman" w:hAnsi="Times New Roman"/>
          <w:sz w:val="17"/>
          <w:szCs w:val="17"/>
          <w:color w:val="auto"/>
        </w:rPr>
        <w:t xml:space="preserve">” means, as of any date of determination, an amount equal to (a) the average of the daily volume weighted average price of the Borrower’s common stock as reported for each of the ten (10) trading days preceding such date of determination (it being understood that a “trading day” shall mean a day on which shares of the Borrower’s common stock trade on the NASDAQ (or, if the primary listing of such common stock is on the New York Stock Exchange, on the New York Stock Exchange) in an ordinary trading session)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(b) the total number of issued and outstanding shares of the Borrower’s common stock that are issued and outstanding on the date of the determination and listed on the NASDAQ (or the New York Stock Exchange, as applicable), subject to appropriate adjustment for any stock dividend, stock split, stock combination, reclassification or other similar transaction during the applicable calculation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713867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4" w:name="page65"/>
    <w:bookmarkEnd w:id="64"/>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(a) a material adverse change in, or a material adverse effect upon, the business, assets, properties, liabilities (actual or contingent) or financial condition of the Borrower and its Subsidiaries taken as a whole, (b) a material impairment of the rights and remedies of the Administrative Agent or any Lender under any Loan Document to which it is a party or a material impairment in the perfection, value or priority of the Administrative Agent’s security interests in the Collateral, (c) an impairment of the ability of the Loan Parties (taken as a whole) to perform their respective material obligations under the Loan Documents, or (d) a material adverse effect upon the legality, validity, binding effect or enforceability against any Loan Party of any Loan Document to which it is a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event, occurrence, fact, condition or change, directly or indirectly, arising out of or attributable to the KP1077 Phase 2 Trial or the non-occurrence of the Arimoclomol FDA Approval, in each case, shall not constitute a “Material Adverse Effect” under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definition.</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 means (a) the Azstarys License Agreement and (b) any other contract or agreement to which the Borrower or any of its Subsidiaries is a party (other than the Loan Documents) as to which a breach or non-performance thereof by the Borrower or such Subsidiary, or the cancellation or failure to renew thereof, could reasonably be expected, either individually or in the aggregate, to have (i) a Material Adverse Effect or (ii) a material adverse effect on the commercialization of any Material Product.</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“Material Intellectual Property</w:t>
      </w:r>
      <w:r>
        <w:rPr>
          <w:rFonts w:ascii="Times New Roman" w:cs="Times New Roman" w:eastAsia="Times New Roman" w:hAnsi="Times New Roman"/>
          <w:sz w:val="17"/>
          <w:szCs w:val="17"/>
          <w:color w:val="auto"/>
        </w:rPr>
        <w:t>” means all items of Intellectual Property owned, controlled, or licensed by any Loan Party or any Subsidiary (a) that are, individually or, in the aggregate, material to the business, assets, properties, liabilities (actual or contingent), or financial condition of the Borrower and its Subsidiaries or (b) the loss of which could reasonably be expected, either individually or in the aggregate, to have a Material Adverse Effect.</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“Material Product</w:t>
      </w:r>
      <w:r>
        <w:rPr>
          <w:rFonts w:ascii="Times New Roman" w:cs="Times New Roman" w:eastAsia="Times New Roman" w:hAnsi="Times New Roman"/>
          <w:sz w:val="17"/>
          <w:szCs w:val="17"/>
          <w:color w:val="auto"/>
        </w:rPr>
        <w:t>” means (a) Arimoclomol, (b) Olpruva, (c) Azstarys and (d) each other Product the loss of which could reasonably be expected, either individually or in the aggregate, to have a Material Adverse Effect.</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“Material Regulatory Authorization</w:t>
      </w:r>
      <w:r>
        <w:rPr>
          <w:rFonts w:ascii="Times New Roman" w:cs="Times New Roman" w:eastAsia="Times New Roman" w:hAnsi="Times New Roman"/>
          <w:sz w:val="17"/>
          <w:szCs w:val="17"/>
          <w:color w:val="auto"/>
        </w:rPr>
        <w:t>” means any Regulatory Authorization where the failure to possess or maintain such Regulatory Authorization, or any restriction placed thereon, in either case, could reasonably be expected, either individually or in the aggregate, to result in (a) a material adverse effect on any Product Development and Commercialization Activities associated with any Product or (b) a Material Adverse Effect.</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“Material Weakness Restatement</w:t>
      </w:r>
      <w:r>
        <w:rPr>
          <w:rFonts w:ascii="Times New Roman" w:cs="Times New Roman" w:eastAsia="Times New Roman" w:hAnsi="Times New Roman"/>
          <w:sz w:val="17"/>
          <w:szCs w:val="17"/>
          <w:color w:val="auto"/>
        </w:rPr>
        <w:t>” means the restatement by the Borrower of (a) the Audited Financial Statements and (b) the quarterly financial statements for the quarters ended March 31, 2022, June 30, 2022, September 30, 2022, March 31, 2023, June 30, 2023, and September 30, 2023, in each case, as filed with the SEC on April 1, 2024.</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xml:space="preserve">” means April 5, 2029;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such date is not a Business Day, the Maturity Date shall be the first Business Day immediately preceding such date.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“Maximum Rate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11.09</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“Medicaid</w:t>
      </w:r>
      <w:r>
        <w:rPr>
          <w:rFonts w:ascii="Times New Roman" w:cs="Times New Roman" w:eastAsia="Times New Roman" w:hAnsi="Times New Roman"/>
          <w:sz w:val="17"/>
          <w:szCs w:val="17"/>
          <w:color w:val="auto"/>
        </w:rPr>
        <w:t>” means that means-tested entitlement program under Title XIX of the Social Security Act, which provides federal grants to states for medical assistance based on specific eligibility criteria, as set forth at Section 1396, et seq. of Title 42 of the United States Code, as amended, and any statute succeeding thereto.</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“Medicare</w:t>
      </w:r>
      <w:r>
        <w:rPr>
          <w:rFonts w:ascii="Times New Roman" w:cs="Times New Roman" w:eastAsia="Times New Roman" w:hAnsi="Times New Roman"/>
          <w:sz w:val="17"/>
          <w:szCs w:val="17"/>
          <w:color w:val="auto"/>
        </w:rPr>
        <w:t>” means that government-sponsored entitlement program under Title XVIII of the Social Security Act, which provides for a health insurance system for eligible elderly and disabled individuals, as set forth at Section 1395, et seq. of Title 42 of the United States Code, as amended, and any statute succeeding thereto.</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means Moody’s Investors Service, Inc. and any successor thereto.</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“Mortgage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Mortgages</w:t>
      </w:r>
      <w:r>
        <w:rPr>
          <w:rFonts w:ascii="Times New Roman" w:cs="Times New Roman" w:eastAsia="Times New Roman" w:hAnsi="Times New Roman"/>
          <w:sz w:val="17"/>
          <w:szCs w:val="17"/>
          <w:color w:val="auto"/>
        </w:rPr>
        <w:t>” means, individually or collectively, as the context requires, each of the mortgages, deeds of trust or deeds to secure debt executed by a Loan Party that purport to grant to the Administrative Agent, for the benefit of the Secured Parties, a security interest in the fee interest of any Loan Party in real property (other than Excluded Property).</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“Multiple Employer Plan</w:t>
      </w:r>
      <w:r>
        <w:rPr>
          <w:rFonts w:ascii="Times New Roman" w:cs="Times New Roman" w:eastAsia="Times New Roman" w:hAnsi="Times New Roman"/>
          <w:sz w:val="17"/>
          <w:szCs w:val="17"/>
          <w:color w:val="auto"/>
        </w:rPr>
        <w:t>” means a Plan which has two or more contributing sponsors (including the Borrower or any ERISA Affiliate) at least two of whom are not under common control, as such a plan is described in Section 4064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5" w:name="page66"/>
    <w:bookmarkEnd w:id="65"/>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“NDA</w:t>
      </w:r>
      <w:r>
        <w:rPr>
          <w:rFonts w:ascii="Times New Roman" w:cs="Times New Roman" w:eastAsia="Times New Roman" w:hAnsi="Times New Roman"/>
          <w:sz w:val="17"/>
          <w:szCs w:val="17"/>
          <w:color w:val="auto"/>
        </w:rPr>
        <w:t>” means a new drug application filed with the FDA pursuant to section 505(b) of the FDCA, along with all supplements and amendments thereto, and any similar application for marketing authorization required by any country, jurisdiction or Governmental Authority other than the United States (including the FDA-equivalent in any other relevant jurisdiction).</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“Net Cash Proceeds</w:t>
      </w:r>
      <w:r>
        <w:rPr>
          <w:rFonts w:ascii="Times New Roman" w:cs="Times New Roman" w:eastAsia="Times New Roman" w:hAnsi="Times New Roman"/>
          <w:sz w:val="17"/>
          <w:szCs w:val="17"/>
          <w:color w:val="auto"/>
        </w:rPr>
        <w:t>” means the aggregate cash or Cash Equivalents proceeds received by any Loan Party or any Subsidiary in respect of any Disposition, Debt Issuance, Involuntary Disposition or Extraordinary Receipt, net of (a) reasonable direct costs incurred in connection therewith (including, without limitation, legal, accounting and investment banking fees, and sales commissions), (b) taxes paid or reasonably determined by the Borrower to be payable as a result thereof,</w:t>
      </w:r>
    </w:p>
    <w:p>
      <w:pPr>
        <w:jc w:val="both"/>
        <w:ind w:firstLine="3"/>
        <w:spacing w:after="0" w:line="254" w:lineRule="auto"/>
        <w:tabs>
          <w:tab w:leader="none" w:pos="24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Disposition or Involuntary Disposition, (i) the amount necessary to retire any Indebtedness secured by a Permitted Lien (ranking senior to any Lien of the Administrative Agent) on the related property and (ii) amounts that are set aside as a reserve (x) for adjustments in respect of the purchase price of such assets and (y) for any liabilities associated with such sale or casualty, in each case, to the extent such reserve is required by GAAP and to the extent that in each case the amounts described above in this </w:t>
      </w:r>
      <w:r>
        <w:rPr>
          <w:rFonts w:ascii="Times New Roman" w:cs="Times New Roman" w:eastAsia="Times New Roman" w:hAnsi="Times New Roman"/>
          <w:sz w:val="17"/>
          <w:szCs w:val="17"/>
          <w:u w:val="single" w:color="auto"/>
          <w:color w:val="auto"/>
        </w:rPr>
        <w:t>clause (c)(ii)</w:t>
      </w:r>
      <w:r>
        <w:rPr>
          <w:rFonts w:ascii="Times New Roman" w:cs="Times New Roman" w:eastAsia="Times New Roman" w:hAnsi="Times New Roman"/>
          <w:sz w:val="17"/>
          <w:szCs w:val="17"/>
          <w:color w:val="auto"/>
        </w:rPr>
        <w:t xml:space="preserve"> are (A) deposited into escrow with a third party escrow agent reasonably acceptable to the Required Lenders or set aside in a separate account that is subject to an Account Control Agreement and (B) paid as a prepayment of the Obligations in accordance with </w:t>
      </w:r>
      <w:r>
        <w:rPr>
          <w:rFonts w:ascii="Times New Roman" w:cs="Times New Roman" w:eastAsia="Times New Roman" w:hAnsi="Times New Roman"/>
          <w:sz w:val="17"/>
          <w:szCs w:val="17"/>
          <w:u w:val="single" w:color="auto"/>
          <w:color w:val="auto"/>
        </w:rPr>
        <w:t>Section 2.03(b)</w:t>
      </w:r>
      <w:r>
        <w:rPr>
          <w:rFonts w:ascii="Times New Roman" w:cs="Times New Roman" w:eastAsia="Times New Roman" w:hAnsi="Times New Roman"/>
          <w:sz w:val="17"/>
          <w:szCs w:val="17"/>
          <w:color w:val="auto"/>
        </w:rPr>
        <w:t xml:space="preserve"> at such time when such amounts are no longer required to be set aside as a reserve and (d) in the case of any Extraordinary Receipt, (i) reasonable direct costs incurred in connection with the collection of such proceeds, awards or other payments and (ii) insurance and condemnation proceeds that are applied to the repair or replacement of the applicable property within one (1) year after receipt thereof; it being understood that “Net Cash Proceeds” shall include, without limitation, any cash or Cash Equivalents received upon the sale or other disposition of any non-cash consideration received by any Loan Party or any Subsidiary in any Disposition, Debt Issuance, Involuntary Disposition or Extraordinary Receipt.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means the Term A Notes, the Term B Notes and the Term C Notes, individually or collectively, as appropriate.</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 all advances to, and debts, liabilities, obligations, covenants and duties of, any Loan Party arising under any Loan Document or otherwise with respect to any Loan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means the Office of Foreign Assets Control of the United States Department of the Treasury.</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“Olpruva</w:t>
      </w:r>
      <w:r>
        <w:rPr>
          <w:rFonts w:ascii="Times New Roman" w:cs="Times New Roman" w:eastAsia="Times New Roman" w:hAnsi="Times New Roman"/>
          <w:sz w:val="17"/>
          <w:szCs w:val="17"/>
          <w:color w:val="auto"/>
        </w:rPr>
        <w:t>” means the pharmaceutical product comprising sodium phenylbutyrate for oral suspension for the treatment of urea cycle disorders involving deficiencies of carbamylphosphate sythetase, ornithine transcarbamylase, or argininosuccinic acid synthetase.</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“Organization Documents</w:t>
      </w:r>
      <w:r>
        <w:rPr>
          <w:rFonts w:ascii="Times New Roman" w:cs="Times New Roman" w:eastAsia="Times New Roman" w:hAnsi="Times New Roman"/>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“Other Administrative Proceeding</w:t>
      </w:r>
      <w:r>
        <w:rPr>
          <w:rFonts w:ascii="Times New Roman" w:cs="Times New Roman" w:eastAsia="Times New Roman" w:hAnsi="Times New Roman"/>
          <w:sz w:val="17"/>
          <w:szCs w:val="17"/>
          <w:color w:val="auto"/>
        </w:rPr>
        <w:t>” means any administrative proceeding relating to a dispute involving a patent office or other relevant intellectual property registry which relates to validity, opposition, revocation, ownership or enforceability of the relevant Intellectual Property.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“Outstanding Amount</w:t>
      </w:r>
      <w:r>
        <w:rPr>
          <w:rFonts w:ascii="Times New Roman" w:cs="Times New Roman" w:eastAsia="Times New Roman" w:hAnsi="Times New Roman"/>
          <w:sz w:val="17"/>
          <w:szCs w:val="17"/>
          <w:color w:val="auto"/>
        </w:rPr>
        <w:t xml:space="preserve">” means with respect to any Loans on any date, the aggregate outstanding principal amount thereof after giving effect to (a) any borrowings and prepayments or repayments of such Loans occurring on such date and (b) the capitalization and addition to principal of any PIK Period Paid-In-Kind Interest that has occurred on or prior to such date in accordance with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“Paragraph IV Certification</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6.17(c)(iii)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“Partnered Program</w:t>
      </w:r>
      <w:r>
        <w:rPr>
          <w:rFonts w:ascii="Times New Roman" w:cs="Times New Roman" w:eastAsia="Times New Roman" w:hAnsi="Times New Roman"/>
          <w:sz w:val="17"/>
          <w:szCs w:val="17"/>
          <w:color w:val="auto"/>
        </w:rPr>
        <w:t>” means any current or future business agreement or arrangement entered into with any Third Party under which the Borrower or any Subsidiary performs services related to Product Development and Commercialization Activities associated with any Product and/or obtains any rights in any Product.</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means any patent rights of any kind, including any and all: patents (whether registered or not), patent applications or invention disclosures, as well as all divisions, continuations, continuations in-part, provisionals, continued prosecution applications, substitutions, reissues, reexaminations, inter partes review, renewals, extensions, adjustments, restorations, supplemental protection certificates and other additions in connection therewith, whether in or related to the United States or any foreign country or other jurisdiction, together with the right to claim the priority thereto and the right to sue for past infringement of any of the foregoing.</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“PBGC</w:t>
      </w:r>
      <w:r>
        <w:rPr>
          <w:rFonts w:ascii="Times New Roman" w:cs="Times New Roman" w:eastAsia="Times New Roman" w:hAnsi="Times New Roman"/>
          <w:sz w:val="17"/>
          <w:szCs w:val="17"/>
          <w:color w:val="auto"/>
        </w:rPr>
        <w:t>” means the Pension Benefit Guaranty Corporation or any successor thereto.</w:t>
      </w:r>
    </w:p>
    <w:p>
      <w:pPr>
        <w:spacing w:after="0" w:line="21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u w:val="single" w:color="auto"/>
          <w:color w:val="auto"/>
        </w:rPr>
        <w:t>“Pension Funding Rules</w:t>
      </w:r>
      <w:r>
        <w:rPr>
          <w:rFonts w:ascii="Times New Roman" w:cs="Times New Roman" w:eastAsia="Times New Roman" w:hAnsi="Times New Roman"/>
          <w:sz w:val="17"/>
          <w:szCs w:val="17"/>
          <w:color w:val="auto"/>
        </w:rPr>
        <w:t>” means the rules of the Internal Revenue Code and ERISA regarding minimum required contributions (including any installment payment thereof) to Pension Plans and set forth in Section 412, 430, 431, 432 and 436 of the Internal Revenue Code and Sections 302, 303, 304 and 305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457835</wp:posOffset>
            </wp:positionV>
            <wp:extent cx="71386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6" w:name="page67"/>
    <w:bookmarkEnd w:id="66"/>
    <w:p>
      <w:pPr>
        <w:spacing w:after="0" w:line="3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“Pension Plan</w:t>
      </w:r>
      <w:r>
        <w:rPr>
          <w:rFonts w:ascii="Times New Roman" w:cs="Times New Roman" w:eastAsia="Times New Roman" w:hAnsi="Times New Roman"/>
          <w:sz w:val="17"/>
          <w:szCs w:val="17"/>
          <w:color w:val="auto"/>
        </w:rPr>
        <w:t>” means any employee pension benefit plan (as defined in Section 3(2) of ERISA), excluding a Multiple Employer Plan or a Multiemployer Plan that is maintained or is contributed to by the Borrower and any ERISA Affiliate and is either covered by Title IV of ERISA or is subject to minimum funding standards under Section 412 of the Internal Revenue Code.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“Perceptive</w:t>
      </w:r>
      <w:r>
        <w:rPr>
          <w:rFonts w:ascii="Times New Roman" w:cs="Times New Roman" w:eastAsia="Times New Roman" w:hAnsi="Times New Roman"/>
          <w:sz w:val="17"/>
          <w:szCs w:val="17"/>
          <w:color w:val="auto"/>
        </w:rPr>
        <w:t>” means Perceptive Advisors LLC, and its successors and assigns.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“Perceptive Lender</w:t>
      </w:r>
      <w:r>
        <w:rPr>
          <w:rFonts w:ascii="Times New Roman" w:cs="Times New Roman" w:eastAsia="Times New Roman" w:hAnsi="Times New Roman"/>
          <w:sz w:val="17"/>
          <w:szCs w:val="17"/>
          <w:color w:val="auto"/>
        </w:rPr>
        <w:t xml:space="preserve">” means (a) Perceptive Credit Holdings IV, LP and (b) any Lender that is an Affiliate or an Approved Fund of Perceptive or any Person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definition.</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means all Regulatory Authorizations, permits, licenses, registrations, certificates, accreditations, orders, approvals, authorizations, consents, waivers, franchises, variances and similar rights issued by or obtained from any Governmental Authority, including, without limitation, those relating to Environmental Laws.</w:t>
      </w:r>
    </w:p>
    <w:p>
      <w:pPr>
        <w:spacing w:after="0" w:line="16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an Investment consisting of an Acquisition by a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the property acquired (or the property of the Person acquired) in such Acquisition is used or useful in the same or a reasonably related line of business as the Borrower and its Subsidiaries were engaged in on the Closing Date (or any reasonable extensions or expansions thereof), (b) no Event of Default shall have occurred and be continuing or would result from such Acquisition, (c) the Administrative Agent shall have received all items in respect of the Equity Interests or property acquired in such Acquisition required to be delivered by the terms of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Section 7.14</w:t>
      </w:r>
      <w:r>
        <w:rPr>
          <w:rFonts w:ascii="Times New Roman" w:cs="Times New Roman" w:eastAsia="Times New Roman" w:hAnsi="Times New Roman"/>
          <w:sz w:val="17"/>
          <w:szCs w:val="17"/>
          <w:color w:val="auto"/>
        </w:rPr>
        <w:t xml:space="preserve">, (d) such Acquisition shall not be a “hostile” acquisition and shall have been approved by the Board of Directors and/or the shareholders (or equivalent) of the applicable Loan Party and the target of such Acquisition, (e) the Borrower shall have delivered to the Administrative Agent (for further distribution to the Lenders)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financial statements for the Borrower and its Subsidiaries after giving effect to such Acquisition for the twelve month period ending as of the most recent fiscal quarter end in a form reasonably satisfactory to the Required Lenders, (f) the representations and warranties made by the Loan Parties in each Loan Document shall be true and correct in all material respects (and in all respects if any such representation or warranty is already qualified by materiality or reference to Material Adverse Effect) at and as if made as of the date of such Acquisition (after giving effect thereto) except to the extent any such representation and warranty expressly relates to an earlier date, in which case it shall be true and correct in all material respects (and in all respects if any such representation or warranty is already qualified by materiality or reference to Material Adverse Effect) as of such earlier date and (g) the aggregate consideration (including deferred purchase price (including, for the avoidance of doubt, any milestone obligations) and any Earn Out Obligations, but excluding consideration in the form of Qualified Capital Stock of the Borrower to the extent not constituting a Change of Control) paid by the Borrower and its Subsidiaries for all such Acquisitions during the term of this Agreement shall not exceed (i) $10,000,000, if the Arimoclomol FDA Approval shall not have occurred or (ii) $30,000,000, if the Arimoclomol FDA Approval shall have occurred (and the Administrative Agent shall have received the Arimoclomol FDA Approval Certificate).</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“Permitted Bond Hedge Transaction</w:t>
      </w:r>
      <w:r>
        <w:rPr>
          <w:rFonts w:ascii="Times New Roman" w:cs="Times New Roman" w:eastAsia="Times New Roman" w:hAnsi="Times New Roman"/>
          <w:sz w:val="17"/>
          <w:szCs w:val="17"/>
          <w:color w:val="auto"/>
        </w:rPr>
        <w:t xml:space="preserve">” means any call or capped call option (or substantively equivalent derivative transaction) relating to the common stock (or other securities or property following a merger event or other change of the common stock) purchased by the Borrower in connection with the issuance of any Permitted Convertible Bond Indebtedness and as may be amended in accordance with its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the purchase price of any such call option or capped call option (or substantively equivalent derivative) transaction less the amount received by the Borrower in respect of any Permitted Warrant Transaction in connection with such issuance of Permitted Convertible Bond Indebtedness shall not exceed the net proceeds to the Borrower from such issuance of Permitted Convertible Bond Indebtedness and (b) the terms, conditions and covenants of each such call or capped call option transaction (or substantively equivalent derivative transaction) are customary for agreements of such type, as determined in good faith by the Borrower.</w:t>
      </w:r>
    </w:p>
    <w:p>
      <w:pPr>
        <w:spacing w:after="0" w:line="17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u w:val="single" w:color="auto"/>
          <w:color w:val="auto"/>
        </w:rPr>
        <w:t>“Permitted Convertible Bond Indebtedness</w:t>
      </w:r>
      <w:r>
        <w:rPr>
          <w:rFonts w:ascii="Times New Roman" w:cs="Times New Roman" w:eastAsia="Times New Roman" w:hAnsi="Times New Roman"/>
          <w:sz w:val="17"/>
          <w:szCs w:val="17"/>
          <w:color w:val="auto"/>
        </w:rPr>
        <w:t xml:space="preserve">” means Convertible Bond Indebtedness of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such Convertible Bond Indebtedness shall be unsecured, (b) no Subsidiary shall Guarantee such Convertible Bond Indebtedness if such Subsidiary does not also provide a Guarantee of the Obligations, (c) such Convertible Bond Indebtedness shall not mature, and no scheduled or mandatory principal payments, prepayments, cash settlements, repurchases, redemptions or sinking fund or like payments of any Convertible Bond Indebtedness shall be required at any time on or prior to the date that is one hundred and eighty-one (181) days after the Maturity Date (it being understood that neither (x) any offer to purchase such Indebtedness as a result of “change of control”, “fundamental change” or any comparable term under and as defined in any indenture governing any Convertible Bond Indebtedness, (y) any early conversion of such Indebtedness into Qualified Capital Stock of the Borrower (or, subject to the Redemption Conditions, cash or a combination of Qualified Capital Stock of the Borrower and cash) in accordance with the terms thereof, nor (z) any redemption of such Indebtedness upon satisfaction of a condition related to the stock price of the Borrower’s common stock, in each case, shall violate the restriction of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(d) such Convertible Bond Indebtedness shall not include covenants and defaults (other than covenants and defaults customary for convertible indebtedness but not customary for loans) that are, taken as a whole, more restrictive on the Loan Parties than the provisions of this Agreement, (e) no Default or Event of Default shall have occurred and be continuing at the time of incurrence of such Convertible Bond Indebtedness or would result therefrom, (f) immediately after giving effect to the incurrence of any Convertible Bond Indebtedness, the aggregate outstanding amount of all “Permitted Convertible Bond Indebtedness” shall not exceed an amount equal to twenty percent (20%) of the Borrower’s Market Capitalization as of the pricing date related to such incurrence and (g) the Borrower shall have delivered to the Administrative Agent (for further distribution to the Lenders) a certificate of a Responsible Officer of the Borrower certifying as to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cross-default or cross-acceleration event of default provision contained in the definitive documentation for such Convertible Bond Indebtedness (each howsoever defined) that related to indebtedness or other payment obligations of a Loan Party or a Subsidiary (such Indebtedness or other payment obligations, a “</w:t>
      </w:r>
      <w:r>
        <w:rPr>
          <w:rFonts w:ascii="Times New Roman" w:cs="Times New Roman" w:eastAsia="Times New Roman" w:hAnsi="Times New Roman"/>
          <w:sz w:val="17"/>
          <w:szCs w:val="17"/>
          <w:u w:val="single" w:color="auto"/>
          <w:color w:val="auto"/>
        </w:rPr>
        <w:t>Cross-Default 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Obligation</w:t>
      </w:r>
      <w:r>
        <w:rPr>
          <w:rFonts w:ascii="Times New Roman" w:cs="Times New Roman" w:eastAsia="Times New Roman" w:hAnsi="Times New Roman"/>
          <w:sz w:val="17"/>
          <w:szCs w:val="17"/>
          <w:color w:val="auto"/>
        </w:rPr>
        <w:t>”) contains a cure period of at least thirty (30) calendar days (after written notice to the issuer of such Indebtedness by the trustee or to such issuer and such trustee by holders of at least twenty-five percent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19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“Permitted Licenses</w:t>
      </w:r>
      <w:r>
        <w:rPr>
          <w:rFonts w:ascii="Times New Roman" w:cs="Times New Roman" w:eastAsia="Times New Roman" w:hAnsi="Times New Roman"/>
          <w:sz w:val="17"/>
          <w:szCs w:val="17"/>
          <w:color w:val="auto"/>
        </w:rPr>
        <w:t xml:space="preserve">” means (a) non-exclusive licenses for the use of the Intellectual Property of the Borrower or any of its Subsidiaries entered into in the ordinary course of business and not interfering with the business of the Borrower and its Subsidiaries or the Product Development and Commercialization Activities with respect to any Product, (b) exclusive (subject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of the proviso of this definition) licenses for the use of the Intellectual Property of the Borrower or any of its Subsidiaries entered into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with respect to each such license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firstLine="3"/>
        <w:spacing w:after="0" w:line="254" w:lineRule="auto"/>
        <w:tabs>
          <w:tab w:leader="none" w:pos="22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Event of Default has occurred or is continuing at the time of entry into such license, (ii) the license constitutes an arm’s-length transaction, the terms of which, on their face, do not provide for a sale or assignment of any Material Intellectual Property and do not restrict the ability of Borrower or any of its Subsidiaries, as applicable, to pledge, grant a Lien on, or assign or otherwise transfer any Material Intellectual Property (other than customary non-assignment provisions that are rendered ineffective under the Uniform Commercial Code), (iii) in the case of any exclusive license, the Borrower delivers ten (10) days’ prior written notice and a brief summary of the terms of the proposed exclusive license to the Administrative Agent and delivers to the Administrative Agent (for further distribution to the Lenders) copies of the final executed licensing documents in connection with the exclusive license promptly upon consummation thereof, (iv) any such license could not result in a legal transfer of title of the licensed property but, other than with respect to Azstarys, may be exclusive in respects other than territory and may be exclusive as to territory only as to discrete geographical areas outside of the United States, and (v) all upfront payments, royalties, milestone payments or other proceeds arising from the license agreement that are payable to the Borrower or any of its Subsidiaries are paid to a Deposit Account that is governed by an Account Control Agreement and (c) the licenses set forth on </w:t>
      </w:r>
      <w:r>
        <w:rPr>
          <w:rFonts w:ascii="Times New Roman" w:cs="Times New Roman" w:eastAsia="Times New Roman" w:hAnsi="Times New Roman"/>
          <w:sz w:val="17"/>
          <w:szCs w:val="17"/>
          <w:u w:val="single" w:color="auto"/>
          <w:color w:val="auto"/>
        </w:rPr>
        <w:t>Schedule 1.02</w:t>
      </w:r>
      <w:r>
        <w:rPr>
          <w:rFonts w:ascii="Times New Roman" w:cs="Times New Roman" w:eastAsia="Times New Roman" w:hAnsi="Times New Roman"/>
          <w:sz w:val="17"/>
          <w:szCs w:val="17"/>
          <w:color w:val="auto"/>
        </w:rPr>
        <w:t xml:space="preserve"> hereto as each such license is in effect on the Closing Date (and as may be amended or otherwise modified in a manner not materially adverse to the Administrative Agent or any Lender in their respective capacities as such). It is understood and agreed that, notwithstanding anything to the contrary set forth in this definition, in no event shall a “Permitted License” include any license of any Product (or any Intellectual Property associated with or embodied therein) in the United States (or any state or other political subdivision thereof), except that a</w:t>
      </w:r>
    </w:p>
    <w:p>
      <w:pPr>
        <w:sectPr>
          <w:pgSz w:w="11900" w:h="16876" w:orient="portrait"/>
          <w:cols w:equalWidth="0" w:num="1">
            <w:col w:w="11240"/>
          </w:cols>
          <w:pgMar w:left="320" w:top="561" w:right="339" w:bottom="0" w:gutter="0" w:footer="0" w:header="0"/>
        </w:sectPr>
      </w:pPr>
    </w:p>
    <w:bookmarkStart w:id="67" w:name="page68"/>
    <w:bookmarkEnd w:id="67"/>
    <w:p>
      <w:pPr>
        <w:jc w:val="both"/>
        <w:spacing w:after="0" w:line="270" w:lineRule="auto"/>
        <w:rPr>
          <w:sz w:val="20"/>
          <w:szCs w:val="20"/>
          <w:color w:val="auto"/>
        </w:rPr>
      </w:pPr>
      <w:r>
        <w:rPr>
          <w:rFonts w:ascii="Times New Roman" w:cs="Times New Roman" w:eastAsia="Times New Roman" w:hAnsi="Times New Roman"/>
          <w:sz w:val="17"/>
          <w:szCs w:val="17"/>
          <w:color w:val="auto"/>
        </w:rPr>
        <w:t>“Permitted License” may include a nonexclusive license to a third party in the ordinary course of the Borrower’s business for the purpose of the import, export, manufacture, make, use, sale, offer for sale, promotion or distribution of such Product so long as such nonexclusive license does not grant to any third party the right to sell, offer for sale, market or promote such Product on a royalty payment basis, profit sharing basis or any other similar payment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xml:space="preserve">” means, at any time, Liens in respect of property of any Loan Party or any of its Subsidiaries permitted to exist at such time pursuant to the terms of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u w:val="single" w:color="auto"/>
          <w:color w:val="auto"/>
        </w:rPr>
        <w:t>“Permitted Refinancing</w:t>
      </w:r>
      <w:r>
        <w:rPr>
          <w:rFonts w:ascii="Times New Roman" w:cs="Times New Roman" w:eastAsia="Times New Roman" w:hAnsi="Times New Roman"/>
          <w:sz w:val="17"/>
          <w:szCs w:val="17"/>
          <w:color w:val="auto"/>
        </w:rPr>
        <w:t xml:space="preserve">” means, with respect to any Indebtedness of any Person, any modification, refinancing, replacement, refunding, renewal or extension of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the principal amount thereof does not exceed the sum of (i) the outstanding principal amount of the Indebtedness so modified, refinanced, replaced, refunded, renewed or extended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prepayment premiums paid, accrued but unpaid interest, and reasonable and customary fees and expenses incurred, in each case, in connection with such modification, refinancing, replacement, refunding, renewal or extension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any unutilized commitments under the Indebtedness so modified, refinanced, replaced, refunded, renewed or extended, (b) such modification, refinancing, replacement, refunding, renewal or extension has (i) a final maturity date equal to or later than the final maturity date of the Indebtedness being modified, refinanced, replaced, refunded, renewed or extended, and (ii) a weighted average life equal to or longer than the weighted average life of the Indebtedness being modified, refinanced, replaced, refunded, renewed or extended, (c) the direct and contingent obligors of such Indebtedness shall not be changed, as a result of or in connection with such modification, refinancing, replacement, refunding, renewal or extension, (d) the terms (excluding pricing, fees, rate floors, discounts, premiums and optional prepayment or redemption terms) of such Indebtedness, taken as a whole, shall not be changed in any manner that is materially adverse, taken as a whole, to the Borrower or any Subsidiary, as applicable, as a result of or in connection with such modification, refinancing, replacement, refunding, renewal or extension, (e) if the Indebtedness being modified, refinanced, replaced, refunded, renewed or extended is subordinated in right of payment to the Obligations, such modification, refinancing, replacement, refunding, renewal or extension is subordinated to the Obligations on terms (taken as a whole) at least as favorable to the Lenders as those contained in the documentation governing the Indebtedness being so modified, refinanced, replaced, refunded, renewed or extended, (f) if the Indebtedness being modified, refinanced, replaced, refunded, renewed or extended is secured by Liens on the Collateral junior to those created under the Collateral Documents, such modification, refinancing, replacement, refunding, renewal or extension shall either be unsecured or secured by Liens on the Collateral junior to those created under the Collateral Documents on lien subordination terms (taken as a whole) at least as favorable to the Lenders as those contained in the documentation governing the Indebtedness (and such junior Liens securing such Indebtedness) being so modified, refinanced, replaced, refunded, renewed or extended, (g) if the Indebtedness being modified, refinanced, replaced, refunded, renewed or extended is unsecured, such modification, refinancing, replacement, refunding, renewal or extension shall be unsecured, and (h) at the time of such modification, refinancing, replacement, refunding, renewal or extension of such Indebtedness, no Default or Event of Default shall have occurred and be continuing or result therefrom.</w:t>
      </w:r>
    </w:p>
    <w:p>
      <w:pPr>
        <w:spacing w:after="0" w:line="1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“Permitted Warrant Transaction</w:t>
      </w:r>
      <w:r>
        <w:rPr>
          <w:rFonts w:ascii="Times New Roman" w:cs="Times New Roman" w:eastAsia="Times New Roman" w:hAnsi="Times New Roman"/>
          <w:sz w:val="17"/>
          <w:szCs w:val="17"/>
          <w:color w:val="auto"/>
        </w:rPr>
        <w:t xml:space="preserve">” 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the Borrower substantially concurrently with any purchase by the Borrower of a related Permitted Bond Hedge Transaction and as may be amended in accordance with its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terms, conditions and covenants of each such call option, warrant or right to purchase transaction are customary for agreements of such type, as determined in good faith by the Borrower.</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natural person, corporation, limited liability company, trust, unincorporated organization, joint venture, association, company, partnership, Governmental Authority or any other legal entity, whether acting in an individual, fiduciary or other capacity.</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has the same meaning as the term “personal data,” “personal information,” “protected health information” or the equivalent under applicable Privacy Laws.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“PIK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2.06(c)(i)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“PIK Period Cash Pay Interest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2.06(c)(i)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“PIK Period Cash Pay Notice</w:t>
      </w:r>
      <w:r>
        <w:rPr>
          <w:rFonts w:ascii="Times New Roman" w:cs="Times New Roman" w:eastAsia="Times New Roman" w:hAnsi="Times New Roman"/>
          <w:sz w:val="17"/>
          <w:szCs w:val="17"/>
          <w:color w:val="auto"/>
        </w:rPr>
        <w:t xml:space="preserve">” means a written notice (which notice shall be irrevocable) from a Responsible Officer of the Borrower to the Administrative Agent (for further distribution to the Lenders) that the Borrower does not intend to exercise its right to pay all interest for an applicable Interest Period in accordance with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2.06(c)(i)</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“PIK Period Paid-in-Kind Interest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2.06(c)(i)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any employee benefit plan within the meaning of Section 3(3) of ERISA (including a Pension Plan), maintained for employees of the Borrower or, in the case of any Pension Plan, any ERISA Affiliate or any such Plan to which the Borrower or, in the case of any Pension Plan, any ERISA Affiliate is required to contribute on behalf of any of its employees.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“Pledge Agreement</w:t>
      </w:r>
      <w:r>
        <w:rPr>
          <w:rFonts w:ascii="Times New Roman" w:cs="Times New Roman" w:eastAsia="Times New Roman" w:hAnsi="Times New Roman"/>
          <w:sz w:val="17"/>
          <w:szCs w:val="17"/>
          <w:color w:val="auto"/>
        </w:rPr>
        <w:t>” means that certain U.S. Pledge Agreement dated as of the Closing Date by and among the Administrative Agent and the U.S. Loan Parties, as amended or modified from time to time in accordance with the terms hereof.</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means, with respect to any Interest Period, the fluctuating rate per annum equal to the highest rate published in the “Money Rates” section of The Wall Street Journal as the “prime rate” then in effect (or, if such source is not available for any reason, such alternative source as determined by the Administrative Agent) on the first Business Day of such Interest Period.</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“Priority Review Voucher</w:t>
      </w:r>
      <w:r>
        <w:rPr>
          <w:rFonts w:ascii="Times New Roman" w:cs="Times New Roman" w:eastAsia="Times New Roman" w:hAnsi="Times New Roman"/>
          <w:sz w:val="17"/>
          <w:szCs w:val="17"/>
          <w:color w:val="auto"/>
        </w:rPr>
        <w:t>” means a voucher issued by the FDA to the sponsor of a rare pediatric disease product application, as such term is defined in 21 U.S.C. § 360ff, which entitles the holder of such voucher to priority review of an NDA after the date of approval of the rare pediatric disease product application.</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means all Laws applicable to the privacy or security of individually identifiable information of any patient or individual, including without limitation HIPAA, the EU General Data Protection Regulation (EU) 2016/679 (GDPR) and equivalent Laws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9" w:name="page70"/>
    <w:bookmarkEnd w:id="69"/>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“Product</w:t>
      </w:r>
      <w:r>
        <w:rPr>
          <w:rFonts w:ascii="Times New Roman" w:cs="Times New Roman" w:eastAsia="Times New Roman" w:hAnsi="Times New Roman"/>
          <w:sz w:val="17"/>
          <w:szCs w:val="17"/>
          <w:color w:val="auto"/>
        </w:rPr>
        <w:t xml:space="preserve">” means (a) Arimoclomol, (b) Olpruva, (c) Azstarys and (d) any current or future service or product developed, manufactured, licensed, marketed, sold, offered for sale, promoted, distributed, tested or commercialized by the Borrower or any Subsidiary (including as part of any Partnered Program), including any such product in development or which may be developed, including those products set forth on </w:t>
      </w:r>
      <w:r>
        <w:rPr>
          <w:rFonts w:ascii="Times New Roman" w:cs="Times New Roman" w:eastAsia="Times New Roman" w:hAnsi="Times New Roman"/>
          <w:sz w:val="17"/>
          <w:szCs w:val="17"/>
          <w:u w:val="single" w:color="auto"/>
          <w:color w:val="auto"/>
        </w:rPr>
        <w:t>Schedule 1.01</w:t>
      </w:r>
      <w:r>
        <w:rPr>
          <w:rFonts w:ascii="Times New Roman" w:cs="Times New Roman" w:eastAsia="Times New Roman" w:hAnsi="Times New Roman"/>
          <w:sz w:val="17"/>
          <w:szCs w:val="17"/>
          <w:color w:val="auto"/>
        </w:rPr>
        <w:t xml:space="preserve"> (as supplemented from time to time in accordance with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Loan Parties shall fail to comply with their obligations under this Agreement to give notice to the Administrative Agent and supplement </w:t>
      </w:r>
      <w:r>
        <w:rPr>
          <w:rFonts w:ascii="Times New Roman" w:cs="Times New Roman" w:eastAsia="Times New Roman" w:hAnsi="Times New Roman"/>
          <w:sz w:val="17"/>
          <w:szCs w:val="17"/>
          <w:u w:val="single" w:color="auto"/>
          <w:color w:val="auto"/>
        </w:rPr>
        <w:t>Schedule 1.01</w:t>
      </w:r>
      <w:r>
        <w:rPr>
          <w:rFonts w:ascii="Times New Roman" w:cs="Times New Roman" w:eastAsia="Times New Roman" w:hAnsi="Times New Roman"/>
          <w:sz w:val="17"/>
          <w:szCs w:val="17"/>
          <w:color w:val="auto"/>
        </w:rPr>
        <w:t xml:space="preserve"> prior to manufacturing, selling, developing, testing or marketing any new Product, any such improperly undisclosed Product shall be deemed to be included in this definition.</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“Product Agreement</w:t>
      </w:r>
      <w:r>
        <w:rPr>
          <w:rFonts w:ascii="Times New Roman" w:cs="Times New Roman" w:eastAsia="Times New Roman" w:hAnsi="Times New Roman"/>
          <w:sz w:val="17"/>
          <w:szCs w:val="17"/>
          <w:color w:val="auto"/>
        </w:rPr>
        <w:t>” means each agreement, license, document, instrument, interest (equity or otherwise) or the like under which one or more parties grants or receives any right, title or interest with respect to any Product Development and Commercialization Activities in respect of one or more Products specified therein or to exclude third parties from engaging in, or otherwise restricting any right, title or interest as to any Product Development and Commercialization Activities with respect thereto, including each contract or agreement with suppliers, manufacturers, pharmaceutical companies, distributors, clinical research organizations, hospitals, group purchasing organizations, wholesalers, pharmacies or any other Person related to any such entity.</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“Product Development and Commercialization Activities</w:t>
      </w:r>
      <w:r>
        <w:rPr>
          <w:rFonts w:ascii="Times New Roman" w:cs="Times New Roman" w:eastAsia="Times New Roman" w:hAnsi="Times New Roman"/>
          <w:sz w:val="17"/>
          <w:szCs w:val="17"/>
          <w:color w:val="auto"/>
        </w:rPr>
        <w:t>” means, with respect to any Product, any combination of research, development, manufacture, import, use, offer for sale, sale, licensing, storage, labeling, marketing, promotion, supply, distribution, testing (including post-marketing studies), packaging, purchasing, securing reimbursement or other commercialization activities, receipt of payment in respect of any of the foregoing, or like activities the purpose of which is to develop or commercially exploit such Product.</w:t>
      </w:r>
    </w:p>
    <w:p>
      <w:pPr>
        <w:spacing w:after="0" w:line="17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u w:val="single" w:color="auto"/>
          <w:color w:val="auto"/>
        </w:rPr>
        <w:t>“Product Distributor</w:t>
      </w:r>
      <w:r>
        <w:rPr>
          <w:rFonts w:ascii="Times New Roman" w:cs="Times New Roman" w:eastAsia="Times New Roman" w:hAnsi="Times New Roman"/>
          <w:sz w:val="17"/>
          <w:szCs w:val="17"/>
          <w:color w:val="auto"/>
        </w:rPr>
        <w:t>” means any Person that, pursuant to a Product Agreement, is engaged in any Product Development and Commercialization Activities.</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“Product-Specific Patents</w:t>
      </w:r>
      <w:r>
        <w:rPr>
          <w:rFonts w:ascii="Times New Roman" w:cs="Times New Roman" w:eastAsia="Times New Roman" w:hAnsi="Times New Roman"/>
          <w:sz w:val="17"/>
          <w:szCs w:val="17"/>
          <w:color w:val="auto"/>
        </w:rPr>
        <w:t>” means, on a Product-by-Product basis, all Patents (a) in which a Loan Party or any Subsidiary has rights, and (b) that relate to, are embodied in, cover or involve the making, using, selling, offering for sale, importing or otherwise commercializing a particular Product.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“Public Borrower Materials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“Qualified Capital Stock</w:t>
      </w:r>
      <w:r>
        <w:rPr>
          <w:rFonts w:ascii="Times New Roman" w:cs="Times New Roman" w:eastAsia="Times New Roman" w:hAnsi="Times New Roman"/>
          <w:sz w:val="17"/>
          <w:szCs w:val="17"/>
          <w:color w:val="auto"/>
        </w:rPr>
        <w:t>” of any Person means any Equity Interests of such Person that are not Disqualified Capital Stock.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“Real Property Security Documents</w:t>
      </w:r>
      <w:r>
        <w:rPr>
          <w:rFonts w:ascii="Times New Roman" w:cs="Times New Roman" w:eastAsia="Times New Roman" w:hAnsi="Times New Roman"/>
          <w:sz w:val="17"/>
          <w:szCs w:val="17"/>
          <w:color w:val="auto"/>
        </w:rPr>
        <w:t>” means with respect to the fee interest of any Loan Party in any real property:</w:t>
      </w:r>
    </w:p>
    <w:p>
      <w:pPr>
        <w:spacing w:after="0" w:line="217" w:lineRule="exact"/>
        <w:rPr>
          <w:sz w:val="20"/>
          <w:szCs w:val="20"/>
          <w:color w:val="auto"/>
        </w:rPr>
      </w:pPr>
    </w:p>
    <w:p>
      <w:pPr>
        <w:ind w:left="1600" w:hanging="359"/>
        <w:spacing w:after="0"/>
        <w:tabs>
          <w:tab w:leader="none" w:pos="16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fully executed and notarized Mortgage encumbering the fee interest of such Loan Party in such real property;</w:t>
      </w:r>
    </w:p>
    <w:p>
      <w:pPr>
        <w:spacing w:after="0" w:line="217"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requested by the Administrative Agent in its sole discretion, maps or plats of an as-built survey of the sites of such real property certified to the Administrative Agent and the title insurance company issuing the policies referred to in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this definition in a manner reasonably satisfactory to each of the Administrative Agent and such title insurance company, dated a date reasonably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National Society of Professional Surveyors, Inc. in 2016 with items 2, 3, 4, 6(b), 7(a), 7(b)(1), 7(c), 8, 9, 10, 11, 13, 14, 16,17, 18 and 19 on Table A thereof completed;</w:t>
      </w:r>
    </w:p>
    <w:p>
      <w:pPr>
        <w:spacing w:after="0" w:line="385"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3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reasonably satisfactory to the Administrative Agent and shall include such endorsements as are requested by the Administrative Agent;</w:t>
      </w:r>
    </w:p>
    <w:p>
      <w:pPr>
        <w:spacing w:after="0" w:line="171" w:lineRule="exact"/>
        <w:rPr>
          <w:rFonts w:ascii="Times New Roman" w:cs="Times New Roman" w:eastAsia="Times New Roman" w:hAnsi="Times New Roman"/>
          <w:sz w:val="17"/>
          <w:szCs w:val="17"/>
          <w:color w:val="auto"/>
        </w:rPr>
      </w:pPr>
    </w:p>
    <w:p>
      <w:pPr>
        <w:ind w:left="620" w:right="20" w:firstLine="621"/>
        <w:spacing w:after="0" w:line="263" w:lineRule="auto"/>
        <w:tabs>
          <w:tab w:leader="none" w:pos="161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 completed “Life-of-Loan” Federal Emergency Management Agency Standard Flood Hazard Determination with respect to such real property (together with a notice about special flood hazard area status and flood disaster assistance duly executed by each Loan Party relating thereto) and</w:t>
      </w:r>
    </w:p>
    <w:p>
      <w:pPr>
        <w:ind w:left="620" w:right="20" w:firstLine="2"/>
        <w:spacing w:after="0" w:line="257" w:lineRule="auto"/>
        <w:tabs>
          <w:tab w:leader="none" w:pos="87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real property is a Flood Hazard Property, (A) notices to (and confirmations of receipt by) such Loan Party as to the existence of a special flood hazard and, if applicable, the unavailability of flood hazard insurance under the National Flood Insurance Program and (B) evidence of applicable flood insurance, if available, in each case in such form, on such terms and in such amounts as required by The National Flood Insurance Reform Act of 1994 or as otherwise required by the Administrative Agent;</w:t>
      </w:r>
    </w:p>
    <w:p>
      <w:pPr>
        <w:spacing w:after="0" w:line="177" w:lineRule="exact"/>
        <w:rPr>
          <w:rFonts w:ascii="Times New Roman" w:cs="Times New Roman" w:eastAsia="Times New Roman" w:hAnsi="Times New Roman"/>
          <w:sz w:val="17"/>
          <w:szCs w:val="17"/>
          <w:color w:val="auto"/>
        </w:rPr>
      </w:pPr>
    </w:p>
    <w:p>
      <w:pPr>
        <w:ind w:left="620" w:right="340" w:firstLine="621"/>
        <w:spacing w:after="0" w:line="287" w:lineRule="auto"/>
        <w:tabs>
          <w:tab w:leader="none" w:pos="160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Administrative Agent in its sole discretion, an environmental assessment report as to such real property, in form and substance and from professional firms reasonably acceptable to the Administrative Agent;</w:t>
      </w:r>
    </w:p>
    <w:p>
      <w:pPr>
        <w:spacing w:after="0" w:line="151" w:lineRule="exact"/>
        <w:rPr>
          <w:rFonts w:ascii="Times New Roman" w:cs="Times New Roman" w:eastAsia="Times New Roman" w:hAnsi="Times New Roman"/>
          <w:sz w:val="17"/>
          <w:szCs w:val="17"/>
          <w:color w:val="auto"/>
        </w:rPr>
      </w:pPr>
    </w:p>
    <w:p>
      <w:pPr>
        <w:ind w:left="620" w:right="80" w:firstLine="621"/>
        <w:spacing w:after="0" w:line="264" w:lineRule="auto"/>
        <w:tabs>
          <w:tab w:leader="none" w:pos="1582"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Administrative Agent in its sole discretion, 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 and</w:t>
      </w:r>
    </w:p>
    <w:p>
      <w:pPr>
        <w:spacing w:after="0" w:line="171" w:lineRule="exact"/>
        <w:rPr>
          <w:rFonts w:ascii="Times New Roman" w:cs="Times New Roman" w:eastAsia="Times New Roman" w:hAnsi="Times New Roman"/>
          <w:sz w:val="17"/>
          <w:szCs w:val="17"/>
          <w:color w:val="auto"/>
        </w:rPr>
      </w:pPr>
    </w:p>
    <w:p>
      <w:pPr>
        <w:ind w:left="620" w:right="60" w:firstLine="621"/>
        <w:spacing w:after="0" w:line="287" w:lineRule="auto"/>
        <w:tabs>
          <w:tab w:leader="none" w:pos="161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Administrative Agent in its sole discretion, an opinion of legal counsel to the Loan Party granting the Mortgage on such real property, addressed to the Administrative Agent and each Lender, in form and substance reasonably acceptable to the Administrative Agent.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“Recipient</w:t>
      </w:r>
      <w:r>
        <w:rPr>
          <w:rFonts w:ascii="Times New Roman" w:cs="Times New Roman" w:eastAsia="Times New Roman" w:hAnsi="Times New Roman"/>
          <w:sz w:val="17"/>
          <w:szCs w:val="17"/>
          <w:color w:val="auto"/>
        </w:rPr>
        <w:t>” means the Administrative Agent or any Lender.</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u w:val="single" w:color="auto"/>
          <w:color w:val="auto"/>
        </w:rPr>
        <w:t>“Redemption Conditions</w:t>
      </w:r>
      <w:r>
        <w:rPr>
          <w:rFonts w:ascii="Times New Roman" w:cs="Times New Roman" w:eastAsia="Times New Roman" w:hAnsi="Times New Roman"/>
          <w:sz w:val="17"/>
          <w:szCs w:val="17"/>
          <w:color w:val="auto"/>
        </w:rPr>
        <w:t>” means, with respect to any payment in cash by the Borrower or any Subsidiary in connection with any Permitted Convertible Bond Indebtedness, including any voluntary or mandatory principal payment, prepayment, cash settlement upon conversion of such Permitted Convertible Bond Indebtedness (in lieu of the issuance of shares of Qualified Capital Stock of the Borrower), repurchase, redemption, sinking fund or like payment (but excluding</w:t>
      </w:r>
    </w:p>
    <w:p>
      <w:pPr>
        <w:jc w:val="both"/>
        <w:ind w:firstLine="3"/>
        <w:spacing w:after="0" w:line="257" w:lineRule="auto"/>
        <w:tabs>
          <w:tab w:leader="none" w:pos="2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of cash interest and (y) cash in lieu of fractional shares) (any such payment, a “</w:t>
      </w:r>
      <w:r>
        <w:rPr>
          <w:rFonts w:ascii="Times New Roman" w:cs="Times New Roman" w:eastAsia="Times New Roman" w:hAnsi="Times New Roman"/>
          <w:sz w:val="17"/>
          <w:szCs w:val="17"/>
          <w:u w:val="single" w:color="auto"/>
          <w:color w:val="auto"/>
        </w:rPr>
        <w:t>Redemption Payment</w:t>
      </w:r>
      <w:r>
        <w:rPr>
          <w:rFonts w:ascii="Times New Roman" w:cs="Times New Roman" w:eastAsia="Times New Roman" w:hAnsi="Times New Roman"/>
          <w:sz w:val="17"/>
          <w:szCs w:val="17"/>
          <w:color w:val="auto"/>
        </w:rPr>
        <w:t>”), each of the following conditions: (a) no Default or Event of Default shall exist at the time of such payment or would result therefrom and (b) immediately prior to such payment and at all times after such payment until the Facility Termination Date, the amount of Unrestricted Cash of the U.S. Loan Parties held in accounts for which the Administrative Agent shall have received an Account Control Agreement shall not be less than one hundred and fifty percent (150%) of the then Outstanding Amount of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625" w:gutter="0" w:footer="0" w:header="0"/>
        </w:sectPr>
      </w:pPr>
    </w:p>
    <w:bookmarkStart w:id="70" w:name="page71"/>
    <w:bookmarkEnd w:id="70"/>
    <w:p>
      <w:pPr>
        <w:ind w:left="620"/>
        <w:spacing w:after="0"/>
        <w:rPr>
          <w:sz w:val="20"/>
          <w:szCs w:val="20"/>
          <w:color w:val="auto"/>
        </w:rPr>
      </w:pPr>
      <w:r>
        <w:rPr>
          <w:rFonts w:ascii="Times New Roman" w:cs="Times New Roman" w:eastAsia="Times New Roman" w:hAnsi="Times New Roman"/>
          <w:sz w:val="17"/>
          <w:szCs w:val="17"/>
          <w:u w:val="single" w:color="auto"/>
          <w:color w:val="auto"/>
        </w:rPr>
        <w:t>“Redemption Payment</w:t>
      </w:r>
      <w:r>
        <w:rPr>
          <w:rFonts w:ascii="Times New Roman" w:cs="Times New Roman" w:eastAsia="Times New Roman" w:hAnsi="Times New Roman"/>
          <w:sz w:val="17"/>
          <w:szCs w:val="17"/>
          <w:color w:val="auto"/>
        </w:rPr>
        <w:t>” has the meaning set forth in the definition of “Redemption Conditions”.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11.06(c)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“Regulatory Agencies</w:t>
      </w:r>
      <w:r>
        <w:rPr>
          <w:rFonts w:ascii="Times New Roman" w:cs="Times New Roman" w:eastAsia="Times New Roman" w:hAnsi="Times New Roman"/>
          <w:sz w:val="17"/>
          <w:szCs w:val="17"/>
          <w:color w:val="auto"/>
        </w:rPr>
        <w:t>” means any Governmental Authority that is concerned with the use, control, safety, efficacy, reliability, manufacturing, marketing, distribution, sale or other Product Development and Commercialization Activities relating to any Product, including CMS, FDA, DEA, EMA and all similar agencies in other jurisdictions, and includes Standard Bodies.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“Regulatory Authorizations</w:t>
      </w:r>
      <w:r>
        <w:rPr>
          <w:rFonts w:ascii="Times New Roman" w:cs="Times New Roman" w:eastAsia="Times New Roman" w:hAnsi="Times New Roman"/>
          <w:sz w:val="17"/>
          <w:szCs w:val="17"/>
          <w:color w:val="auto"/>
        </w:rPr>
        <w:t>” means all approvals, clearances, notifications, authorizations, orders, exemptions, registrations, designations, certifications, licenses and permits granted by or required by any Regulatory Agencies, including all NDAs, BLAs, and ANDAs for the research, testing, development, manufacture, distribution, marketing, storage, transportation, use, import, export, offering for sale, commercialization and sale of the Products.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“Related Indemnified Party</w:t>
      </w:r>
      <w:r>
        <w:rPr>
          <w:rFonts w:ascii="Times New Roman" w:cs="Times New Roman" w:eastAsia="Times New Roman" w:hAnsi="Times New Roman"/>
          <w:sz w:val="17"/>
          <w:szCs w:val="17"/>
          <w:color w:val="auto"/>
        </w:rPr>
        <w:t xml:space="preserve">” means, with respect to any Indemnitee, (a) any Affiliate of such Indemnitee, and (b) the respective officers, directors, employees, agents or representatives of such Indemnitee or any of its Affiliates, in the case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acting at the direction of such Indemnitee or Affiliate;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each reference to an Affiliate in this definition pertains to an Affiliate involved in the negotiation, syndication, administration or enforcement of this Agreement.</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means, with respect to any Person, such Person’s Affiliates and the partners, directors, officers, employees, agents, trustees, administrators, managers, advisors, sub-advisors and representatives of such Person and of such Person’s Affiliates.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“Reportable Event</w:t>
      </w:r>
      <w:r>
        <w:rPr>
          <w:rFonts w:ascii="Times New Roman" w:cs="Times New Roman" w:eastAsia="Times New Roman" w:hAnsi="Times New Roman"/>
          <w:sz w:val="17"/>
          <w:szCs w:val="17"/>
          <w:color w:val="auto"/>
        </w:rPr>
        <w:t>” means any of the events set forth in Section 4043(c) of ERISA, other than events for which the thirty-day notice period has been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waived.</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xml:space="preserve">” means, at any time, Lenders having Total Credit Exposures representing more than fifty percent (50%) of the Total Credit Exposures of all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so long as the HCRX Lenders collectively hold at least twenty-five percent (25%) of the Total Credit Exposures of all Lenders hereunder, “Required Lenders” shall include each HCRX Lender and (b) so long as the Perceptive Lenders collectively hold at least twenty-five percent (25%) of the Total Credit Exposures of all Lenders hereunder, “Required Lenders” shall include each Perceptive Lender. The Total Credit Exposure of any Defaulting Lender shall be disregarded in determining Required Lenders at any time.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“Responsible Financial Officer</w:t>
      </w:r>
      <w:r>
        <w:rPr>
          <w:rFonts w:ascii="Times New Roman" w:cs="Times New Roman" w:eastAsia="Times New Roman" w:hAnsi="Times New Roman"/>
          <w:sz w:val="17"/>
          <w:szCs w:val="17"/>
          <w:color w:val="auto"/>
        </w:rPr>
        <w:t>” means the chief executive officer, president, chief financial officer or treasurer of a Loan Party. Any document delivered hereunder that is signed by a Responsible Financial Officer of a Loan Party shall be conclusively presumed to have been authorized by all necessary corporate, partnership and/or other action on the part of such Loan Party and such Responsible Financial Officer shall be conclusively presumed to have acted on behalf of such Loan Party.</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“Responsible Officer</w:t>
      </w:r>
      <w:r>
        <w:rPr>
          <w:rFonts w:ascii="Times New Roman" w:cs="Times New Roman" w:eastAsia="Times New Roman" w:hAnsi="Times New Roman"/>
          <w:sz w:val="17"/>
          <w:szCs w:val="17"/>
          <w:color w:val="auto"/>
        </w:rPr>
        <w:t xml:space="preserve">” means the chief executive officer, president, chief financial officer, chief medical officer, chief scientific officer, general counsel, treasurer, assistant treasurer or controller of a Loan Party and, solely for purposes of the delivery of certificates pursuant to </w:t>
      </w:r>
      <w:r>
        <w:rPr>
          <w:rFonts w:ascii="Times New Roman" w:cs="Times New Roman" w:eastAsia="Times New Roman" w:hAnsi="Times New Roman"/>
          <w:sz w:val="17"/>
          <w:szCs w:val="17"/>
          <w:u w:val="single" w:color="auto"/>
          <w:color w:val="auto"/>
        </w:rPr>
        <w:t>Sections 5.01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7.12(b)</w:t>
      </w:r>
      <w:r>
        <w:rPr>
          <w:rFonts w:ascii="Times New Roman" w:cs="Times New Roman" w:eastAsia="Times New Roman" w:hAnsi="Times New Roman"/>
          <w:sz w:val="17"/>
          <w:szCs w:val="17"/>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“Restricted</w:t>
      </w:r>
      <w:r>
        <w:rPr>
          <w:rFonts w:ascii="Times New Roman" w:cs="Times New Roman" w:eastAsia="Times New Roman" w:hAnsi="Times New Roman"/>
          <w:sz w:val="17"/>
          <w:szCs w:val="17"/>
          <w:color w:val="auto"/>
        </w:rPr>
        <w:t>” means, when referring to cash or Cash Equivalents of the Loan Parties, that such cash or Cash Equivalents (a) appear (or would be required to appear) as “restricted” on a consolidated balance sheet of the Borrower and its Subsidiaries as determined in accordance with GAAP (other than as a result of the Liens of the Administrative Agent for the benefit of the Secured Parties) or (b) are subject to any Lien in favor of any Person (other than bankers’ liens and rights of setoff) other than the Administrative Agent for the benefit of the Secured Parties.</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“Restricted Payment</w:t>
      </w:r>
      <w:r>
        <w:rPr>
          <w:rFonts w:ascii="Times New Roman" w:cs="Times New Roman" w:eastAsia="Times New Roman" w:hAnsi="Times New Roman"/>
          <w:sz w:val="17"/>
          <w:szCs w:val="17"/>
          <w:color w:val="auto"/>
        </w:rPr>
        <w:t>” means (a) any dividend or other distribution, direct or indirect, on account of any shares (or equivalent) of any class of Equity Interests of any Loan Party or any Subsidiary, now or hereafter outstanding, (b) any redemption, retirement, sinking fund or similar payment, purchase or other acquisition for value, direct or indirect, of any shares (or equivalent) of any class of Equity Interests of any Loan Party or any Subsidiary, now or hereafter outstanding, (c) any payment made to retire, or to obtain the surrender of, any outstanding warrants, options or other rights to acquire shares of any class of Equity Interests of any Loan Party or any Subsidiary, now or hereafter outstanding, (d) any payment made in cash in connection with the settlement of a Permitted Warrant Transaction and (e) any payment made in cash upon the conversion of, exercise of, repurchase of, redemption of, settlement or early termination or cancellation of, other performance of obligations under, or otherwise with respect to, any Convertible Bond Indebtedness (other than any interest thereon and any fees due thereunder).</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“S&amp;P</w:t>
      </w:r>
      <w:r>
        <w:rPr>
          <w:rFonts w:ascii="Times New Roman" w:cs="Times New Roman" w:eastAsia="Times New Roman" w:hAnsi="Times New Roman"/>
          <w:sz w:val="17"/>
          <w:szCs w:val="17"/>
          <w:color w:val="auto"/>
        </w:rPr>
        <w:t>” means Standard &amp; Poor’s Financial Services LLC, a subsidiary of S&amp;P Global, Inc., and any successor thereto.</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“Safety Notice</w:t>
      </w:r>
      <w:r>
        <w:rPr>
          <w:rFonts w:ascii="Times New Roman" w:cs="Times New Roman" w:eastAsia="Times New Roman" w:hAnsi="Times New Roman"/>
          <w:sz w:val="17"/>
          <w:szCs w:val="17"/>
          <w:color w:val="auto"/>
        </w:rPr>
        <w:t>” means any product recall, field notification, safety alert, correction, market withdrawal, warning, “dear doctor” letter, investigator notice, “serious adverse event” report, marketing suspension, removal, label change request or other similar notices relating to an alleged lack of safety or efficacy of any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1" w:name="page72"/>
    <w:bookmarkEnd w:id="71"/>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“Sale and Leaseback Transaction</w:t>
      </w:r>
      <w:r>
        <w:rPr>
          <w:rFonts w:ascii="Times New Roman" w:cs="Times New Roman" w:eastAsia="Times New Roman" w:hAnsi="Times New Roman"/>
          <w:sz w:val="17"/>
          <w:szCs w:val="17"/>
          <w:color w:val="auto"/>
        </w:rPr>
        <w:t>” means, with respect to any Loan Party or any Subsidiary, any arrangement, directly or indirectly, with any Person whereby the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any economic or trade sanctions administered or enforced by the United States government (including, without limitation, OFAC), the United Nations Security Council, the European Union, any European Union Member State, or His Majesty’s Treasury (“</w:t>
      </w:r>
      <w:r>
        <w:rPr>
          <w:rFonts w:ascii="Times New Roman" w:cs="Times New Roman" w:eastAsia="Times New Roman" w:hAnsi="Times New Roman"/>
          <w:sz w:val="17"/>
          <w:szCs w:val="17"/>
          <w:u w:val="single" w:color="auto"/>
          <w:color w:val="auto"/>
        </w:rPr>
        <w:t>HMT</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Securities and Exchange Commission, or any Governmental Authority succeeding to any of its principal functions.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 S-3 Eligibility Requirements</w:t>
      </w:r>
      <w:r>
        <w:rPr>
          <w:rFonts w:ascii="Times New Roman" w:cs="Times New Roman" w:eastAsia="Times New Roman" w:hAnsi="Times New Roman"/>
          <w:sz w:val="17"/>
          <w:szCs w:val="17"/>
          <w:color w:val="auto"/>
        </w:rPr>
        <w:t>” means the Registrant Requirements (as defined in Form S-3 of the SEC) listed in Section I.A of Form S-3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“Secured Parties</w:t>
      </w:r>
      <w:r>
        <w:rPr>
          <w:rFonts w:ascii="Times New Roman" w:cs="Times New Roman" w:eastAsia="Times New Roman" w:hAnsi="Times New Roman"/>
          <w:sz w:val="17"/>
          <w:szCs w:val="17"/>
          <w:color w:val="auto"/>
        </w:rPr>
        <w:t xml:space="preserve">” means, collectively, the Administrative Agent, the Lenders, the Indemnitees and each co-agent or sub-agent appointed by the Administrative Agent from time to time pursuant to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“Securitization Transaction</w:t>
      </w:r>
      <w:r>
        <w:rPr>
          <w:rFonts w:ascii="Times New Roman" w:cs="Times New Roman" w:eastAsia="Times New Roman" w:hAnsi="Times New Roman"/>
          <w:sz w:val="17"/>
          <w:szCs w:val="17"/>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“Security Agreement</w:t>
      </w:r>
      <w:r>
        <w:rPr>
          <w:rFonts w:ascii="Times New Roman" w:cs="Times New Roman" w:eastAsia="Times New Roman" w:hAnsi="Times New Roman"/>
          <w:sz w:val="17"/>
          <w:szCs w:val="17"/>
          <w:color w:val="auto"/>
        </w:rPr>
        <w:t>” means the U.S. Security Agreement dated as of the Closing Date by and among the Administrative Agent and the U.S. Loan Parties, as amended or modified from time to time in accordance with the terms hereof.</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the Secured Overnight Financing Rate as administered by the Federal Reserve Bank of New York (or a successor administrator).</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“SOFR Unavailability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 (e) 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“Standard Bodies</w:t>
      </w:r>
      <w:r>
        <w:rPr>
          <w:rFonts w:ascii="Times New Roman" w:cs="Times New Roman" w:eastAsia="Times New Roman" w:hAnsi="Times New Roman"/>
          <w:sz w:val="17"/>
          <w:szCs w:val="17"/>
          <w:color w:val="auto"/>
        </w:rPr>
        <w:t>” means any of the organizations that create, sponsor or maintain safety, quality or other standards, including ISO, ANSI, CEN and SCC and the like.</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u w:val="single" w:color="auto"/>
          <w:color w:val="auto"/>
        </w:rPr>
        <w:t>“Swap Contract</w:t>
      </w:r>
      <w:r>
        <w:rPr>
          <w:rFonts w:ascii="Times New Roman" w:cs="Times New Roman" w:eastAsia="Times New Roman" w:hAnsi="Times New Roman"/>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7"/>
          <w:szCs w:val="17"/>
          <w:u w:val="single" w:color="auto"/>
          <w:color w:val="auto"/>
        </w:rPr>
        <w:t>Master Agreement</w:t>
      </w:r>
      <w:r>
        <w:rPr>
          <w:rFonts w:ascii="Times New Roman" w:cs="Times New Roman" w:eastAsia="Times New Roman" w:hAnsi="Times New Roman"/>
          <w:sz w:val="17"/>
          <w:szCs w:val="17"/>
          <w:color w:val="auto"/>
        </w:rPr>
        <w:t xml:space="preserve">”), including any such obligations or liabilities under any Master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“Swap Contract” shall not include any Permitted Bond Hedge Transaction or any Permitted Warrant Transaction.</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u w:val="single" w:color="auto"/>
          <w:color w:val="auto"/>
        </w:rPr>
        <w:t>“Swap Termination Value</w:t>
      </w:r>
      <w:r>
        <w:rPr>
          <w:rFonts w:ascii="Times New Roman" w:cs="Times New Roman" w:eastAsia="Times New Roman" w:hAnsi="Times New Roman"/>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“Synthetic Lease</w:t>
      </w:r>
      <w:r>
        <w:rPr>
          <w:rFonts w:ascii="Times New Roman" w:cs="Times New Roman" w:eastAsia="Times New Roman" w:hAnsi="Times New Roman"/>
          <w:sz w:val="17"/>
          <w:szCs w:val="17"/>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means any device or combination thereof that contains data and Personal Information, including any physical and electronic data information storage services and systems and in particular those that use, access, store or disclose Personal Information.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7"/>
          <w:szCs w:val="17"/>
          <w:u w:val="single" w:color="auto"/>
          <w:color w:val="auto"/>
        </w:rPr>
        <w:t>“Term A Borrowing</w:t>
      </w:r>
      <w:r>
        <w:rPr>
          <w:rFonts w:ascii="Times New Roman" w:cs="Times New Roman" w:eastAsia="Times New Roman" w:hAnsi="Times New Roman"/>
          <w:sz w:val="17"/>
          <w:szCs w:val="17"/>
          <w:color w:val="auto"/>
        </w:rPr>
        <w:t xml:space="preserve">” means a borrowing consisting of simultaneous Term A Loans made by each of the Term A Lenders pursuant to </w:t>
      </w:r>
      <w:r>
        <w:rPr>
          <w:rFonts w:ascii="Times New Roman" w:cs="Times New Roman" w:eastAsia="Times New Roman" w:hAnsi="Times New Roman"/>
          <w:sz w:val="17"/>
          <w:szCs w:val="17"/>
          <w:u w:val="single" w:color="auto"/>
          <w:color w:val="auto"/>
        </w:rPr>
        <w:t>Section 2.01(a)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A Commitment</w:t>
      </w:r>
      <w:r>
        <w:rPr>
          <w:rFonts w:ascii="Times New Roman" w:cs="Times New Roman" w:eastAsia="Times New Roman" w:hAnsi="Times New Roman"/>
          <w:sz w:val="17"/>
          <w:szCs w:val="17"/>
          <w:color w:val="auto"/>
        </w:rPr>
        <w:t xml:space="preserve">” means, as to each Term A Lender, its obligation to make a Term A Loan to the Borrower pursuant to </w:t>
      </w:r>
      <w:r>
        <w:rPr>
          <w:rFonts w:ascii="Times New Roman" w:cs="Times New Roman" w:eastAsia="Times New Roman" w:hAnsi="Times New Roman"/>
          <w:sz w:val="17"/>
          <w:szCs w:val="17"/>
          <w:u w:val="single" w:color="auto"/>
          <w:color w:val="auto"/>
        </w:rPr>
        <w:t>Section 2.01(a)</w:t>
      </w:r>
      <w:r>
        <w:rPr>
          <w:rFonts w:ascii="Times New Roman" w:cs="Times New Roman" w:eastAsia="Times New Roman" w:hAnsi="Times New Roman"/>
          <w:sz w:val="17"/>
          <w:szCs w:val="17"/>
          <w:color w:val="auto"/>
        </w:rPr>
        <w:t xml:space="preserve">, in the principal amount set forth opposite such Lender’s name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The aggregate principal amount of the Term A Commitments of all of the Term A Lenders as in effect on the Closing Date is SIXTY MILLION DOLLARS ($60,000,000).</w:t>
      </w:r>
    </w:p>
    <w:p>
      <w:pPr>
        <w:spacing w:after="0" w:line="16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“Term A Facility</w:t>
      </w:r>
      <w:r>
        <w:rPr>
          <w:rFonts w:ascii="Times New Roman" w:cs="Times New Roman" w:eastAsia="Times New Roman" w:hAnsi="Times New Roman"/>
          <w:sz w:val="17"/>
          <w:szCs w:val="17"/>
          <w:color w:val="auto"/>
        </w:rPr>
        <w:t>” means, at any time, (a) on or prior to the Closing Date, the aggregate amount of the Term A Commitments at such time and (b) thereafter, the aggregate Outstanding Amount of the Term A Loans of all Term A Lenders outstanding at such time.</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“Term A Lender</w:t>
      </w:r>
      <w:r>
        <w:rPr>
          <w:rFonts w:ascii="Times New Roman" w:cs="Times New Roman" w:eastAsia="Times New Roman" w:hAnsi="Times New Roman"/>
          <w:sz w:val="17"/>
          <w:szCs w:val="17"/>
          <w:color w:val="auto"/>
        </w:rPr>
        <w:t>” means (a) at any time on or prior to the Closing Date, any Lender that has a Term A Commitment at such time and (b) at any time after the Closing Date, any Lender that holds one or more Term A Loans at such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A Loan</w:t>
      </w:r>
      <w:r>
        <w:rPr>
          <w:rFonts w:ascii="Times New Roman" w:cs="Times New Roman" w:eastAsia="Times New Roman" w:hAnsi="Times New Roman"/>
          <w:sz w:val="17"/>
          <w:szCs w:val="17"/>
          <w:color w:val="auto"/>
        </w:rPr>
        <w:t>” means an advance made by any Term A Lender under the Term A Facility.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A Note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2.09</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B Availability Period</w:t>
      </w:r>
      <w:r>
        <w:rPr>
          <w:rFonts w:ascii="Times New Roman" w:cs="Times New Roman" w:eastAsia="Times New Roman" w:hAnsi="Times New Roman"/>
          <w:sz w:val="17"/>
          <w:szCs w:val="17"/>
          <w:color w:val="auto"/>
        </w:rPr>
        <w:t xml:space="preserve">” means the period from and after the Closing Date to the earliest of (a) the eighteen (18) month anniversary of the Closing Date, (b) the date of termination of the Term B Commitments pursuant to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(c) the date of termination of the Term B Commitments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and (d) the date upon which the Loans are prepaid in full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B Borrowing</w:t>
      </w:r>
      <w:r>
        <w:rPr>
          <w:rFonts w:ascii="Times New Roman" w:cs="Times New Roman" w:eastAsia="Times New Roman" w:hAnsi="Times New Roman"/>
          <w:sz w:val="17"/>
          <w:szCs w:val="17"/>
          <w:color w:val="auto"/>
        </w:rPr>
        <w:t xml:space="preserve">” means a borrowing consisting of simultaneous Term B Loans made by each of the Term B Lenders pursuant to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B Borrowing Date</w:t>
      </w:r>
      <w:r>
        <w:rPr>
          <w:rFonts w:ascii="Times New Roman" w:cs="Times New Roman" w:eastAsia="Times New Roman" w:hAnsi="Times New Roman"/>
          <w:sz w:val="17"/>
          <w:szCs w:val="17"/>
          <w:color w:val="auto"/>
        </w:rPr>
        <w:t xml:space="preserve">” means any date on which a Term B Borrowing shall be made pursuant to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B Commitment</w:t>
      </w:r>
      <w:r>
        <w:rPr>
          <w:rFonts w:ascii="Times New Roman" w:cs="Times New Roman" w:eastAsia="Times New Roman" w:hAnsi="Times New Roman"/>
          <w:sz w:val="17"/>
          <w:szCs w:val="17"/>
          <w:color w:val="auto"/>
        </w:rPr>
        <w:t xml:space="preserve">” means, as to each Lender, its obligation to make a Term B Loan to the Borrower pursuant to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 xml:space="preserve">, in the principal amount set forth opposite such Lender’s name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The aggregate principal amount of the Term B Commitments of all of the Lenders as in effect on the Closing Date is TWENTY MILLION DOLLARS ($20,000,000).</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B Facility</w:t>
      </w:r>
      <w:r>
        <w:rPr>
          <w:rFonts w:ascii="Times New Roman" w:cs="Times New Roman" w:eastAsia="Times New Roman" w:hAnsi="Times New Roman"/>
          <w:sz w:val="17"/>
          <w:szCs w:val="17"/>
          <w:color w:val="auto"/>
        </w:rPr>
        <w:t xml:space="preserve">” means, at any time, (a) during the Term B Availability Period, the aggregate amount of the Term B Commitments at such time,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aggregate Outstanding Amount of the Term B Loans of all Term B Lenders outstanding at such time and (b) thereafter, the aggregate Outstanding Amount of the Term B Loans of all Term B Lenders outstanding at such time.</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“Term B Lender</w:t>
      </w:r>
      <w:r>
        <w:rPr>
          <w:rFonts w:ascii="Times New Roman" w:cs="Times New Roman" w:eastAsia="Times New Roman" w:hAnsi="Times New Roman"/>
          <w:sz w:val="17"/>
          <w:szCs w:val="17"/>
          <w:color w:val="auto"/>
        </w:rPr>
        <w:t>” means (a) at any time during the Term B Availability Period, any Lender that has a Term B Commitment at such time or holds one or more Term B Loans at such time and (b) at any time thereafter, any Lender that holds one or more Term B Loans at such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B Loan</w:t>
      </w:r>
      <w:r>
        <w:rPr>
          <w:rFonts w:ascii="Times New Roman" w:cs="Times New Roman" w:eastAsia="Times New Roman" w:hAnsi="Times New Roman"/>
          <w:sz w:val="17"/>
          <w:szCs w:val="17"/>
          <w:color w:val="auto"/>
        </w:rPr>
        <w:t>” means an advance made by any Term B Lender under the Term B Facility.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B Note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2.09</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C Availability Period</w:t>
      </w:r>
      <w:r>
        <w:rPr>
          <w:rFonts w:ascii="Times New Roman" w:cs="Times New Roman" w:eastAsia="Times New Roman" w:hAnsi="Times New Roman"/>
          <w:sz w:val="17"/>
          <w:szCs w:val="17"/>
          <w:color w:val="auto"/>
        </w:rPr>
        <w:t xml:space="preserve">” means the period from and after the Closing Date to the earliest of (a) December 31, 2024, (b) the date of termination of the Term C Commitments pursuant to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(c) the date of termination of the Term C Commitments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and (d) the date upon which the Loans are prepaid in full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C Borrowing</w:t>
      </w:r>
      <w:r>
        <w:rPr>
          <w:rFonts w:ascii="Times New Roman" w:cs="Times New Roman" w:eastAsia="Times New Roman" w:hAnsi="Times New Roman"/>
          <w:sz w:val="17"/>
          <w:szCs w:val="17"/>
          <w:color w:val="auto"/>
        </w:rPr>
        <w:t xml:space="preserve">” means a borrowing consisting of simultaneous Term C Loans made by each of the Term C Lenders pursuant to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C Borrowing Date</w:t>
      </w:r>
      <w:r>
        <w:rPr>
          <w:rFonts w:ascii="Times New Roman" w:cs="Times New Roman" w:eastAsia="Times New Roman" w:hAnsi="Times New Roman"/>
          <w:sz w:val="17"/>
          <w:szCs w:val="17"/>
          <w:color w:val="auto"/>
        </w:rPr>
        <w:t xml:space="preserve">” means the date that the Term C Borrowing shall be made pursuant to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C Commitment</w:t>
      </w:r>
      <w:r>
        <w:rPr>
          <w:rFonts w:ascii="Times New Roman" w:cs="Times New Roman" w:eastAsia="Times New Roman" w:hAnsi="Times New Roman"/>
          <w:sz w:val="17"/>
          <w:szCs w:val="17"/>
          <w:color w:val="auto"/>
        </w:rPr>
        <w:t xml:space="preserve">” means, as to each Lender, its obligation to make a Term C Loan to the Borrower pursuant to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 xml:space="preserve">, in the principal amount set forth opposite such Lender’s name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The aggregate principal amount of the Term C Commitments of all of the Lenders as in effect on the Closing Date is TWENTY MILLION DOLLARS ($20,000,000).</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“Term C Draw Condition</w:t>
      </w:r>
      <w:r>
        <w:rPr>
          <w:rFonts w:ascii="Times New Roman" w:cs="Times New Roman" w:eastAsia="Times New Roman" w:hAnsi="Times New Roman"/>
          <w:sz w:val="17"/>
          <w:szCs w:val="17"/>
          <w:color w:val="auto"/>
        </w:rPr>
        <w:t>” means the conditions that (a) the Arimoclomol FDA Approval shall have occurred (and the Administrative Agent shall have received the Arimoclomol FDA Approval Certificate) and (b) the Borrower shall have delivered to the Administrative Agent (for further distribution to each Lender) a certificate of a Responsible Officer of the Borrower certifying that neither the Borrower nor any Subsidiary shall have received on or prior to the date of the Term C Borrowing any correspondence that could reasonably be expected to result in the revocation or withdrawal of the Arimoclomol FDA Approval.</w:t>
      </w:r>
    </w:p>
    <w:p>
      <w:pPr>
        <w:spacing w:after="0" w:line="17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“Term C Facility</w:t>
      </w:r>
      <w:r>
        <w:rPr>
          <w:rFonts w:ascii="Times New Roman" w:cs="Times New Roman" w:eastAsia="Times New Roman" w:hAnsi="Times New Roman"/>
          <w:sz w:val="17"/>
          <w:szCs w:val="17"/>
          <w:color w:val="auto"/>
        </w:rPr>
        <w:t>” means, at any time, (a) during the Term C Availability Period, the aggregate amount of the Term C Commitments at such time and (b) thereafter, the aggregate Outstanding Amount of the Term C Loans of all Term C Lenders outstanding at such time.</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“Term C Lender</w:t>
      </w:r>
      <w:r>
        <w:rPr>
          <w:rFonts w:ascii="Times New Roman" w:cs="Times New Roman" w:eastAsia="Times New Roman" w:hAnsi="Times New Roman"/>
          <w:sz w:val="17"/>
          <w:szCs w:val="17"/>
          <w:color w:val="auto"/>
        </w:rPr>
        <w:t>” means (a) at any time during the Term C Availability Period, any Lender that has a Term C Commitment at such time and (b) at any time thereafter, any Lender that holds one or more Term C Loans at such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C Loan</w:t>
      </w:r>
      <w:r>
        <w:rPr>
          <w:rFonts w:ascii="Times New Roman" w:cs="Times New Roman" w:eastAsia="Times New Roman" w:hAnsi="Times New Roman"/>
          <w:sz w:val="17"/>
          <w:szCs w:val="17"/>
          <w:color w:val="auto"/>
        </w:rPr>
        <w:t>” means an advance made by any Term C Lender under the Term C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u w:val="single" w:color="auto"/>
          <w:color w:val="auto"/>
        </w:rPr>
        <w:t>“Term C Note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2.09</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“Term Facility</w:t>
      </w:r>
      <w:r>
        <w:rPr>
          <w:rFonts w:ascii="Times New Roman" w:cs="Times New Roman" w:eastAsia="Times New Roman" w:hAnsi="Times New Roman"/>
          <w:sz w:val="17"/>
          <w:szCs w:val="17"/>
          <w:color w:val="auto"/>
        </w:rPr>
        <w:t>” means the Term A Facility, the Term B Facility or the Term C Facility, as the context may require.</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“Term SOFR Screen Rate</w:t>
      </w:r>
      <w:r>
        <w:rPr>
          <w:rFonts w:ascii="Times New Roman" w:cs="Times New Roman" w:eastAsia="Times New Roman" w:hAnsi="Times New Roman"/>
          <w:sz w:val="17"/>
          <w:szCs w:val="17"/>
          <w:color w:val="auto"/>
        </w:rPr>
        <w:t>” means the forward-looking SOFR term rate administered by CME (or any successor administrator reasonably satisfactory to the Administrative Agent) and published on the applicable Reuters screen page (or such other commercially available source providing such quotations as may be reasonably designated by the Administrative Agent from time to time).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“Third Party</w:t>
      </w:r>
      <w:r>
        <w:rPr>
          <w:rFonts w:ascii="Times New Roman" w:cs="Times New Roman" w:eastAsia="Times New Roman" w:hAnsi="Times New Roman"/>
          <w:sz w:val="17"/>
          <w:szCs w:val="17"/>
          <w:color w:val="auto"/>
        </w:rPr>
        <w:t>” means any Person other than the Borrower or any Subsidiary or Affiliate thereof.</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“Three-Month Term SOFR</w:t>
      </w:r>
      <w:r>
        <w:rPr>
          <w:rFonts w:ascii="Times New Roman" w:cs="Times New Roman" w:eastAsia="Times New Roman" w:hAnsi="Times New Roman"/>
          <w:sz w:val="17"/>
          <w:szCs w:val="17"/>
          <w:color w:val="auto"/>
        </w:rPr>
        <w:t>” means, with respect to any Interest Period, a rate per annum equal to the greater of (a) four percent (4.00%) per annum and</w:t>
      </w:r>
    </w:p>
    <w:p>
      <w:pPr>
        <w:spacing w:after="0" w:line="28" w:lineRule="exact"/>
        <w:rPr>
          <w:sz w:val="20"/>
          <w:szCs w:val="20"/>
          <w:color w:val="auto"/>
        </w:rPr>
      </w:pPr>
    </w:p>
    <w:p>
      <w:pPr>
        <w:jc w:val="both"/>
        <w:ind w:firstLine="3"/>
        <w:spacing w:after="0" w:line="259" w:lineRule="auto"/>
        <w:tabs>
          <w:tab w:leader="none" w:pos="24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three-month Term SOFR Screen Rate, two (2) U.S. Government Securities Business Days prior to the first day of such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rate is not published prior to 11:00 a.m. on such determination date then “Three-Month Term SOFR” for purposes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means the three month Term SOFR Screen Rate on the first U.S. Government Securities Business Day immediately prior thereto.</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“Threshold Amount</w:t>
      </w:r>
      <w:r>
        <w:rPr>
          <w:rFonts w:ascii="Times New Roman" w:cs="Times New Roman" w:eastAsia="Times New Roman" w:hAnsi="Times New Roman"/>
          <w:sz w:val="17"/>
          <w:szCs w:val="17"/>
          <w:color w:val="auto"/>
        </w:rPr>
        <w:t>” means $2,500,000.</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“Total Credit Exposure</w:t>
      </w:r>
      <w:r>
        <w:rPr>
          <w:rFonts w:ascii="Times New Roman" w:cs="Times New Roman" w:eastAsia="Times New Roman" w:hAnsi="Times New Roman"/>
          <w:sz w:val="17"/>
          <w:szCs w:val="17"/>
          <w:color w:val="auto"/>
        </w:rPr>
        <w:t>” means, as to any Lender at any time, the unused Commitments of such Lender and the Outstanding Amount of all Loans of such Lender at such time.</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means any statutory or common law trademark, service mark, trade name, logo, symbol, trade dress, domain name, corporate name or other indicator of source or origin or identifies the goods and services of one provider from another, and all applications and registrations therefor, together with all of the goodwill associated therewith.</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regulations, including temporary regulations, promulgated by the United States Treasury Department under the Internal Revenue Code, as such regulations may be amended from time to time (including the corresponding provisions of any future regulations).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“UK Financial Institution</w:t>
      </w:r>
      <w:r>
        <w:rPr>
          <w:rFonts w:ascii="Times New Roman" w:cs="Times New Roman" w:eastAsia="Times New Roman" w:hAnsi="Times New Roman"/>
          <w:sz w:val="17"/>
          <w:szCs w:val="17"/>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“UK Resolution Authority</w:t>
      </w:r>
      <w:r>
        <w:rPr>
          <w:rFonts w:ascii="Times New Roman" w:cs="Times New Roman" w:eastAsia="Times New Roman" w:hAnsi="Times New Roman"/>
          <w:sz w:val="17"/>
          <w:szCs w:val="17"/>
          <w:color w:val="auto"/>
        </w:rPr>
        <w:t>” means the Bank of England or any other public administrative authority having responsibility for the resolution of any UK Financial Institution.</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“Uniform Commercial Code</w:t>
      </w:r>
      <w:r>
        <w:rPr>
          <w:rFonts w:ascii="Times New Roman" w:cs="Times New Roman" w:eastAsia="Times New Roman" w:hAnsi="Times New Roman"/>
          <w:sz w:val="17"/>
          <w:szCs w:val="17"/>
          <w:color w:val="auto"/>
        </w:rPr>
        <w:t xml:space="preserve">” means the Uniform Commercial Code as in effect in the State of New York;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7"/>
          <w:szCs w:val="17"/>
          <w:u w:val="single" w:color="auto"/>
          <w:color w:val="auto"/>
        </w:rPr>
        <w:t>Uniform Commercial Code</w:t>
      </w:r>
      <w:r>
        <w:rPr>
          <w:rFonts w:ascii="Times New Roman" w:cs="Times New Roman" w:eastAsia="Times New Roman" w:hAnsi="Times New Roman"/>
          <w:sz w:val="17"/>
          <w:szCs w:val="17"/>
          <w:color w:val="auto"/>
        </w:rPr>
        <w:t>” means the Uniform Commercial Code as in effect from time to time in such other jurisdiction for purposes of the provisions hereof or of the other Loan Documents relating to such perfection, effect of perfection or non-perfection or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4" w:name="page75"/>
    <w:bookmarkEnd w:id="74"/>
    <w:p>
      <w:pPr>
        <w:ind w:left="620"/>
        <w:spacing w:after="0"/>
        <w:rPr>
          <w:sz w:val="20"/>
          <w:szCs w:val="20"/>
          <w:color w:val="auto"/>
        </w:rPr>
      </w:pP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mean the United States of America.</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“Unrestricted Cash</w:t>
      </w:r>
      <w:r>
        <w:rPr>
          <w:rFonts w:ascii="Times New Roman" w:cs="Times New Roman" w:eastAsia="Times New Roman" w:hAnsi="Times New Roman"/>
          <w:sz w:val="17"/>
          <w:szCs w:val="17"/>
          <w:color w:val="auto"/>
        </w:rPr>
        <w:t>” means, at any time, cash and Cash Equivalents of the Loan Parties (without duplication) that are not Restricted at such time.</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“U.S. Government Securities Business Day</w:t>
      </w:r>
      <w:r>
        <w:rPr>
          <w:rFonts w:ascii="Times New Roman" w:cs="Times New Roman" w:eastAsia="Times New Roman" w:hAnsi="Times New Roman"/>
          <w:sz w:val="17"/>
          <w:szCs w:val="17"/>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“U.S. Loan Party</w:t>
      </w:r>
      <w:r>
        <w:rPr>
          <w:rFonts w:ascii="Times New Roman" w:cs="Times New Roman" w:eastAsia="Times New Roman" w:hAnsi="Times New Roman"/>
          <w:sz w:val="17"/>
          <w:szCs w:val="17"/>
          <w:color w:val="auto"/>
        </w:rPr>
        <w:t>” means the Borrower and each Guarantor that is a Domestic Subsidiary.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“U.S. Person</w:t>
      </w:r>
      <w:r>
        <w:rPr>
          <w:rFonts w:ascii="Times New Roman" w:cs="Times New Roman" w:eastAsia="Times New Roman" w:hAnsi="Times New Roman"/>
          <w:sz w:val="17"/>
          <w:szCs w:val="17"/>
          <w:color w:val="auto"/>
        </w:rPr>
        <w:t>” means any “United States person” as defined in Section 7701(a)(30) of the Internal Revenue Code.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3.01(c)(ii)(B)(C)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“Voting Stock</w:t>
      </w:r>
      <w:r>
        <w:rPr>
          <w:rFonts w:ascii="Times New Roman" w:cs="Times New Roman" w:eastAsia="Times New Roman" w:hAnsi="Times New Roman"/>
          <w:sz w:val="17"/>
          <w:szCs w:val="17"/>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“Wholly Owned Subsidiary</w:t>
      </w:r>
      <w:r>
        <w:rPr>
          <w:rFonts w:ascii="Times New Roman" w:cs="Times New Roman" w:eastAsia="Times New Roman" w:hAnsi="Times New Roman"/>
          <w:sz w:val="17"/>
          <w:szCs w:val="17"/>
          <w:color w:val="auto"/>
        </w:rPr>
        <w:t>” means any Person one hundred percent (100%) of whose Equity Interests are at the time owned by the Borrower directly or indirectly through one or more other Persons one hundred percent (100%) of whose Equity Interests are at the time owned, directly or indirectly, by the Borrower. Unless otherwise specified, all references herein to a “Wholly Owned Subsidiary” or to “Wholly Owned Subsidiaries” shall refer to a Wholly Owned Subsidiary or Wholly Owned Subsidiaries of the Borrower.</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“Withholding Agent</w:t>
      </w:r>
      <w:r>
        <w:rPr>
          <w:rFonts w:ascii="Times New Roman" w:cs="Times New Roman" w:eastAsia="Times New Roman" w:hAnsi="Times New Roman"/>
          <w:sz w:val="17"/>
          <w:szCs w:val="17"/>
          <w:color w:val="auto"/>
        </w:rPr>
        <w:t>” means any Loan Party, the Administrative Agent and any other Person required by applicable Law to withhold or deduct amounts with respect to a payment made by or on account of any obligation of any Loan Party under any Loan Document.</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138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5" w:name="page76"/>
    <w:bookmarkEnd w:id="75"/>
    <w:p>
      <w:pPr>
        <w:spacing w:after="0"/>
        <w:tabs>
          <w:tab w:leader="none" w:pos="460" w:val="left"/>
        </w:tabs>
        <w:rPr>
          <w:sz w:val="20"/>
          <w:szCs w:val="20"/>
          <w:color w:val="auto"/>
        </w:rPr>
      </w:pPr>
      <w:r>
        <w:rPr>
          <w:rFonts w:ascii="Times New Roman" w:cs="Times New Roman" w:eastAsia="Times New Roman" w:hAnsi="Times New Roman"/>
          <w:sz w:val="17"/>
          <w:szCs w:val="17"/>
          <w:color w:val="auto"/>
        </w:rPr>
        <w:t>1.02</w:t>
        <w:tab/>
        <w:t>Other Interpretive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13817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reference to this Agreement and each other Loan Document, unless otherwise specified herein or in such other Loan Document:</w:t>
      </w:r>
    </w:p>
    <w:p>
      <w:pPr>
        <w:spacing w:after="0" w:line="217" w:lineRule="exact"/>
        <w:rPr>
          <w:sz w:val="20"/>
          <w:szCs w:val="20"/>
          <w:color w:val="auto"/>
        </w:rPr>
      </w:pPr>
    </w:p>
    <w:p>
      <w:pPr>
        <w:jc w:val="both"/>
        <w:ind w:firstLine="621"/>
        <w:spacing w:after="0" w:line="255" w:lineRule="auto"/>
        <w:tabs>
          <w:tab w:leader="none" w:pos="98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includes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shall be deemed to be followed by the phrase “without limitation.” The word “</w:t>
      </w:r>
      <w:r>
        <w:rPr>
          <w:rFonts w:ascii="Times New Roman" w:cs="Times New Roman" w:eastAsia="Times New Roman" w:hAnsi="Times New Roman"/>
          <w:sz w:val="17"/>
          <w:szCs w:val="17"/>
          <w:u w:val="single" w:color="auto"/>
          <w:color w:val="auto"/>
        </w:rPr>
        <w:t>will</w:t>
      </w:r>
      <w:r>
        <w:rPr>
          <w:rFonts w:ascii="Times New Roman" w:cs="Times New Roman" w:eastAsia="Times New Roman" w:hAnsi="Times New Roman"/>
          <w:sz w:val="17"/>
          <w:szCs w:val="17"/>
          <w:color w:val="auto"/>
        </w:rPr>
        <w:t>” shall be construed to have the same meaning and effect as the word “</w:t>
      </w:r>
      <w:r>
        <w:rPr>
          <w:rFonts w:ascii="Times New Roman" w:cs="Times New Roman" w:eastAsia="Times New Roman" w:hAnsi="Times New Roman"/>
          <w:sz w:val="17"/>
          <w:szCs w:val="17"/>
          <w:u w:val="single" w:color="auto"/>
          <w:color w:val="auto"/>
        </w:rPr>
        <w:t>shall</w:t>
      </w:r>
      <w:r>
        <w:rPr>
          <w:rFonts w:ascii="Times New Roman" w:cs="Times New Roman" w:eastAsia="Times New Roman" w:hAnsi="Times New Roman"/>
          <w:sz w:val="17"/>
          <w:szCs w:val="17"/>
          <w:color w:val="auto"/>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7"/>
          <w:szCs w:val="17"/>
          <w:u w:val="single" w:color="auto"/>
          <w:color w:val="auto"/>
        </w:rPr>
        <w:t>hereto</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hereunder</w:t>
      </w:r>
      <w:r>
        <w:rPr>
          <w:rFonts w:ascii="Times New Roman" w:cs="Times New Roman" w:eastAsia="Times New Roman" w:hAnsi="Times New Roman"/>
          <w:sz w:val="17"/>
          <w:szCs w:val="17"/>
          <w:color w:val="auto"/>
        </w:rPr>
        <w:t>,” and words of similar import when used in any Loan Document, shall be construed to refer to such Loan Document in its entirety and not to any particular provision thereof, (iv) all references in any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Times New Roman" w:cs="Times New Roman" w:eastAsia="Times New Roman" w:hAnsi="Times New Roman"/>
          <w:sz w:val="17"/>
          <w:szCs w:val="17"/>
          <w:u w:val="single" w:color="auto"/>
          <w:color w:val="auto"/>
        </w:rPr>
        <w:t>asset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shall be construed to have the same meaning and effect and to refer to any and all real and personal property and tangible and intangible assets and properties, including cash, securities, accounts and contract rights.</w:t>
      </w:r>
    </w:p>
    <w:p>
      <w:pPr>
        <w:spacing w:after="0" w:line="186" w:lineRule="exact"/>
        <w:rPr>
          <w:rFonts w:ascii="Times New Roman" w:cs="Times New Roman" w:eastAsia="Times New Roman" w:hAnsi="Times New Roman"/>
          <w:sz w:val="17"/>
          <w:szCs w:val="17"/>
          <w:color w:val="auto"/>
        </w:rPr>
      </w:pPr>
    </w:p>
    <w:p>
      <w:pPr>
        <w:ind w:right="420" w:firstLine="621"/>
        <w:spacing w:after="0" w:line="287" w:lineRule="auto"/>
        <w:tabs>
          <w:tab w:leader="none" w:pos="99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computation of periods of time from a specified date to a later specified date, the word “</w:t>
      </w:r>
      <w:r>
        <w:rPr>
          <w:rFonts w:ascii="Times New Roman" w:cs="Times New Roman" w:eastAsia="Times New Roman" w:hAnsi="Times New Roman"/>
          <w:sz w:val="17"/>
          <w:szCs w:val="17"/>
          <w:u w:val="single" w:color="auto"/>
          <w:color w:val="auto"/>
        </w:rPr>
        <w:t>from</w:t>
      </w:r>
      <w:r>
        <w:rPr>
          <w:rFonts w:ascii="Times New Roman" w:cs="Times New Roman" w:eastAsia="Times New Roman" w:hAnsi="Times New Roman"/>
          <w:sz w:val="17"/>
          <w:szCs w:val="17"/>
          <w:color w:val="auto"/>
        </w:rPr>
        <w:t>” means “from and including;” the words “</w:t>
      </w:r>
      <w:r>
        <w:rPr>
          <w:rFonts w:ascii="Times New Roman" w:cs="Times New Roman" w:eastAsia="Times New Roman" w:hAnsi="Times New Roman"/>
          <w:sz w:val="17"/>
          <w:szCs w:val="17"/>
          <w:u w:val="single" w:color="auto"/>
          <w:color w:val="auto"/>
        </w:rPr>
        <w:t>to</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until</w:t>
      </w:r>
      <w:r>
        <w:rPr>
          <w:rFonts w:ascii="Times New Roman" w:cs="Times New Roman" w:eastAsia="Times New Roman" w:hAnsi="Times New Roman"/>
          <w:sz w:val="17"/>
          <w:szCs w:val="17"/>
          <w:color w:val="auto"/>
        </w:rPr>
        <w:t>” each mean “to but excluding;” and the word “</w:t>
      </w:r>
      <w:r>
        <w:rPr>
          <w:rFonts w:ascii="Times New Roman" w:cs="Times New Roman" w:eastAsia="Times New Roman" w:hAnsi="Times New Roman"/>
          <w:sz w:val="17"/>
          <w:szCs w:val="17"/>
          <w:u w:val="single" w:color="auto"/>
          <w:color w:val="auto"/>
        </w:rPr>
        <w:t>through</w:t>
      </w:r>
      <w:r>
        <w:rPr>
          <w:rFonts w:ascii="Times New Roman" w:cs="Times New Roman" w:eastAsia="Times New Roman" w:hAnsi="Times New Roman"/>
          <w:sz w:val="17"/>
          <w:szCs w:val="17"/>
          <w:color w:val="auto"/>
        </w:rPr>
        <w:t>” means “to and including.”</w:t>
      </w:r>
    </w:p>
    <w:p>
      <w:pPr>
        <w:spacing w:after="0" w:line="151" w:lineRule="exact"/>
        <w:rPr>
          <w:rFonts w:ascii="Times New Roman" w:cs="Times New Roman" w:eastAsia="Times New Roman" w:hAnsi="Times New Roman"/>
          <w:sz w:val="17"/>
          <w:szCs w:val="17"/>
          <w:color w:val="auto"/>
        </w:rPr>
      </w:pPr>
    </w:p>
    <w:p>
      <w:pPr>
        <w:ind w:right="800" w:firstLine="621"/>
        <w:spacing w:after="0" w:line="287" w:lineRule="auto"/>
        <w:tabs>
          <w:tab w:leader="none" w:pos="98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headings herein and in the other Loan Documents are included for convenience of reference only and shall not affect the interpretation of this Agreement or any other Loan Document.</w:t>
      </w:r>
    </w:p>
    <w:p>
      <w:pPr>
        <w:spacing w:after="0" w:line="151" w:lineRule="exact"/>
        <w:rPr>
          <w:rFonts w:ascii="Times New Roman" w:cs="Times New Roman" w:eastAsia="Times New Roman" w:hAnsi="Times New Roman"/>
          <w:sz w:val="17"/>
          <w:szCs w:val="17"/>
          <w:color w:val="auto"/>
        </w:rPr>
      </w:pPr>
    </w:p>
    <w:p>
      <w:pPr>
        <w:jc w:val="both"/>
        <w:ind w:firstLine="621"/>
        <w:spacing w:after="0" w:line="260" w:lineRule="auto"/>
        <w:tabs>
          <w:tab w:leader="none" w:pos="102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herein or in any other Loan Document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1.03</w:t>
        <w:tab/>
        <w:t>Accounting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910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97" w:lineRule="exact"/>
        <w:rPr>
          <w:sz w:val="20"/>
          <w:szCs w:val="20"/>
          <w:color w:val="auto"/>
        </w:rPr>
      </w:pPr>
    </w:p>
    <w:p>
      <w:pPr>
        <w:jc w:val="both"/>
        <w:ind w:firstLine="621"/>
        <w:spacing w:after="0" w:line="255"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Generally.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calculations of Attributable Indebtedness under any Synthetic Lease or the implied interest component of any Synthetic Lease shall be made by the Borrower in accordance with accepted financial practice and consistent with the terms of such Synthetic Lease. Notwithstanding the foregoing, for purposes of determining compliance with any covenant (including the computation of any financial covenant) contained herein, (i) Indebtedness of the Borrower and its Subsidiaries shall be deemed to be carried at one hundred percent (100%) of the outstanding principal amount thereof, and the effects of FASB ASC 825 and FASB ASC 470-20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any Loan Party or any Subsidiary to measure an item of Indebtedness using fair value (as permitted by Financial Accounting Standards Board Accounting Standards Codification 825–10–25 (formerly known as FASB 159) or any similar accounting standard).</w:t>
      </w:r>
    </w:p>
    <w:p>
      <w:pPr>
        <w:spacing w:after="0" w:line="179" w:lineRule="exact"/>
        <w:rPr>
          <w:rFonts w:ascii="Times New Roman" w:cs="Times New Roman" w:eastAsia="Times New Roman" w:hAnsi="Times New Roman"/>
          <w:sz w:val="17"/>
          <w:szCs w:val="17"/>
          <w:color w:val="auto"/>
        </w:rPr>
      </w:pPr>
    </w:p>
    <w:p>
      <w:pPr>
        <w:jc w:val="both"/>
        <w:ind w:firstLine="621"/>
        <w:spacing w:after="0" w:line="258" w:lineRule="auto"/>
        <w:tabs>
          <w:tab w:leader="none" w:pos="102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Changes in GAAP. The Borrower will provide a written summary of material changes in GAAP and in the consistent application thereof with each annual and quarterly financial statement delivered in accordance with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If at any time any change in GAAP would affect the computation of any financial requirement set forth in any Loan Document, and either the Borrower or the Required Lenders shall so request, the Administrative Agent, the Lenders and the Borrower shall negotiate in good faith to amend such requirement to preserve the original intent thereof in light of such change in GAAP (subject to the approval of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until so amended, (i) such requirement shall continue to be computed in accordance with GAAP prior to such change therein and (ii) the Borrower shall provide to the Administrative Agent (for further distribution to the Lenders) financial statements and other documents required under this Agreement or as requested hereunder setting forth a reconciliation between calculations of such requirement made before and after giving effect to such change in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334645</wp:posOffset>
            </wp:positionV>
            <wp:extent cx="713867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-3569970</wp:posOffset>
            </wp:positionV>
            <wp:extent cx="563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6388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-949960</wp:posOffset>
            </wp:positionV>
            <wp:extent cx="9544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76" w:name="page77"/>
    <w:bookmarkEnd w:id="76"/>
    <w:p>
      <w:pPr>
        <w:ind w:left="620" w:right="240" w:firstLine="621"/>
        <w:spacing w:after="0" w:line="287" w:lineRule="auto"/>
        <w:tabs>
          <w:tab w:leader="none" w:pos="160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Calculations. For purposes of all calculations hereunder, the principal amount of Convertible Bond Indebtedness shall be the outstanding principal (or notional) amount thereof, valued at par.</w:t>
      </w:r>
    </w:p>
    <w:p>
      <w:pPr>
        <w:spacing w:after="0" w:line="151" w:lineRule="exact"/>
        <w:rPr>
          <w:rFonts w:ascii="Times New Roman" w:cs="Times New Roman" w:eastAsia="Times New Roman" w:hAnsi="Times New Roman"/>
          <w:sz w:val="17"/>
          <w:szCs w:val="17"/>
          <w:color w:val="auto"/>
        </w:rPr>
      </w:pPr>
    </w:p>
    <w:p>
      <w:pPr>
        <w:ind w:left="620" w:right="20" w:firstLine="621"/>
        <w:spacing w:after="0" w:line="264" w:lineRule="auto"/>
        <w:tabs>
          <w:tab w:leader="none" w:pos="161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Variable Interest Rate Entities.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was a Subsidiary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-821690</wp:posOffset>
            </wp:positionV>
            <wp:extent cx="6546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5468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-428625</wp:posOffset>
            </wp:positionV>
            <wp:extent cx="21723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172335" cy="8255"/>
                    </a:xfrm>
                    <a:prstGeom prst="rect">
                      <a:avLst/>
                    </a:prstGeom>
                    <a:noFill/>
                  </pic:spPr>
                </pic:pic>
              </a:graphicData>
            </a:graphic>
          </wp:anchor>
        </w:drawing>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1.04</w:t>
        <w:tab/>
        <w:t>Times of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702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otherwise specified, all references herein to times of day shall be references to Eastern time (daylight or standard, as applicable).</w:t>
      </w:r>
    </w:p>
    <w:p>
      <w:pPr>
        <w:spacing w:after="0" w:line="217" w:lineRule="exact"/>
        <w:rPr>
          <w:sz w:val="20"/>
          <w:szCs w:val="20"/>
          <w:color w:val="auto"/>
        </w:rPr>
      </w:pPr>
    </w:p>
    <w:p>
      <w:pPr>
        <w:ind w:left="1240"/>
        <w:spacing w:after="0"/>
        <w:tabs>
          <w:tab w:leader="none" w:pos="1700" w:val="left"/>
        </w:tabs>
        <w:rPr>
          <w:sz w:val="20"/>
          <w:szCs w:val="20"/>
          <w:color w:val="auto"/>
        </w:rPr>
      </w:pPr>
      <w:r>
        <w:rPr>
          <w:rFonts w:ascii="Times New Roman" w:cs="Times New Roman" w:eastAsia="Times New Roman" w:hAnsi="Times New Roman"/>
          <w:sz w:val="17"/>
          <w:szCs w:val="17"/>
          <w:color w:val="auto"/>
        </w:rPr>
        <w:t>1.05</w:t>
      </w:r>
      <w:r>
        <w:rPr>
          <w:sz w:val="20"/>
          <w:szCs w:val="20"/>
          <w:color w:val="auto"/>
        </w:rPr>
        <w:tab/>
      </w:r>
      <w:r>
        <w:rPr>
          <w:rFonts w:ascii="Times New Roman" w:cs="Times New Roman" w:eastAsia="Times New Roman" w:hAnsi="Times New Roman"/>
          <w:sz w:val="16"/>
          <w:szCs w:val="16"/>
          <w:color w:val="auto"/>
        </w:rPr>
        <w:t>Danish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-6350</wp:posOffset>
            </wp:positionV>
            <wp:extent cx="743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Without prejudice to the generality of any provision of any Loan Document, in any Loan Document, where it relates to an entity incorporated or established under Danish law, a reference to:</w:t>
      </w:r>
    </w:p>
    <w:p>
      <w:pPr>
        <w:spacing w:after="0" w:line="147" w:lineRule="exact"/>
        <w:rPr>
          <w:sz w:val="20"/>
          <w:szCs w:val="20"/>
          <w:color w:val="auto"/>
        </w:rPr>
      </w:pPr>
    </w:p>
    <w:p>
      <w:pPr>
        <w:ind w:left="620" w:right="1380" w:firstLine="621"/>
        <w:spacing w:after="0" w:line="292" w:lineRule="auto"/>
        <w:tabs>
          <w:tab w:leader="none" w:pos="160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director or officer includes a managing director (in Danish: </w:t>
      </w:r>
      <w:r>
        <w:rPr>
          <w:rFonts w:ascii="Times New Roman" w:cs="Times New Roman" w:eastAsia="Times New Roman" w:hAnsi="Times New Roman"/>
          <w:sz w:val="17"/>
          <w:szCs w:val="17"/>
          <w:i w:val="1"/>
          <w:iCs w:val="1"/>
          <w:color w:val="auto"/>
        </w:rPr>
        <w:t>direkt</w:t>
      </w:r>
      <w:r>
        <w:rPr>
          <w:rFonts w:ascii="Times New Roman" w:cs="Times New Roman" w:eastAsia="Times New Roman" w:hAnsi="Times New Roman"/>
          <w:sz w:val="17"/>
          <w:szCs w:val="17"/>
          <w:color w:val="auto"/>
        </w:rPr>
        <w:t>ø</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7"/>
          <w:szCs w:val="17"/>
          <w:color w:val="auto"/>
        </w:rPr>
        <w:t xml:space="preserve">) or a member of the board of directors (in Danish: </w:t>
      </w:r>
      <w:r>
        <w:rPr>
          <w:rFonts w:ascii="Times New Roman" w:cs="Times New Roman" w:eastAsia="Times New Roman" w:hAnsi="Times New Roman"/>
          <w:sz w:val="17"/>
          <w:szCs w:val="17"/>
          <w:i w:val="1"/>
          <w:iCs w:val="1"/>
          <w:color w:val="auto"/>
        </w:rPr>
        <w:t>bestyrelsesmedlem</w:t>
      </w:r>
      <w:r>
        <w:rPr>
          <w:rFonts w:ascii="Times New Roman" w:cs="Times New Roman" w:eastAsia="Times New Roman" w:hAnsi="Times New Roman"/>
          <w:sz w:val="17"/>
          <w:szCs w:val="17"/>
          <w:color w:val="auto"/>
        </w:rPr>
        <w:t>);</w:t>
      </w:r>
    </w:p>
    <w:p>
      <w:pPr>
        <w:spacing w:after="0" w:line="147" w:lineRule="exact"/>
        <w:rPr>
          <w:rFonts w:ascii="Times New Roman" w:cs="Times New Roman" w:eastAsia="Times New Roman" w:hAnsi="Times New Roman"/>
          <w:sz w:val="17"/>
          <w:szCs w:val="17"/>
          <w:color w:val="auto"/>
        </w:rPr>
      </w:pPr>
    </w:p>
    <w:p>
      <w:pPr>
        <w:ind w:left="620" w:right="240" w:firstLine="621"/>
        <w:spacing w:after="0" w:line="287" w:lineRule="auto"/>
        <w:tabs>
          <w:tab w:leader="none" w:pos="16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being insolvent or unable to pay its debts means that the person in question is unable to meet its liabilities as and when they fall due, unless such inability must be deemed to be only temporary within the meaning of Section 17(2) of the Danish Bankruptcy Act;</w:t>
      </w:r>
    </w:p>
    <w:p>
      <w:pPr>
        <w:spacing w:after="0" w:line="15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liquidator, compulsory manager, receiver, administrative receiver, administrator or similar officer will be either of: (i) a reconstructor (in</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Danish: </w:t>
      </w:r>
      <w:r>
        <w:rPr>
          <w:rFonts w:ascii="Times New Roman" w:cs="Times New Roman" w:eastAsia="Times New Roman" w:hAnsi="Times New Roman"/>
          <w:sz w:val="17"/>
          <w:szCs w:val="17"/>
          <w:i w:val="1"/>
          <w:iCs w:val="1"/>
          <w:color w:val="auto"/>
        </w:rPr>
        <w:t>rekonstrukt</w:t>
      </w:r>
      <w:r>
        <w:rPr>
          <w:rFonts w:ascii="Times New Roman" w:cs="Times New Roman" w:eastAsia="Times New Roman" w:hAnsi="Times New Roman"/>
          <w:sz w:val="17"/>
          <w:szCs w:val="17"/>
          <w:color w:val="auto"/>
        </w:rPr>
        <w:t>ø</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7"/>
          <w:szCs w:val="17"/>
          <w:color w:val="auto"/>
        </w:rPr>
        <w:t xml:space="preserve">), (ii) liquidator (in Danish: </w:t>
      </w:r>
      <w:r>
        <w:rPr>
          <w:rFonts w:ascii="Times New Roman" w:cs="Times New Roman" w:eastAsia="Times New Roman" w:hAnsi="Times New Roman"/>
          <w:sz w:val="17"/>
          <w:szCs w:val="17"/>
          <w:i w:val="1"/>
          <w:iCs w:val="1"/>
          <w:color w:val="auto"/>
        </w:rPr>
        <w:t>likvidator</w:t>
      </w:r>
      <w:r>
        <w:rPr>
          <w:rFonts w:ascii="Times New Roman" w:cs="Times New Roman" w:eastAsia="Times New Roman" w:hAnsi="Times New Roman"/>
          <w:sz w:val="17"/>
          <w:szCs w:val="17"/>
          <w:color w:val="auto"/>
        </w:rPr>
        <w:t xml:space="preserve">), or (iii) a bankruptcy administrator (in Danish: </w:t>
      </w:r>
      <w:r>
        <w:rPr>
          <w:rFonts w:ascii="Times New Roman" w:cs="Times New Roman" w:eastAsia="Times New Roman" w:hAnsi="Times New Roman"/>
          <w:sz w:val="17"/>
          <w:szCs w:val="17"/>
          <w:i w:val="1"/>
          <w:iCs w:val="1"/>
          <w:color w:val="auto"/>
        </w:rPr>
        <w:t>kurator</w:t>
      </w:r>
      <w:r>
        <w:rPr>
          <w:rFonts w:ascii="Times New Roman" w:cs="Times New Roman" w:eastAsia="Times New Roman" w:hAnsi="Times New Roman"/>
          <w:sz w:val="17"/>
          <w:szCs w:val="17"/>
          <w:color w:val="auto"/>
        </w:rPr>
        <w:t>), as applicable;</w:t>
      </w:r>
    </w:p>
    <w:p>
      <w:pPr>
        <w:spacing w:after="0" w:line="200" w:lineRule="exact"/>
        <w:rPr>
          <w:rFonts w:ascii="Times New Roman" w:cs="Times New Roman" w:eastAsia="Times New Roman" w:hAnsi="Times New Roman"/>
          <w:sz w:val="17"/>
          <w:szCs w:val="17"/>
          <w:color w:val="auto"/>
        </w:rPr>
      </w:pPr>
    </w:p>
    <w:p>
      <w:pPr>
        <w:ind w:left="620" w:firstLine="621"/>
        <w:spacing w:after="0" w:line="264" w:lineRule="auto"/>
        <w:tabs>
          <w:tab w:leader="none" w:pos="16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winding up, administration, official management, dissolution, liquidation, moratorium, restructuring, reorganization, relief or general assignment for the benefit of creditors will be either of a dissolution by declaration (in Danish: </w:t>
      </w:r>
      <w:r>
        <w:rPr>
          <w:rFonts w:ascii="Times New Roman" w:cs="Times New Roman" w:eastAsia="Times New Roman" w:hAnsi="Times New Roman"/>
          <w:sz w:val="17"/>
          <w:szCs w:val="17"/>
          <w:i w:val="1"/>
          <w:iCs w:val="1"/>
          <w:color w:val="auto"/>
        </w:rPr>
        <w:t>opl</w:t>
      </w:r>
      <w:r>
        <w:rPr>
          <w:rFonts w:ascii="Times New Roman" w:cs="Times New Roman" w:eastAsia="Times New Roman" w:hAnsi="Times New Roman"/>
          <w:sz w:val="17"/>
          <w:szCs w:val="17"/>
          <w:color w:val="auto"/>
        </w:rPr>
        <w:t>ø</w:t>
      </w:r>
      <w:r>
        <w:rPr>
          <w:rFonts w:ascii="Times New Roman" w:cs="Times New Roman" w:eastAsia="Times New Roman" w:hAnsi="Times New Roman"/>
          <w:sz w:val="17"/>
          <w:szCs w:val="17"/>
          <w:i w:val="1"/>
          <w:iCs w:val="1"/>
          <w:color w:val="auto"/>
        </w:rPr>
        <w:t>sning ved erkl</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ring</w:t>
      </w:r>
      <w:r>
        <w:rPr>
          <w:rFonts w:ascii="Times New Roman" w:cs="Times New Roman" w:eastAsia="Times New Roman" w:hAnsi="Times New Roman"/>
          <w:sz w:val="17"/>
          <w:szCs w:val="17"/>
          <w:color w:val="auto"/>
        </w:rPr>
        <w:t xml:space="preserve">), a voluntary liquidation (in Danish: </w:t>
      </w:r>
      <w:r>
        <w:rPr>
          <w:rFonts w:ascii="Times New Roman" w:cs="Times New Roman" w:eastAsia="Times New Roman" w:hAnsi="Times New Roman"/>
          <w:sz w:val="17"/>
          <w:szCs w:val="17"/>
          <w:i w:val="1"/>
          <w:iCs w:val="1"/>
          <w:color w:val="auto"/>
        </w:rPr>
        <w:t>frivillig likvidation</w:t>
      </w:r>
      <w:r>
        <w:rPr>
          <w:rFonts w:ascii="Times New Roman" w:cs="Times New Roman" w:eastAsia="Times New Roman" w:hAnsi="Times New Roman"/>
          <w:sz w:val="17"/>
          <w:szCs w:val="17"/>
          <w:color w:val="auto"/>
        </w:rPr>
        <w:t xml:space="preserve">), a forced dissolution (in Danish: </w:t>
      </w:r>
      <w:r>
        <w:rPr>
          <w:rFonts w:ascii="Times New Roman" w:cs="Times New Roman" w:eastAsia="Times New Roman" w:hAnsi="Times New Roman"/>
          <w:sz w:val="17"/>
          <w:szCs w:val="17"/>
          <w:i w:val="1"/>
          <w:iCs w:val="1"/>
          <w:color w:val="auto"/>
        </w:rPr>
        <w:t>tvangsopl</w:t>
      </w:r>
      <w:r>
        <w:rPr>
          <w:rFonts w:ascii="Times New Roman" w:cs="Times New Roman" w:eastAsia="Times New Roman" w:hAnsi="Times New Roman"/>
          <w:sz w:val="17"/>
          <w:szCs w:val="17"/>
          <w:color w:val="auto"/>
        </w:rPr>
        <w:t>ø</w:t>
      </w:r>
      <w:r>
        <w:rPr>
          <w:rFonts w:ascii="Times New Roman" w:cs="Times New Roman" w:eastAsia="Times New Roman" w:hAnsi="Times New Roman"/>
          <w:sz w:val="17"/>
          <w:szCs w:val="17"/>
          <w:i w:val="1"/>
          <w:iCs w:val="1"/>
          <w:color w:val="auto"/>
        </w:rPr>
        <w:t>sning</w:t>
      </w:r>
      <w:r>
        <w:rPr>
          <w:rFonts w:ascii="Times New Roman" w:cs="Times New Roman" w:eastAsia="Times New Roman" w:hAnsi="Times New Roman"/>
          <w:sz w:val="17"/>
          <w:szCs w:val="17"/>
          <w:color w:val="auto"/>
        </w:rPr>
        <w:t xml:space="preserve">) under Chapter 14 of the Danish Companies Act or judicial restructuring (in Danish: </w:t>
      </w:r>
      <w:r>
        <w:rPr>
          <w:rFonts w:ascii="Times New Roman" w:cs="Times New Roman" w:eastAsia="Times New Roman" w:hAnsi="Times New Roman"/>
          <w:sz w:val="17"/>
          <w:szCs w:val="17"/>
          <w:i w:val="1"/>
          <w:iCs w:val="1"/>
          <w:color w:val="auto"/>
        </w:rPr>
        <w:t>rekonstruktion</w:t>
      </w:r>
      <w:r>
        <w:rPr>
          <w:rFonts w:ascii="Times New Roman" w:cs="Times New Roman" w:eastAsia="Times New Roman" w:hAnsi="Times New Roman"/>
          <w:sz w:val="17"/>
          <w:szCs w:val="17"/>
          <w:color w:val="auto"/>
        </w:rPr>
        <w:t xml:space="preserve">) or bankruptcy (in Danish: </w:t>
      </w:r>
      <w:r>
        <w:rPr>
          <w:rFonts w:ascii="Times New Roman" w:cs="Times New Roman" w:eastAsia="Times New Roman" w:hAnsi="Times New Roman"/>
          <w:sz w:val="17"/>
          <w:szCs w:val="17"/>
          <w:i w:val="1"/>
          <w:iCs w:val="1"/>
          <w:color w:val="auto"/>
        </w:rPr>
        <w:t>konkurs</w:t>
      </w:r>
      <w:r>
        <w:rPr>
          <w:rFonts w:ascii="Times New Roman" w:cs="Times New Roman" w:eastAsia="Times New Roman" w:hAnsi="Times New Roman"/>
          <w:sz w:val="17"/>
          <w:szCs w:val="17"/>
          <w:color w:val="auto"/>
        </w:rPr>
        <w:t>) under the Danish Bankruptcy Act;</w:t>
      </w:r>
    </w:p>
    <w:p>
      <w:pPr>
        <w:spacing w:after="0" w:line="171" w:lineRule="exact"/>
        <w:rPr>
          <w:rFonts w:ascii="Times New Roman" w:cs="Times New Roman" w:eastAsia="Times New Roman" w:hAnsi="Times New Roman"/>
          <w:sz w:val="17"/>
          <w:szCs w:val="17"/>
          <w:color w:val="auto"/>
        </w:rPr>
      </w:pPr>
    </w:p>
    <w:p>
      <w:pPr>
        <w:ind w:left="620" w:right="60" w:firstLine="621"/>
        <w:spacing w:after="0" w:line="287" w:lineRule="auto"/>
        <w:tabs>
          <w:tab w:leader="none" w:pos="160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seeking/commencement/institution of bankruptcy or insolvency (proceedings) includes the opening of insolvency or judicial reconstruction proceedings (in Danish: </w:t>
      </w:r>
      <w:r>
        <w:rPr>
          <w:rFonts w:ascii="Times New Roman" w:cs="Times New Roman" w:eastAsia="Times New Roman" w:hAnsi="Times New Roman"/>
          <w:sz w:val="17"/>
          <w:szCs w:val="17"/>
          <w:i w:val="1"/>
          <w:iCs w:val="1"/>
          <w:color w:val="auto"/>
        </w:rPr>
        <w:t>tage under konkursbehandling eller rekonstruktionsbehandling</w:t>
      </w:r>
      <w:r>
        <w:rPr>
          <w:rFonts w:ascii="Times New Roman" w:cs="Times New Roman" w:eastAsia="Times New Roman" w:hAnsi="Times New Roman"/>
          <w:sz w:val="17"/>
          <w:szCs w:val="17"/>
          <w:color w:val="auto"/>
        </w:rPr>
        <w:t>);</w:t>
      </w:r>
    </w:p>
    <w:p>
      <w:pPr>
        <w:spacing w:after="0" w:line="147"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its “Organization Documents” means the articles of association (in Danish: </w:t>
      </w:r>
      <w:r>
        <w:rPr>
          <w:rFonts w:ascii="Times New Roman" w:cs="Times New Roman" w:eastAsia="Times New Roman" w:hAnsi="Times New Roman"/>
          <w:sz w:val="17"/>
          <w:szCs w:val="17"/>
          <w:i w:val="1"/>
          <w:iCs w:val="1"/>
          <w:color w:val="auto"/>
        </w:rPr>
        <w:t>vedt</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gter</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gross negligence means </w:t>
      </w:r>
      <w:r>
        <w:rPr>
          <w:rFonts w:ascii="Times New Roman" w:cs="Times New Roman" w:eastAsia="Times New Roman" w:hAnsi="Times New Roman"/>
          <w:sz w:val="17"/>
          <w:szCs w:val="17"/>
          <w:i w:val="1"/>
          <w:iCs w:val="1"/>
          <w:color w:val="auto"/>
        </w:rPr>
        <w:t>grov uagtsomhed</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willful misconduct means </w:t>
      </w:r>
      <w:r>
        <w:rPr>
          <w:rFonts w:ascii="Times New Roman" w:cs="Times New Roman" w:eastAsia="Times New Roman" w:hAnsi="Times New Roman"/>
          <w:sz w:val="17"/>
          <w:szCs w:val="17"/>
          <w:i w:val="1"/>
          <w:iCs w:val="1"/>
          <w:color w:val="auto"/>
        </w:rPr>
        <w:t>fors</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t</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jointly and severally means </w:t>
      </w:r>
      <w:r>
        <w:rPr>
          <w:rFonts w:ascii="Times New Roman" w:cs="Times New Roman" w:eastAsia="Times New Roman" w:hAnsi="Times New Roman"/>
          <w:sz w:val="17"/>
          <w:szCs w:val="17"/>
          <w:i w:val="1"/>
          <w:iCs w:val="1"/>
          <w:color w:val="auto"/>
        </w:rPr>
        <w:t>solidarisk</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guarantee means </w:t>
      </w:r>
      <w:r>
        <w:rPr>
          <w:rFonts w:ascii="Times New Roman" w:cs="Times New Roman" w:eastAsia="Times New Roman" w:hAnsi="Times New Roman"/>
          <w:sz w:val="17"/>
          <w:szCs w:val="17"/>
          <w:i w:val="1"/>
          <w:iCs w:val="1"/>
          <w:color w:val="auto"/>
        </w:rPr>
        <w:t>at garantere eller kautionere</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indemnify means </w:t>
      </w:r>
      <w:r>
        <w:rPr>
          <w:rFonts w:ascii="Times New Roman" w:cs="Times New Roman" w:eastAsia="Times New Roman" w:hAnsi="Times New Roman"/>
          <w:sz w:val="17"/>
          <w:szCs w:val="17"/>
          <w:i w:val="1"/>
          <w:iCs w:val="1"/>
          <w:color w:val="auto"/>
        </w:rPr>
        <w:t>at skadesl</w:t>
      </w:r>
      <w:r>
        <w:rPr>
          <w:rFonts w:ascii="Times New Roman" w:cs="Times New Roman" w:eastAsia="Times New Roman" w:hAnsi="Times New Roman"/>
          <w:sz w:val="17"/>
          <w:szCs w:val="17"/>
          <w:color w:val="auto"/>
        </w:rPr>
        <w:t>ø</w:t>
      </w:r>
      <w:r>
        <w:rPr>
          <w:rFonts w:ascii="Times New Roman" w:cs="Times New Roman" w:eastAsia="Times New Roman" w:hAnsi="Times New Roman"/>
          <w:sz w:val="17"/>
          <w:szCs w:val="17"/>
          <w:i w:val="1"/>
          <w:iCs w:val="1"/>
          <w:color w:val="auto"/>
        </w:rPr>
        <w:t>sholde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713867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7" w:name="page78"/>
    <w:bookmarkEnd w:id="77"/>
    <w:p>
      <w:pPr>
        <w:jc w:val="center"/>
        <w:ind w:right="620"/>
        <w:spacing w:after="0"/>
        <w:rPr>
          <w:sz w:val="20"/>
          <w:szCs w:val="20"/>
          <w:color w:val="auto"/>
        </w:rPr>
      </w:pPr>
      <w:r>
        <w:rPr>
          <w:rFonts w:ascii="Times New Roman" w:cs="Times New Roman" w:eastAsia="Times New Roman" w:hAnsi="Times New Roman"/>
          <w:sz w:val="17"/>
          <w:szCs w:val="17"/>
          <w:color w:val="auto"/>
        </w:rPr>
        <w:t>ARTICLE II</w:t>
      </w:r>
    </w:p>
    <w:p>
      <w:pPr>
        <w:spacing w:after="0" w:line="2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THE COMMITMENTS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2.01</w:t>
        <w:tab/>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7270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97" w:lineRule="exact"/>
        <w:rPr>
          <w:sz w:val="20"/>
          <w:szCs w:val="20"/>
          <w:color w:val="auto"/>
        </w:rPr>
      </w:pPr>
    </w:p>
    <w:p>
      <w:pPr>
        <w:jc w:val="both"/>
        <w:ind w:firstLine="621"/>
        <w:spacing w:after="0" w:line="264" w:lineRule="auto"/>
        <w:tabs>
          <w:tab w:leader="none" w:pos="98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A Borrowing. Subject to the terms and conditions set forth herein and in reliance upon the representations and warranties of the Loan Parties set forth herein, each Term A Lender severally and not jointly agrees to make a single loan to the Borrower, in Dollars, on the Closing Date in an aggregate amount not to exceed such Term A Lender’s Term A Commitment. The Term A Borrowing shall consist of Term A Loans made simultaneously by the Term A Lenders in accordance with their respective Term A Commitments. Term A Borrowings repaid or prepaid may not be reborrowed.</w:t>
      </w:r>
    </w:p>
    <w:p>
      <w:pPr>
        <w:spacing w:after="0" w:line="171" w:lineRule="exact"/>
        <w:rPr>
          <w:rFonts w:ascii="Times New Roman" w:cs="Times New Roman" w:eastAsia="Times New Roman" w:hAnsi="Times New Roman"/>
          <w:sz w:val="17"/>
          <w:szCs w:val="17"/>
          <w:color w:val="auto"/>
        </w:rPr>
      </w:pPr>
    </w:p>
    <w:p>
      <w:pPr>
        <w:jc w:val="both"/>
        <w:ind w:firstLine="621"/>
        <w:spacing w:after="0" w:line="260" w:lineRule="auto"/>
        <w:tabs>
          <w:tab w:leader="none" w:pos="99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Term B Borrowing. Subject to the terms and conditions set forth herein and in reliance upon the representations and warranties of the Loan Parties set forth herein, each Term B Lender severally and not jointly agrees to make up to two (2) loans to the Borrower, in Dollars, on any Business Day during the Term B Availability Period, in an aggregate amount not to exceed such Term B Lender’s Term B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for the avoidance of doubt, it is understood and agreed that (i) there shall be no more than two (2) Term B Borrowings during the term of this Agreement and (ii) each Term B Borrowing shall be in an amount not to exceed $10,000,000. Each Term B Borrowing shall consist of Term B Loans made simultaneously by the Term B Lenders in accordance with their respective Term B Commitments. Term B Borrowings repaid or prepaid may not be reborrowed.</w:t>
      </w:r>
    </w:p>
    <w:p>
      <w:pPr>
        <w:spacing w:after="0" w:line="173" w:lineRule="exact"/>
        <w:rPr>
          <w:rFonts w:ascii="Times New Roman" w:cs="Times New Roman" w:eastAsia="Times New Roman" w:hAnsi="Times New Roman"/>
          <w:sz w:val="17"/>
          <w:szCs w:val="17"/>
          <w:color w:val="auto"/>
        </w:rPr>
      </w:pPr>
    </w:p>
    <w:p>
      <w:pPr>
        <w:jc w:val="both"/>
        <w:ind w:firstLine="621"/>
        <w:spacing w:after="0" w:line="258" w:lineRule="auto"/>
        <w:tabs>
          <w:tab w:leader="none" w:pos="98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Term C Borrowing. Subject to the terms and conditions set forth herein and in reliance upon the representations and warranties of the Loan Parties set forth herein, each Term C Lender severally and not jointly agrees to make a single loan to the Borrower, in Dollars, on any Business Day during the Term C Availability Period, in an aggregate amount not to exceed such Term C Lender’s Term C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on or prior to such Business Day, the Term C Draw Conditions shall have been satisfied;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for the avoidance of doubt, it is understood and agreed that (i) there shall be no more than one (1) Term C Borrowing during the term of this Agreement and (ii) the Term C Borrowing shall be in an amount not to exceed $20,000,000. The Term C Borrowing shall consist of Term C Loans made simultaneously by the Term C Lenders in accordance with their respective Term C Commitments. Term C Borrowings repaid or prepaid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-2388235</wp:posOffset>
            </wp:positionV>
            <wp:extent cx="949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94996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-1733550</wp:posOffset>
            </wp:positionV>
            <wp:extent cx="9442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944245" cy="8255"/>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-816610</wp:posOffset>
            </wp:positionV>
            <wp:extent cx="944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15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2.02</w:t>
      </w:r>
      <w:r>
        <w:rPr>
          <w:sz w:val="20"/>
          <w:szCs w:val="20"/>
          <w:color w:val="auto"/>
        </w:rPr>
        <w:tab/>
      </w:r>
      <w:r>
        <w:rPr>
          <w:rFonts w:ascii="Times New Roman" w:cs="Times New Roman" w:eastAsia="Times New Roman" w:hAnsi="Times New Roman"/>
          <w:sz w:val="16"/>
          <w:szCs w:val="16"/>
          <w:color w:val="auto"/>
        </w:rPr>
        <w:t>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6242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197" w:lineRule="exact"/>
        <w:rPr>
          <w:sz w:val="20"/>
          <w:szCs w:val="20"/>
          <w:color w:val="auto"/>
        </w:rPr>
      </w:pPr>
    </w:p>
    <w:p>
      <w:pPr>
        <w:jc w:val="both"/>
        <w:ind w:firstLine="621"/>
        <w:spacing w:after="0" w:line="257" w:lineRule="auto"/>
        <w:tabs>
          <w:tab w:leader="none" w:pos="100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Borrowing shall be made upon the Borrower’s irrevocable notice (in the form of a written Loan Notice, appropriately completed and signed by a Responsible Financial Officer of the Borrower) to the Administrative Agent, which must be given not later than 9:00 a.m. (i) on the Closing Date, in the case of the Term A Borrowing and (ii) on the date at least fifteen (15) Business Days in advance of the requested date of the applicable Term B Borrowing or the Term C Borrowing, as the case may be (or such shorter period as may be agreed to by the Administrative Agent and the Required Lenders, each in their sole discretion). Each Loan Notice shall specify (A) the requested date of the Borrowing (which shall be a Business Day),</w:t>
      </w:r>
    </w:p>
    <w:p>
      <w:pPr>
        <w:spacing w:after="0" w:line="1" w:lineRule="exact"/>
        <w:rPr>
          <w:rFonts w:ascii="Times New Roman" w:cs="Times New Roman" w:eastAsia="Times New Roman" w:hAnsi="Times New Roman"/>
          <w:sz w:val="17"/>
          <w:szCs w:val="17"/>
          <w:color w:val="auto"/>
        </w:rPr>
      </w:pPr>
    </w:p>
    <w:p>
      <w:pPr>
        <w:ind w:firstLine="2"/>
        <w:spacing w:after="0" w:line="266" w:lineRule="auto"/>
        <w:tabs>
          <w:tab w:leader="none" w:pos="27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Loans to be borrowed and (C) the wiring instructions of the Borrower. The Term A Borrowing shall be in a principal amount of $60,000,000.</w:t>
      </w:r>
    </w:p>
    <w:p>
      <w:pPr>
        <w:spacing w:after="0" w:line="168" w:lineRule="exact"/>
        <w:rPr>
          <w:rFonts w:ascii="Times New Roman" w:cs="Times New Roman" w:eastAsia="Times New Roman" w:hAnsi="Times New Roman"/>
          <w:sz w:val="17"/>
          <w:szCs w:val="17"/>
          <w:color w:val="auto"/>
        </w:rPr>
      </w:pPr>
    </w:p>
    <w:p>
      <w:pPr>
        <w:jc w:val="both"/>
        <w:ind w:firstLine="621"/>
        <w:spacing w:after="0" w:line="256" w:lineRule="auto"/>
        <w:tabs>
          <w:tab w:leader="none" w:pos="105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receipt of a Loan Notice for a Term Facility, the Administrative Agent shall promptly notify each Appropriate Lender of the amount of its Applicable Percentage under such Term Facility of the applicable Loans. Each Appropriate Lender shall make the amount of its Loan available to the Administrative Agent in immediately available funds at the Administrative Agent’s Office not later than 1:00 p.m. on the Business Day specified in the applicable Loan Notice (or, in the case of any Borrowing on the Closing Date, directly to the account of the Borrower designated by it (or an account of another Person designated by the Borrower) in a separate funds flow or funding direction letter provided to such Lender). Upon satisfaction of the applicable conditions set forth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if such Borrowing is the initial Borrowing,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and receipt of all requested funds from the Lenders (other than any funds that have been wired by any Lender directly to the Borrower’s account (or an account of another Person designated by the Borrower) on the Closing Date pursuant to written instructions from the Borrower), the Administrative Agent shall make all funds (other than any funds that have been wired by any Lender directly to the Borrower’s account (or an account of another Person designated by the Borrower) on the Closing Date pursuant to written instructions from the Borrower) so received available to the Borrower in like funds as received by the Administrative Agent by wire transfer of such funds (other than any funds that have been wired by any Lender directly to the Borrower’s account (or an account of another Person designated by the Borrower) on the Closing Date pursuant to written instructions from the Borrower) in accordance with instructions on the Loan Notice provided to (and reasonably acceptable to) the Administrative Agent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335915</wp:posOffset>
            </wp:positionV>
            <wp:extent cx="71386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78" w:name="page79"/>
    <w:bookmarkEnd w:id="78"/>
    <w:p>
      <w:pPr>
        <w:spacing w:after="0"/>
        <w:tabs>
          <w:tab w:leader="none" w:pos="460" w:val="left"/>
        </w:tabs>
        <w:rPr>
          <w:sz w:val="20"/>
          <w:szCs w:val="20"/>
          <w:color w:val="auto"/>
        </w:rPr>
      </w:pPr>
      <w:r>
        <w:rPr>
          <w:rFonts w:ascii="Times New Roman" w:cs="Times New Roman" w:eastAsia="Times New Roman" w:hAnsi="Times New Roman"/>
          <w:sz w:val="17"/>
          <w:szCs w:val="17"/>
          <w:color w:val="auto"/>
        </w:rPr>
        <w:t>2.03</w:t>
      </w:r>
      <w:r>
        <w:rPr>
          <w:sz w:val="20"/>
          <w:szCs w:val="20"/>
          <w:color w:val="auto"/>
        </w:rPr>
        <w:tab/>
      </w:r>
      <w:r>
        <w:rPr>
          <w:rFonts w:ascii="Times New Roman" w:cs="Times New Roman" w:eastAsia="Times New Roman" w:hAnsi="Times New Roman"/>
          <w:sz w:val="16"/>
          <w:szCs w:val="16"/>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672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197" w:lineRule="exact"/>
        <w:rPr>
          <w:sz w:val="20"/>
          <w:szCs w:val="20"/>
          <w:color w:val="auto"/>
        </w:rPr>
      </w:pPr>
    </w:p>
    <w:p>
      <w:pPr>
        <w:jc w:val="both"/>
        <w:ind w:firstLine="621"/>
        <w:spacing w:after="0" w:line="255" w:lineRule="auto"/>
        <w:tabs>
          <w:tab w:leader="none" w:pos="99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Voluntary Prepayments. Subject to the payment of any repayment premium as required under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Final Payment Premium required under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any other fees or amounts payable hereunder at such time, the Borrower may, upon written notice from the Borrower to the Administrative Agent, voluntarily prepay the Loans, in whole but not in part;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notice must be received not later than 11:00 a.m. three (3) Business Days prior to the date of prepayment. Each such notice shall specify the date and amount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such notice expressly states that it is conditioned upon the effectiveness of other credit facilities or financing or the closing of a specified transaction, such notice may be revoked by the Borrower (by notice in writing to the Administrative Agent on or prior to the specified effective date) if such condition is not satisfied. Any prepayment pursuant to this </w:t>
      </w:r>
      <w:r>
        <w:rPr>
          <w:rFonts w:ascii="Times New Roman" w:cs="Times New Roman" w:eastAsia="Times New Roman" w:hAnsi="Times New Roman"/>
          <w:sz w:val="17"/>
          <w:szCs w:val="17"/>
          <w:u w:val="single" w:color="auto"/>
          <w:color w:val="auto"/>
        </w:rPr>
        <w:t>Section 2.03(a)</w:t>
      </w:r>
      <w:r>
        <w:rPr>
          <w:rFonts w:ascii="Times New Roman" w:cs="Times New Roman" w:eastAsia="Times New Roman" w:hAnsi="Times New Roman"/>
          <w:sz w:val="17"/>
          <w:szCs w:val="17"/>
          <w:color w:val="auto"/>
        </w:rPr>
        <w:t xml:space="preserve"> shall be accompanied by (w) all accrued interest on the principal amount of the Loans prepaid, (x) the repayment premium required under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the Final Payment Premium required under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w:t>
      </w:r>
    </w:p>
    <w:p>
      <w:pPr>
        <w:spacing w:after="0" w:line="3" w:lineRule="exact"/>
        <w:rPr>
          <w:rFonts w:ascii="Times New Roman" w:cs="Times New Roman" w:eastAsia="Times New Roman" w:hAnsi="Times New Roman"/>
          <w:sz w:val="17"/>
          <w:szCs w:val="17"/>
          <w:color w:val="auto"/>
        </w:rPr>
      </w:pPr>
    </w:p>
    <w:p>
      <w:pPr>
        <w:jc w:val="both"/>
        <w:ind w:firstLine="2"/>
        <w:spacing w:after="0" w:line="259" w:lineRule="auto"/>
        <w:tabs>
          <w:tab w:leader="none" w:pos="24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costs, expenses, indemnities and other amounts due and payable hereunder at the time of prepayment and (z) all other Obligations (other than contingent indemnification and expense reimbursement obligations for which no claim has been asserted). Each such prepayment shall be applied to the Loans of the Lenders in accordance with their respective Applicable Percentages in respect of each of the relevant Term Facilities.</w:t>
      </w:r>
    </w:p>
    <w:p>
      <w:pPr>
        <w:spacing w:after="0" w:line="175"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Mandatory Prepayments of Loans.</w:t>
      </w:r>
    </w:p>
    <w:p>
      <w:pPr>
        <w:spacing w:after="0" w:line="217" w:lineRule="exact"/>
        <w:rPr>
          <w:rFonts w:ascii="Times New Roman" w:cs="Times New Roman" w:eastAsia="Times New Roman" w:hAnsi="Times New Roman"/>
          <w:sz w:val="17"/>
          <w:szCs w:val="17"/>
          <w:color w:val="auto"/>
        </w:rPr>
      </w:pPr>
    </w:p>
    <w:p>
      <w:pPr>
        <w:jc w:val="both"/>
        <w:ind w:left="620" w:firstLine="620"/>
        <w:spacing w:after="0" w:line="264" w:lineRule="auto"/>
        <w:tabs>
          <w:tab w:leader="none" w:pos="1587"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and Involuntary Dispositions. The Borrower shall promptly (and, in any event, within five (5) Business Days) prepay the Loans in an aggregate amount equal to 100% of the Net Cash Proceeds of all Dispositions and Involuntary Dispositions to the extent such Net Cash Proceeds are not reinvested in Eligible Assets within 270 days of the date of receipt thereof. Any prepayment pursuant to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shall be applied as set forth in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below.</w:t>
      </w:r>
    </w:p>
    <w:p>
      <w:pPr>
        <w:spacing w:after="0" w:line="171" w:lineRule="exact"/>
        <w:rPr>
          <w:rFonts w:ascii="Times New Roman" w:cs="Times New Roman" w:eastAsia="Times New Roman" w:hAnsi="Times New Roman"/>
          <w:sz w:val="17"/>
          <w:szCs w:val="17"/>
          <w:color w:val="auto"/>
        </w:rPr>
      </w:pPr>
    </w:p>
    <w:p>
      <w:pPr>
        <w:jc w:val="both"/>
        <w:ind w:left="620" w:firstLine="620"/>
        <w:spacing w:after="0" w:line="264" w:lineRule="auto"/>
        <w:tabs>
          <w:tab w:leader="none" w:pos="1651"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Extraordinary Receipts. The Borrower shall promptly (and, in any event, within five (5) Business Days) upon the receipt by any Loan Party or any Subsidiary of the Net Cash Proceeds of any Extraordinary Receipt, prepay the Loans in an aggregate amount equal to 100% of such Net Cash Proceeds to the extent such Net Cash Proceeds are not reinvested in Eligible Assets within 270 days of the date of receipt thereof. Any prepayment pursuant to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shall be applied as set forth in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below.</w:t>
      </w:r>
    </w:p>
    <w:p>
      <w:pPr>
        <w:spacing w:after="0" w:line="171" w:lineRule="exact"/>
        <w:rPr>
          <w:rFonts w:ascii="Times New Roman" w:cs="Times New Roman" w:eastAsia="Times New Roman" w:hAnsi="Times New Roman"/>
          <w:sz w:val="17"/>
          <w:szCs w:val="17"/>
          <w:color w:val="auto"/>
        </w:rPr>
      </w:pPr>
    </w:p>
    <w:p>
      <w:pPr>
        <w:jc w:val="both"/>
        <w:ind w:left="620" w:right="300" w:firstLine="620"/>
        <w:spacing w:after="0" w:line="270" w:lineRule="auto"/>
        <w:tabs>
          <w:tab w:leader="none" w:pos="1668"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Debt Issuance. The Borrower shall promptly (and, in any event, within three (3) Business Days) upon the receipt by any Loan Party or any Subsidiary of the Net Cash Proceeds of any Debt Issuance, prepay the Loans in an aggregate amount equal to 100% of such Net Cash Proceeds. Any prepayment pursuant to this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shall be applied as set forth in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below.</w:t>
      </w:r>
    </w:p>
    <w:p>
      <w:pPr>
        <w:spacing w:after="0" w:line="165" w:lineRule="exact"/>
        <w:rPr>
          <w:rFonts w:ascii="Times New Roman" w:cs="Times New Roman" w:eastAsia="Times New Roman" w:hAnsi="Times New Roman"/>
          <w:sz w:val="17"/>
          <w:szCs w:val="17"/>
          <w:color w:val="auto"/>
        </w:rPr>
      </w:pPr>
    </w:p>
    <w:p>
      <w:pPr>
        <w:jc w:val="both"/>
        <w:ind w:left="620" w:firstLine="620"/>
        <w:spacing w:after="0" w:line="258" w:lineRule="auto"/>
        <w:tabs>
          <w:tab w:leader="none" w:pos="1664"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Application of Mandatory Prepayments. All payments under this </w:t>
      </w:r>
      <w:r>
        <w:rPr>
          <w:rFonts w:ascii="Times New Roman" w:cs="Times New Roman" w:eastAsia="Times New Roman" w:hAnsi="Times New Roman"/>
          <w:sz w:val="17"/>
          <w:szCs w:val="17"/>
          <w:u w:val="single" w:color="auto"/>
          <w:color w:val="auto"/>
        </w:rPr>
        <w:t>Section 2.03(b)</w:t>
      </w:r>
      <w:r>
        <w:rPr>
          <w:rFonts w:ascii="Times New Roman" w:cs="Times New Roman" w:eastAsia="Times New Roman" w:hAnsi="Times New Roman"/>
          <w:sz w:val="17"/>
          <w:szCs w:val="17"/>
          <w:color w:val="auto"/>
        </w:rPr>
        <w:t xml:space="preserve"> shall be applied first to all fees, costs, expenses, indemnities and other amounts due and payable hereunder, then proportionately (based on the relation of such amounts to the total amount of the relevant payment under this </w:t>
      </w:r>
      <w:r>
        <w:rPr>
          <w:rFonts w:ascii="Times New Roman" w:cs="Times New Roman" w:eastAsia="Times New Roman" w:hAnsi="Times New Roman"/>
          <w:sz w:val="17"/>
          <w:szCs w:val="17"/>
          <w:u w:val="single" w:color="auto"/>
          <w:color w:val="auto"/>
        </w:rPr>
        <w:t>Section 2.03(b)</w:t>
      </w:r>
      <w:r>
        <w:rPr>
          <w:rFonts w:ascii="Times New Roman" w:cs="Times New Roman" w:eastAsia="Times New Roman" w:hAnsi="Times New Roman"/>
          <w:sz w:val="17"/>
          <w:szCs w:val="17"/>
          <w:color w:val="auto"/>
        </w:rPr>
        <w:t xml:space="preserve">) to the payment or prepayment (as applicable) of the following amounts of the Obligations: default interest, if any,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accrued interest and principal. For the avoidance of doubt, each such prepayment shall also be accompanied by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if applicable. Each such prepayment shall be applied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outstanding Term C Loans,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outstanding Term B Loans and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to outstanding Term A Loans. Each such prepayment shall be applied to the Loans of the Lenders in accordance with the respective Applicable Percentages in respect of each of the relevant Term Facilities.</w:t>
      </w:r>
    </w:p>
    <w:p>
      <w:pPr>
        <w:spacing w:after="0" w:line="175" w:lineRule="exact"/>
        <w:rPr>
          <w:rFonts w:ascii="Times New Roman" w:cs="Times New Roman" w:eastAsia="Times New Roman" w:hAnsi="Times New Roman"/>
          <w:sz w:val="17"/>
          <w:szCs w:val="17"/>
          <w:color w:val="auto"/>
        </w:rPr>
      </w:pPr>
    </w:p>
    <w:p>
      <w:pPr>
        <w:ind w:left="620" w:right="40" w:firstLine="620"/>
        <w:spacing w:after="0" w:line="270" w:lineRule="auto"/>
        <w:tabs>
          <w:tab w:leader="none" w:pos="1611"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 of Mandatory Prepayment. The Borrower shall provide prior written notice to the Administrative Agent of any prepayment made pursuant to this </w:t>
      </w:r>
      <w:r>
        <w:rPr>
          <w:rFonts w:ascii="Times New Roman" w:cs="Times New Roman" w:eastAsia="Times New Roman" w:hAnsi="Times New Roman"/>
          <w:sz w:val="17"/>
          <w:szCs w:val="17"/>
          <w:u w:val="single" w:color="auto"/>
          <w:color w:val="auto"/>
        </w:rPr>
        <w:t>Section 2.03(b)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notice must be received not later than 11:00 a.m. one (1) Business Day prior to the date of prepayment (or such shorter period as the Required Lenders may agree).</w:t>
      </w:r>
    </w:p>
    <w:p>
      <w:pPr>
        <w:spacing w:after="0" w:line="165" w:lineRule="exact"/>
        <w:rPr>
          <w:rFonts w:ascii="Times New Roman" w:cs="Times New Roman" w:eastAsia="Times New Roman" w:hAnsi="Times New Roman"/>
          <w:sz w:val="17"/>
          <w:szCs w:val="17"/>
          <w:color w:val="auto"/>
        </w:rPr>
      </w:pPr>
    </w:p>
    <w:p>
      <w:pPr>
        <w:jc w:val="both"/>
        <w:ind w:firstLine="621"/>
        <w:spacing w:after="0" w:line="258" w:lineRule="auto"/>
        <w:tabs>
          <w:tab w:leader="none" w:pos="99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 of Control. Upon the occurrence of a Change of Control, the Borrower shall, at the direction of the Required Lenders, and may, at its option upon three (3) Business Days prior written notice from the Borrower to the Administrative Agent, prepay the Outstanding Amount of the Loans together with all accrued and unpaid interest thereon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the Final Payment Premium required by </w:t>
      </w:r>
      <w:r>
        <w:rPr>
          <w:rFonts w:ascii="Times New Roman" w:cs="Times New Roman" w:eastAsia="Times New Roman" w:hAnsi="Times New Roman"/>
          <w:sz w:val="17"/>
          <w:szCs w:val="17"/>
          <w:u w:val="single" w:color="auto"/>
          <w:color w:val="auto"/>
        </w:rPr>
        <w:t>Section 2.07(b) plus</w:t>
      </w:r>
      <w:r>
        <w:rPr>
          <w:rFonts w:ascii="Times New Roman" w:cs="Times New Roman" w:eastAsia="Times New Roman" w:hAnsi="Times New Roman"/>
          <w:sz w:val="17"/>
          <w:szCs w:val="17"/>
          <w:color w:val="auto"/>
        </w:rPr>
        <w:t xml:space="preserve"> all other Obligations (other than contingent indemnification or expense reimbursement obligations for which no claim has been asserted). Each such direction or notice shall specify the date and amount of such prepayment. If such direction or notice is given, the Borrower shall make such prepayment and the payment amount specified in such direction or notice shall be due and payable on the date specified therein. Each prepayment under this </w:t>
      </w:r>
      <w:r>
        <w:rPr>
          <w:rFonts w:ascii="Times New Roman" w:cs="Times New Roman" w:eastAsia="Times New Roman" w:hAnsi="Times New Roman"/>
          <w:sz w:val="17"/>
          <w:szCs w:val="17"/>
          <w:u w:val="single" w:color="auto"/>
          <w:color w:val="auto"/>
        </w:rPr>
        <w:t>Section 2.03(c)</w:t>
      </w:r>
      <w:r>
        <w:rPr>
          <w:rFonts w:ascii="Times New Roman" w:cs="Times New Roman" w:eastAsia="Times New Roman" w:hAnsi="Times New Roman"/>
          <w:sz w:val="17"/>
          <w:szCs w:val="17"/>
          <w:color w:val="auto"/>
        </w:rPr>
        <w:t xml:space="preserve"> shall be applied to the Loans of the Lenders in accordance with their respective Applicable Percentages.</w:t>
      </w:r>
    </w:p>
    <w:p>
      <w:pPr>
        <w:spacing w:after="0" w:line="179" w:lineRule="exact"/>
        <w:rPr>
          <w:rFonts w:ascii="Times New Roman" w:cs="Times New Roman" w:eastAsia="Times New Roman" w:hAnsi="Times New Roman"/>
          <w:sz w:val="17"/>
          <w:szCs w:val="17"/>
          <w:color w:val="auto"/>
        </w:rPr>
      </w:pPr>
    </w:p>
    <w:p>
      <w:pPr>
        <w:jc w:val="both"/>
        <w:ind w:firstLine="621"/>
        <w:spacing w:after="0" w:line="255" w:lineRule="auto"/>
        <w:tabs>
          <w:tab w:leader="none" w:pos="99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Repayment Premiums. Notwithstanding anything to the contrary in this Agreement or any other Loan Document, if all or any portion of the principal amount of any Loans are repaid, or required to be repaid, pursuant to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otherwise (other than, for the avoidance of doubt,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then, in all cases, the Borrower shall pay to the Lenders, for their respective ratable accounts, on the date on which such repayment is paid or required to be paid, in addition to the other Obligations so repaid or required to be repaid, a repayment premium equal to: (i) with respect to any repayment paid or required to be paid on or prior to the twenty-four (24) month anniversary of the Closing Date, an amount equal to the Make-Whole Amount (Months 1-24) with respect to such repayment, (ii) with respect to any repayment paid or required to be paid after the twenty-four (24) month anniversary of the Closing Date, but on or prior to the thirty (30) month anniversary of the Closing Date, an amount equal to the Make-Whole Amount (Months 25-30) with respect to such repayment, (iii) with respect to any repayment paid or required to be paid after the thirty (30) month anniversary of the Closing Date but on or prior to the thirty-six (36) month anniversary of the Closing Date, an amount equal to three and one half of one percent (3.50%) of the principal amount of such Loan that is repaid or required to be repaid, (iv) with respect to any repayment paid or required to be paid after the thirty-six (36) month anniversary of the Closing Date but on or prior to the forty-eight (48) month anniversary of the Closing Date, an amount equal to one and one half of one percent (1.50%) of the principal amount of such Loan that is repaid or required to be repaid, and (v) with respect to any repayment paid or required to be paid thereafter, an amount equal to zero percent (0%) of the principal amount of such Loan that is repaid or required to be repaid. Such repayment premiums shall be fully earned when paid and shall be non-refundable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341630</wp:posOffset>
            </wp:positionV>
            <wp:extent cx="71386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-8277860</wp:posOffset>
            </wp:positionV>
            <wp:extent cx="11423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114236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-6575425</wp:posOffset>
            </wp:positionV>
            <wp:extent cx="15906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590675" cy="825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-6313170</wp:posOffset>
            </wp:positionV>
            <wp:extent cx="1965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96532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-5658485</wp:posOffset>
            </wp:positionV>
            <wp:extent cx="1142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14236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-5003800</wp:posOffset>
            </wp:positionV>
            <wp:extent cx="7239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-4479290</wp:posOffset>
            </wp:positionV>
            <wp:extent cx="184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849755"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-3300730</wp:posOffset>
            </wp:positionV>
            <wp:extent cx="15722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572260" cy="8255"/>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-2776855</wp:posOffset>
            </wp:positionV>
            <wp:extent cx="937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-1729105</wp:posOffset>
            </wp:positionV>
            <wp:extent cx="1075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79" w:name="page80"/>
    <w:bookmarkEnd w:id="79"/>
    <w:p>
      <w:pPr>
        <w:spacing w:after="0" w:line="68"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2.04</w:t>
        <w:tab/>
        <w:t>Termination of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027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197" w:lineRule="exact"/>
        <w:rPr>
          <w:sz w:val="20"/>
          <w:szCs w:val="20"/>
          <w:color w:val="auto"/>
        </w:rPr>
      </w:pPr>
    </w:p>
    <w:p>
      <w:pPr>
        <w:ind w:left="620" w:right="40" w:firstLine="621"/>
        <w:spacing w:after="0" w:line="261" w:lineRule="auto"/>
        <w:tabs>
          <w:tab w:leader="none" w:pos="159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Voluntary. The Borrower may, upon written notice to the Administrative Agent during (i) the Term B Availability Period, terminate in full the Term B Commitments and (ii) the Term C Availability Period, terminate in full the Term C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such notice shall be received by the Administrative Agent not later than 9:00 a.m. five (5) Business Days prior to the date of termination. Upon any termination of the Term B Commitments or the Term C Commitments, the Commitments of each Appropriate Lender shall be reduced by such Lender’s Applicable Percentage of such reduction amount.</w:t>
      </w:r>
    </w:p>
    <w:p>
      <w:pPr>
        <w:spacing w:after="0" w:line="174" w:lineRule="exact"/>
        <w:rPr>
          <w:rFonts w:ascii="Times New Roman" w:cs="Times New Roman" w:eastAsia="Times New Roman" w:hAnsi="Times New Roman"/>
          <w:sz w:val="17"/>
          <w:szCs w:val="17"/>
          <w:color w:val="auto"/>
        </w:rPr>
      </w:pPr>
    </w:p>
    <w:p>
      <w:pPr>
        <w:ind w:left="620" w:right="140" w:firstLine="621"/>
        <w:spacing w:after="0" w:line="261" w:lineRule="auto"/>
        <w:tabs>
          <w:tab w:leader="none" w:pos="161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Mandatory. The Term A Commitments will be automatically and permanently reduced to zero upon the Term A Borrowing pursuant to </w:t>
      </w:r>
      <w:r>
        <w:rPr>
          <w:rFonts w:ascii="Times New Roman" w:cs="Times New Roman" w:eastAsia="Times New Roman" w:hAnsi="Times New Roman"/>
          <w:sz w:val="17"/>
          <w:szCs w:val="17"/>
          <w:u w:val="single" w:color="auto"/>
          <w:color w:val="auto"/>
        </w:rPr>
        <w:t>Section 2.01(a)</w:t>
      </w:r>
      <w:r>
        <w:rPr>
          <w:rFonts w:ascii="Times New Roman" w:cs="Times New Roman" w:eastAsia="Times New Roman" w:hAnsi="Times New Roman"/>
          <w:sz w:val="17"/>
          <w:szCs w:val="17"/>
          <w:color w:val="auto"/>
        </w:rPr>
        <w:t xml:space="preserve">. The Term B Commitments will be automatically and permanently reduced (i) by the amount of each Term B Borrowing on the date of each such Term B Borrowing and (ii) to zero upon the second Term B Borrowing pursuant to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 xml:space="preserve"> or, if earlier, on the date that the Term B Availability Period shall end. The Term C Commitments will be automatically and permanently reduced to zero upon the Term C Borrowing pursuant to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 xml:space="preserve"> or, if earlier, on the date that the Term C Availability Period shall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-1343660</wp:posOffset>
            </wp:positionV>
            <wp:extent cx="5353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53530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-557530</wp:posOffset>
            </wp:positionV>
            <wp:extent cx="5880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5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2.05</w:t>
        <w:tab/>
        <w:t>Repayment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17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197" w:lineRule="exact"/>
        <w:rPr>
          <w:sz w:val="20"/>
          <w:szCs w:val="20"/>
          <w:color w:val="auto"/>
        </w:rPr>
      </w:pPr>
    </w:p>
    <w:p>
      <w:pPr>
        <w:ind w:left="620"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Borrower shall repay the outstanding principal amount of all Loans, together with all accrued and unpaid interest thereon and all other outstanding Obligations, including the Final Payment Premium required under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on the Maturity Date.</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2.06</w:t>
        <w:tab/>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436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spacing w:after="0" w:line="197" w:lineRule="exact"/>
        <w:rPr>
          <w:sz w:val="20"/>
          <w:szCs w:val="20"/>
          <w:color w:val="auto"/>
        </w:rPr>
      </w:pPr>
    </w:p>
    <w:p>
      <w:pPr>
        <w:ind w:left="620" w:right="220" w:firstLine="621"/>
        <w:spacing w:after="0" w:line="270" w:lineRule="auto"/>
        <w:tabs>
          <w:tab w:leader="none" w:pos="160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Pre-Default Rate. Subject to the provisions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each Loan shall bear interest on the outstanding principal amount thereof (for the avoidance of doubt, based on the stated principal amount thereof without reducing such amount by any applicable original issue discount) for each Interest Period from the applicable borrowing date thereof at a rate per annum equal to the Interest Rate for such Interest Period.</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2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Rate. (i) Upon the occurrence and during the existence of any Event of Default, all outstanding Obligations shall bear interest at an interest rate per annum at all times equal to the Interest Rate for the applicable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four percent (4.00%) per annum (the “</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xml:space="preserve">”), to the fullest extent permitted by applicable Laws, until such Event of Default is cured or waived in accordance with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to the extent that the only Event of Default in existence is an Event of Default that occurs under </w:t>
      </w:r>
      <w:r>
        <w:rPr>
          <w:rFonts w:ascii="Times New Roman" w:cs="Times New Roman" w:eastAsia="Times New Roman" w:hAnsi="Times New Roman"/>
          <w:sz w:val="17"/>
          <w:szCs w:val="17"/>
          <w:u w:val="single" w:color="auto"/>
          <w:color w:val="auto"/>
        </w:rPr>
        <w:t>Section 9.01(b)</w:t>
      </w:r>
      <w:r>
        <w:rPr>
          <w:rFonts w:ascii="Times New Roman" w:cs="Times New Roman" w:eastAsia="Times New Roman" w:hAnsi="Times New Roman"/>
          <w:sz w:val="17"/>
          <w:szCs w:val="17"/>
          <w:color w:val="auto"/>
        </w:rPr>
        <w:t xml:space="preserve"> solely as a result of the Loan Parties’ failure to comply with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xml:space="preserve">, the “Default Rate” for such Event of Default shall instead be an interest rate per annum at all times equal to the Interest Rate for the applicable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one-half of one percent (0.50%) per annum until such Event of Default is cured or waived in accordance with the terms of this Agreement and (ii) accrued and unpaid interest on past due amounts (including interest on past due interest) shall be due and payable in cash on demand.</w:t>
      </w:r>
    </w:p>
    <w:p>
      <w:pPr>
        <w:spacing w:after="0" w:line="175"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Paid-In-Kind Interest.</w:t>
      </w:r>
    </w:p>
    <w:p>
      <w:pPr>
        <w:spacing w:after="0" w:line="217" w:lineRule="exact"/>
        <w:rPr>
          <w:rFonts w:ascii="Times New Roman" w:cs="Times New Roman" w:eastAsia="Times New Roman" w:hAnsi="Times New Roman"/>
          <w:sz w:val="17"/>
          <w:szCs w:val="17"/>
          <w:color w:val="auto"/>
        </w:rPr>
      </w:pPr>
    </w:p>
    <w:p>
      <w:pPr>
        <w:jc w:val="both"/>
        <w:ind w:left="1240" w:firstLine="620"/>
        <w:spacing w:after="0" w:line="242" w:lineRule="auto"/>
        <w:tabs>
          <w:tab w:leader="none" w:pos="222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with the Interest Payment Date occurring on June 30, 2024 and continuing through and including the Interest Payment Date occurring on March 31, 2026 (the “</w:t>
      </w:r>
      <w:r>
        <w:rPr>
          <w:rFonts w:ascii="Times New Roman" w:cs="Times New Roman" w:eastAsia="Times New Roman" w:hAnsi="Times New Roman"/>
          <w:sz w:val="17"/>
          <w:szCs w:val="17"/>
          <w:u w:val="single" w:color="auto"/>
          <w:color w:val="auto"/>
        </w:rPr>
        <w:t>PIK Period</w:t>
      </w:r>
      <w:r>
        <w:rPr>
          <w:rFonts w:ascii="Times New Roman" w:cs="Times New Roman" w:eastAsia="Times New Roman" w:hAnsi="Times New Roman"/>
          <w:sz w:val="17"/>
          <w:szCs w:val="17"/>
          <w:color w:val="auto"/>
        </w:rPr>
        <w:t>”), on any Interest Payment Date, so long as (A) no Event of Default has occurred and is continuing on any such Interest Payment Date and (B) the Borrower has not delivered to the Administrative Agent (for further distribution to the Lenders) a PIK Period Cash Pay Notice on or prior to the date that is six (6) Business Days prior to the first day of the Interest Period ending on such Interest Payment Date, (x) seventy-five percent (75%) of the aggregate amount of interest accruing on the Loans during such Interest Period (such interest, the “</w:t>
      </w:r>
      <w:r>
        <w:rPr>
          <w:rFonts w:ascii="Times New Roman" w:cs="Times New Roman" w:eastAsia="Times New Roman" w:hAnsi="Times New Roman"/>
          <w:sz w:val="17"/>
          <w:szCs w:val="17"/>
          <w:u w:val="single" w:color="auto"/>
          <w:color w:val="auto"/>
        </w:rPr>
        <w:t>PIK Period Cash Pay Interest</w:t>
      </w:r>
      <w:r>
        <w:rPr>
          <w:rFonts w:ascii="Times New Roman" w:cs="Times New Roman" w:eastAsia="Times New Roman" w:hAnsi="Times New Roman"/>
          <w:sz w:val="17"/>
          <w:szCs w:val="17"/>
          <w:color w:val="auto"/>
        </w:rPr>
        <w:t>”) shall be due and payable in cash in arrears on such Interest Payment Date and (y) twenty-five percent (25%) of the aggregate amount of interest accruing on the Loans during such Interest Period (such interest, the “</w:t>
      </w:r>
      <w:r>
        <w:rPr>
          <w:rFonts w:ascii="Times New Roman" w:cs="Times New Roman" w:eastAsia="Times New Roman" w:hAnsi="Times New Roman"/>
          <w:sz w:val="17"/>
          <w:szCs w:val="17"/>
          <w:u w:val="single" w:color="auto"/>
          <w:color w:val="auto"/>
        </w:rPr>
        <w:t>PIK Period Paid-in-Kind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shall be due and payable on such Interest Payment Date by capitalizing and adding such PIK Period Paid-in-Kind Interest to the outstanding principal amount of the applicable Loans on such Interest Payment Date. For the avoidance of doubt, if (I) on or prior to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prior to the first day of any Interest Period ending on any Interest Payment Date occurring during the PIK Period the Borrower has delivered to the Administrative Agent (for further distribution to the Lenders) a PIK Period Cash Pay Notice, or (II) any Event of Default has occurred and is continuing on any such Interest Payment Date, all interest accruing on the Loans shall be due and payable in cash in arrears on such Interest Payment Date.</w:t>
      </w:r>
    </w:p>
    <w:p>
      <w:pPr>
        <w:spacing w:after="0" w:line="197" w:lineRule="exact"/>
        <w:rPr>
          <w:rFonts w:ascii="Times New Roman" w:cs="Times New Roman" w:eastAsia="Times New Roman" w:hAnsi="Times New Roman"/>
          <w:sz w:val="17"/>
          <w:szCs w:val="17"/>
          <w:color w:val="auto"/>
        </w:rPr>
      </w:pPr>
    </w:p>
    <w:p>
      <w:pPr>
        <w:jc w:val="both"/>
        <w:ind w:left="1240" w:firstLine="620"/>
        <w:spacing w:after="0" w:line="264" w:lineRule="auto"/>
        <w:tabs>
          <w:tab w:leader="none" w:pos="224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Paid-in-Kind Interest Generally. Any and all such PIK Period Paid-in-Kind Interest so added to the principal amount of the Loans shall constitute and increase the principal amount of the Loans for all purposes under this Agreement, including without limitation, for purposes of calculating any repayment premium under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(but excluding for purposes of calculating the Final Payment Premium under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shall bear interest in accordance with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2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Interest Generally. Interest on each Loan shall be due and payable in arrears on each Interest Payment Date and at such other times as may be specified herein. Subject to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xml:space="preserve"> above, all interest shall be due and payable in cash. Interest hereunder shall be due and payable in accordance with the terms hereof before and after judgment, and before and after the commencement of any proceeding under any Debtor Relief Law. Each determination of an interest rate by the Administrative Agent pursuant to any provision of this Agreement shall be determinative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-5010785</wp:posOffset>
            </wp:positionV>
            <wp:extent cx="8451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84518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-4486910</wp:posOffset>
            </wp:positionV>
            <wp:extent cx="6718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-3308350</wp:posOffset>
            </wp:positionV>
            <wp:extent cx="1039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1039495" cy="8255"/>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-1212215</wp:posOffset>
            </wp:positionV>
            <wp:extent cx="14986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149860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-557530</wp:posOffset>
            </wp:positionV>
            <wp:extent cx="901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5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2.07</w:t>
        <w:tab/>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309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0924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64" w:lineRule="auto"/>
        <w:tabs>
          <w:tab w:leader="none" w:pos="169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Letters. The Borrower shall pay to the Administrative Agent, the Lenders and their respective Affiliates for their own respective accounts fees and original issue discount in the amounts and at the times specified in the applicable Fee Letter. It being understood and agreed that any such original issue discount shall not reduce the aggregate principal amount of any Loans for any reason under this Agreement or any other Loan Document. Such fees and original issue discount shall be fully earned when paid and shall be non-refundable for any reason whatsoever.</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2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Final Payment Premium. Upon the earlier to occur of (i) the Maturity Date and (ii) the date that the Loans become due and payable in full for any reason (whether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or otherwise), the Borrower shall pay, without any presentment thereof, to the Administrative Agent, for the account of the respective Lenders to which such payment is owed, at the Administrative Agent’s Office, in addition to the other Obligations prepaid, repaid or required to be prepaid or repaid, in each case, on such date, the Final Payment Premium. The Final Payment Premium shall be fully earned when paid and shall be non-refundable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-1212215</wp:posOffset>
            </wp:positionV>
            <wp:extent cx="6705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7056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-557530</wp:posOffset>
            </wp:positionV>
            <wp:extent cx="1186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15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2.08</w:t>
        <w:tab/>
        <w:t>Computation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51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All computations of interest shall be made on the basis of a 360-day year and actual days elapsed. Interest shall accrue on each Loan for the day on which such Loan is made, and shall not accrue on a Loan, or any portion thereof, for the day on which such Loan or such portion is paid.</w:t>
      </w:r>
    </w:p>
    <w:p>
      <w:pPr>
        <w:sectPr>
          <w:pgSz w:w="11900" w:h="16906" w:orient="portrait"/>
          <w:cols w:equalWidth="0" w:num="1">
            <w:col w:w="11240"/>
          </w:cols>
          <w:pgMar w:left="320" w:top="561" w:right="339" w:bottom="0" w:gutter="0" w:footer="0" w:header="0"/>
        </w:sectPr>
      </w:pPr>
    </w:p>
    <w:bookmarkStart w:id="80" w:name="page81"/>
    <w:bookmarkEnd w:id="80"/>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432435</wp:posOffset>
            </wp:positionV>
            <wp:extent cx="71386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2.09</w:t>
        <w:tab/>
        <w:t>Evidence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8724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Loans made by each Lender shall be evidenced by one or more accounts or records maintained by such Lender in the ordinary course of business. The accounts or records maintained by each Lender shall be conclusive absent manifest error of the amount of Loans made by the Lenders to the Borrower and the interest and payments thereon. Any failure to so record or any error in doing so shall not, however, limit or otherwise affect the obligation of the Borrower hereunder to pay any amount owing with respect to the Obligations. Upon the request of any Lender, the Borrower shall execute and deliver to such Lender a promissory note, which shall evidence such Lender’s Loans in addition to such accounts or records. Each such promissory note shall (a) in the case of the Term A Loans, be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u w:val="single" w:color="auto"/>
          <w:color w:val="auto"/>
        </w:rPr>
        <w:t>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Term A Note</w:t>
      </w:r>
      <w:r>
        <w:rPr>
          <w:rFonts w:ascii="Times New Roman" w:cs="Times New Roman" w:eastAsia="Times New Roman" w:hAnsi="Times New Roman"/>
          <w:sz w:val="17"/>
          <w:szCs w:val="17"/>
          <w:color w:val="auto"/>
        </w:rPr>
        <w:t xml:space="preserve">”), (b) in the case of the Term B Loans, be in the form of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Term B Note</w:t>
      </w:r>
      <w:r>
        <w:rPr>
          <w:rFonts w:ascii="Times New Roman" w:cs="Times New Roman" w:eastAsia="Times New Roman" w:hAnsi="Times New Roman"/>
          <w:sz w:val="17"/>
          <w:szCs w:val="17"/>
          <w:color w:val="auto"/>
        </w:rPr>
        <w:t xml:space="preserve">”) and (c) in the case of the Term C Loans, be in the form of </w:t>
      </w:r>
      <w:r>
        <w:rPr>
          <w:rFonts w:ascii="Times New Roman" w:cs="Times New Roman" w:eastAsia="Times New Roman" w:hAnsi="Times New Roman"/>
          <w:sz w:val="17"/>
          <w:szCs w:val="17"/>
          <w:u w:val="single" w:color="auto"/>
          <w:color w:val="auto"/>
        </w:rPr>
        <w:t>Exhibit B-3</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Term C Note</w:t>
      </w:r>
      <w:r>
        <w:rPr>
          <w:rFonts w:ascii="Times New Roman" w:cs="Times New Roman" w:eastAsia="Times New Roman" w:hAnsi="Times New Roman"/>
          <w:sz w:val="17"/>
          <w:szCs w:val="17"/>
          <w:color w:val="auto"/>
        </w:rPr>
        <w:t>”). Each Lender may attach schedules to its Note and endorse thereon the date, amount and maturity of its Loans and payments with respect thereto.</w:t>
      </w:r>
    </w:p>
    <w:p>
      <w:pPr>
        <w:spacing w:after="0" w:line="17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2.10</w:t>
        <w:tab/>
        <w:t>Payments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9906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6" w:lineRule="auto"/>
        <w:tabs>
          <w:tab w:leader="none" w:pos="165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General. Except as otherwise expressly set forth herein or in any other Loan Document, payments to be made by the Borrower shall be made free and clear of and without condition or deduction for any counterclaim, defense, recoupment or setoff. Subject to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all payments of principal, interest, repayment premiums, Final Payment Premium and fees on the Loans and all other Obligations payable by any Loan Party under the Loan Documents shall be due, without any presentment thereof, to the Administrative Agent, for the account of the respective Lenders to which such payment is owed, at the Administrative Agent’s Office. The Loan Parties will make such payments in Dollars, in immediately available funds not later than 2:00 p.m. on the date due, marked for attention as indicated, or in such other manner or to such other account in any United States bank as the Administrative Agent may from time to time direct in writing.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may, at the Administrative Agent’s discretion,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w:t>
      </w:r>
    </w:p>
    <w:p>
      <w:pPr>
        <w:spacing w:after="0" w:line="181"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5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Obligations of Lenders Several. The obligations of the Lenders hereunder to make the Loans and to make payments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11.04(c)</w:t>
      </w:r>
      <w:r>
        <w:rPr>
          <w:rFonts w:ascii="Times New Roman" w:cs="Times New Roman" w:eastAsia="Times New Roman" w:hAnsi="Times New Roman"/>
          <w:sz w:val="17"/>
          <w:szCs w:val="17"/>
          <w:color w:val="auto"/>
        </w:rPr>
        <w:t xml:space="preserve"> are several and not joint. The failure of any Lender to make any Loan or to make any payment under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xml:space="preserve"> on any date required hereunder shall not relieve any other Lender of its corresponding obligation to do so on such date, and no Lender shall be responsible for the failure of any other Lender to so make a Loan or to make its payment under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620" w:right="180" w:firstLine="621"/>
        <w:spacing w:after="0" w:line="270" w:lineRule="auto"/>
        <w:tabs>
          <w:tab w:leader="none" w:pos="160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Funding Source. Nothing herein shall be deemed to obligate any Lender to obtain the funds for the making of any Loan in any particular place or manner or to constitute a representation by any Lender that it has obtained or will obtain the funds for the making of any Loan in any particular place or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-2527935</wp:posOffset>
            </wp:positionV>
            <wp:extent cx="4870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48704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-956310</wp:posOffset>
            </wp:positionV>
            <wp:extent cx="1518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151828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-301625</wp:posOffset>
            </wp:positionV>
            <wp:extent cx="803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145"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2.11</w:t>
        <w:tab/>
        <w:t>Sharing of Payments by Lenders; Presumptions by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-6350</wp:posOffset>
            </wp:positionV>
            <wp:extent cx="32969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62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shall, by exercising any right of setoff or otherwise, obtain payment in respect of any principal of or interest on its Loans or repayment premium or Final Payment Premium in connection therewith resulting in such Lender’s receiving payment of a proportion of the aggregate amount of the Loans and accrued interest thereon and repayment premium or Final Payment Premium in connection therewith greater than its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thereof as provided herein, then the Lender shall (x) notify the Administrative Agent of such fact and (y) purchase (for cash at face value) participations in the Loans of the other Lenders pursuant to documentation satisfactory to the Administrative Agent, or make such other adjustments as shall be equitable, so that the benefit of all such payments shall be shared by the Lenders ratably in accordance with the aggregate amount of principal of, accrued interest on and repayment premium or Final Payment Premium in connection with their respective Loans and other amounts owing them;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1240" w:right="180" w:firstLine="620"/>
        <w:spacing w:after="0" w:line="287" w:lineRule="auto"/>
        <w:tabs>
          <w:tab w:leader="none" w:pos="2193"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1" w:lineRule="exact"/>
        <w:rPr>
          <w:rFonts w:ascii="Times New Roman" w:cs="Times New Roman" w:eastAsia="Times New Roman" w:hAnsi="Times New Roman"/>
          <w:sz w:val="17"/>
          <w:szCs w:val="17"/>
          <w:color w:val="auto"/>
        </w:rPr>
      </w:pPr>
    </w:p>
    <w:p>
      <w:pPr>
        <w:jc w:val="both"/>
        <w:ind w:left="1240" w:right="100" w:firstLine="620"/>
        <w:spacing w:after="0" w:line="261" w:lineRule="auto"/>
        <w:tabs>
          <w:tab w:leader="none" w:pos="224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(B) any payment obtained by a Lender as consideration for the assignment of or sale of a participation in any of its Loans to any assignee or participant, other than an assignment to the Borrower or any Subsidiary (as to which the provisions of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shall apply).</w:t>
      </w:r>
    </w:p>
    <w:p>
      <w:pPr>
        <w:spacing w:after="0" w:line="175" w:lineRule="exact"/>
        <w:rPr>
          <w:sz w:val="20"/>
          <w:szCs w:val="20"/>
          <w:color w:val="auto"/>
        </w:rPr>
      </w:pPr>
    </w:p>
    <w:p>
      <w:pPr>
        <w:jc w:val="both"/>
        <w:ind w:left="620" w:firstLine="619"/>
        <w:spacing w:after="0" w:line="270" w:lineRule="auto"/>
        <w:rPr>
          <w:sz w:val="20"/>
          <w:szCs w:val="20"/>
          <w:color w:val="auto"/>
        </w:rPr>
      </w:pPr>
      <w:r>
        <w:rPr>
          <w:rFonts w:ascii="Times New Roman" w:cs="Times New Roman" w:eastAsia="Times New Roman" w:hAnsi="Times New Roman"/>
          <w:sz w:val="17"/>
          <w:szCs w:val="17"/>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5" w:lineRule="exact"/>
        <w:rPr>
          <w:sz w:val="20"/>
          <w:szCs w:val="20"/>
          <w:color w:val="auto"/>
        </w:rPr>
      </w:pPr>
    </w:p>
    <w:p>
      <w:pPr>
        <w:jc w:val="both"/>
        <w:ind w:left="620" w:firstLine="621"/>
        <w:spacing w:after="0" w:line="256" w:lineRule="auto"/>
        <w:tabs>
          <w:tab w:leader="none" w:pos="170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received notice from the Borrower prior to the date on which any payment is due to the Administrative Agent for the account of the Lenders that the Borrower will not make such payment, the Administrative Agent may assume that the Borrower has made such payment on such date in accordance herewith and may, in reliance upon such assumption, distribute to the Lenders, as the case may be, the amount due.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 xml:space="preserve">”): (i) the Borrower has not in fact made such payment; (ii) the Administrative Agent has made a payment in excess of the amount so paid by the Borrower (whether or not then owed); or (iii)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A notice of the Administrative Agent to any Lender or the Borrower with respect to any amount owing under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13867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82" w:name="page83"/>
    <w:bookmarkEnd w:id="82"/>
    <w:p>
      <w:pPr>
        <w:spacing w:after="0"/>
        <w:tabs>
          <w:tab w:leader="none" w:pos="46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6"/>
          <w:szCs w:val="16"/>
          <w:color w:val="auto"/>
        </w:rPr>
        <w:t>Defaulting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9544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197" w:lineRule="exact"/>
        <w:rPr>
          <w:sz w:val="20"/>
          <w:szCs w:val="20"/>
          <w:color w:val="auto"/>
        </w:rPr>
      </w:pPr>
    </w:p>
    <w:p>
      <w:pPr>
        <w:ind w:right="20" w:firstLine="621"/>
        <w:spacing w:after="0" w:line="287" w:lineRule="auto"/>
        <w:tabs>
          <w:tab w:leader="none" w:pos="97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Notwithstanding anything to the contrary contained in this Agreement, if any Lender becomes a Defaulting Lender, then, until such time as that Lender is no longer a Defaulting Lender, to the extent permitted by applicable Law:</w:t>
      </w:r>
    </w:p>
    <w:p>
      <w:pPr>
        <w:spacing w:after="0" w:line="151" w:lineRule="exact"/>
        <w:rPr>
          <w:rFonts w:ascii="Times New Roman" w:cs="Times New Roman" w:eastAsia="Times New Roman" w:hAnsi="Times New Roman"/>
          <w:sz w:val="17"/>
          <w:szCs w:val="17"/>
          <w:color w:val="auto"/>
        </w:rPr>
      </w:pPr>
    </w:p>
    <w:p>
      <w:pPr>
        <w:jc w:val="both"/>
        <w:ind w:left="620" w:right="80" w:firstLine="620"/>
        <w:spacing w:after="0" w:line="270" w:lineRule="auto"/>
        <w:tabs>
          <w:tab w:leader="none" w:pos="157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Waivers and Amendment. The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Each Lender agrees to provide to the Borrower, the Administrative Agent and each other Lender with prompt written notice of such Lender becoming a Defaulting Lender.</w:t>
      </w:r>
    </w:p>
    <w:p>
      <w:pPr>
        <w:spacing w:after="0" w:line="165" w:lineRule="exact"/>
        <w:rPr>
          <w:rFonts w:ascii="Times New Roman" w:cs="Times New Roman" w:eastAsia="Times New Roman" w:hAnsi="Times New Roman"/>
          <w:sz w:val="17"/>
          <w:szCs w:val="17"/>
          <w:color w:val="auto"/>
        </w:rPr>
      </w:pPr>
    </w:p>
    <w:p>
      <w:pPr>
        <w:jc w:val="both"/>
        <w:ind w:left="620" w:firstLine="620"/>
        <w:spacing w:after="0" w:line="255" w:lineRule="auto"/>
        <w:tabs>
          <w:tab w:leader="none" w:pos="163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Reallocation of Payments.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shall be applied at such time or times as may be determined by the Required Lenders as follows: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payment of any amounts owing by that Defaulting Lender to the Administrative Agent hereunder;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as the Borrower may request (so long as no Default or Event of Default exists), to the funding of any Loan in respect of which that Defaulting Lender has failed to fund its portion thereof as required by this Agreement, as determined by the Required Lenders;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if so determined by the Required Lenders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xml:space="preserve">, to that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(A) such payment is a payment of the principal amount of any Loans in respect of which that Defaulting Lender has not fully funded its appropriate share and (B) such Loans were made at a time when the conditions set forth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were satisfied or waived, such payment shall be applied solely to pay the Loans of all non-Defaulting Lenders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that Defaulting Lender.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17"/>
          <w:szCs w:val="17"/>
          <w:u w:val="single" w:color="auto"/>
          <w:color w:val="auto"/>
        </w:rPr>
        <w:t>Section 2.12(a)(ii)</w:t>
      </w:r>
      <w:r>
        <w:rPr>
          <w:rFonts w:ascii="Times New Roman" w:cs="Times New Roman" w:eastAsia="Times New Roman" w:hAnsi="Times New Roman"/>
          <w:sz w:val="17"/>
          <w:szCs w:val="17"/>
          <w:color w:val="auto"/>
        </w:rPr>
        <w:t xml:space="preserve"> shall be deemed paid to and redirected by that Defaulting Lender, and each Lender irrevocably consents hereto.</w:t>
      </w:r>
    </w:p>
    <w:p>
      <w:pPr>
        <w:spacing w:after="0" w:line="180" w:lineRule="exact"/>
        <w:rPr>
          <w:rFonts w:ascii="Times New Roman" w:cs="Times New Roman" w:eastAsia="Times New Roman" w:hAnsi="Times New Roman"/>
          <w:sz w:val="17"/>
          <w:szCs w:val="17"/>
          <w:color w:val="auto"/>
        </w:rPr>
      </w:pPr>
    </w:p>
    <w:p>
      <w:pPr>
        <w:ind w:right="80" w:firstLine="621"/>
        <w:spacing w:after="0" w:line="260" w:lineRule="auto"/>
        <w:tabs>
          <w:tab w:leader="none" w:pos="99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Defaulting Lender Cure. If the Borrower and the Required Lenders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333375</wp:posOffset>
            </wp:positionV>
            <wp:extent cx="71386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-4095115</wp:posOffset>
            </wp:positionV>
            <wp:extent cx="6546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54685" cy="825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-3702050</wp:posOffset>
            </wp:positionV>
            <wp:extent cx="12134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121348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-3178175</wp:posOffset>
            </wp:positionV>
            <wp:extent cx="12465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124650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-689610</wp:posOffset>
            </wp:positionV>
            <wp:extent cx="1151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83" w:name="page84"/>
    <w:bookmarkEnd w:id="83"/>
    <w:p>
      <w:pPr>
        <w:jc w:val="center"/>
        <w:ind w:right="620"/>
        <w:spacing w:after="0"/>
        <w:rPr>
          <w:sz w:val="20"/>
          <w:szCs w:val="20"/>
          <w:color w:val="auto"/>
        </w:rPr>
      </w:pPr>
      <w:r>
        <w:rPr>
          <w:rFonts w:ascii="Times New Roman" w:cs="Times New Roman" w:eastAsia="Times New Roman" w:hAnsi="Times New Roman"/>
          <w:sz w:val="17"/>
          <w:szCs w:val="17"/>
          <w:color w:val="auto"/>
        </w:rPr>
        <w:t>ARTICLE III</w:t>
      </w:r>
    </w:p>
    <w:p>
      <w:pPr>
        <w:spacing w:after="0" w:line="2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TAXES, INCREASED COSTS AND YIELD PROTECTION</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3.01</w:t>
      </w:r>
      <w:r>
        <w:rPr>
          <w:sz w:val="20"/>
          <w:szCs w:val="20"/>
          <w:color w:val="auto"/>
        </w:rPr>
        <w:tab/>
      </w:r>
      <w:r>
        <w:rPr>
          <w:rFonts w:ascii="Times New Roman" w:cs="Times New Roman" w:eastAsia="Times New Roman" w:hAnsi="Times New Roman"/>
          <w:sz w:val="16"/>
          <w:szCs w:val="16"/>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3600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97" w:lineRule="exact"/>
        <w:rPr>
          <w:sz w:val="20"/>
          <w:szCs w:val="20"/>
          <w:color w:val="auto"/>
        </w:rPr>
      </w:pPr>
    </w:p>
    <w:p>
      <w:pPr>
        <w:jc w:val="both"/>
        <w:ind w:firstLine="621"/>
        <w:spacing w:after="0" w:line="254" w:lineRule="auto"/>
        <w:tabs>
          <w:tab w:leader="none" w:pos="98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by or on account of any obligation of any Loan Party hereunder or under any other Loan Document to any Recipient shall be made free and clear of and without deduction or withholding for any present or future income, excise, stamp, documentary, property or franchise taxes and other taxes, fees, duties, levies, imposts, assessments, deductions, withholdings or other charges of any nature whatsoever, including any interest, additions to tax and penalties thereon, imposed by any taxing authority (collectively,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excluding (i) Taxes attributable to such Recipient’s failure to comply with </w:t>
      </w:r>
      <w:r>
        <w:rPr>
          <w:rFonts w:ascii="Times New Roman" w:cs="Times New Roman" w:eastAsia="Times New Roman" w:hAnsi="Times New Roman"/>
          <w:sz w:val="17"/>
          <w:szCs w:val="17"/>
          <w:u w:val="single" w:color="auto"/>
          <w:color w:val="auto"/>
        </w:rPr>
        <w:t>Section 3.01(c)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3.01(d)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3.01(f)</w:t>
      </w:r>
      <w:r>
        <w:rPr>
          <w:rFonts w:ascii="Times New Roman" w:cs="Times New Roman" w:eastAsia="Times New Roman" w:hAnsi="Times New Roman"/>
          <w:sz w:val="17"/>
          <w:szCs w:val="17"/>
          <w:color w:val="auto"/>
        </w:rPr>
        <w:t xml:space="preserve">, (ii) Taxes imposed on or measured by net income (however denominated), franchise Taxes, and branch profits Taxes, in each case, (A) imposed by any jurisdiction as a result of such Recipient being organized in or in the case of a Lender, having its applicable Lending Office in such jurisdiction, or (B) as a result of any other present or former connection with the jurisdiction imposing such Tax and such Recipient (other than a connection arising as the result of having executed, delivered, become a party to, performed obligations under, received payments under, received or perfected a security interest under, engaged in any transaction pursuant to, or enforced any Loan Document, or having sold or assigned an interest in any Loan or Loan Document), (iii) in the case of a Lender, U.S. federal withholding Taxes imposed on amounts payable to or for the account of such Lender with respect to an applicable interest in a Loan or Commitment pursuant to a Law in effect on the date on which (A) such Lender acquires such interest in the Commitment (or, in the case of a Loan not funded by such Lender pursuant to a prior Commitment, acquires such interest in such Loan), other than pursuant to an assignment request by the Borrower pursuant to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 xml:space="preserve">, or (B) such Lender changes its Lending Office, except in each case to the extent that,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amounts with respect to such Taxes were payable either to such Lender’s assignor immediately before such Lender acquired such interest in the applicable Loan or Commitment or to such Lender immediately before it changed its Lending Office, (iv) any U.S. federal backup withholding under Section 3406 of the Internal Revenue Code, and (v) withholding Tax imposed under FATCA (all non-excluded items imposed on or with respect to any payment made by or on account of any obligation of any Loan Party under any Loan Document being called “</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xml:space="preserve">”). If any Withholding Agent is required by applicable Law to make any withholding or deduction of Taxes from any payment by or on account of any obligation of any Loan Party under any Loan Document, then (x) the applicable Withholding Agent shall be entitled to make such withholding or deduction and shall pay directly to the relevant Governmental Authority the full amount required to be so withheld or deducted, (y) the applicable Withholding Agent shall promptly forward to the Administrative Agent an official receipt or other documentation satisfactory to the Administrative Agent evidencing such payment to such Governmental Authority and (z) if such withholding or deduction is in respect of Indemnified Taxes, the sum payable by the applicable Loan Party shall be increased by such additional amount or amounts as is necessary to ensure that the net amount actually received by the applicable Lender (or, in the case of payments made to the Administrative Agent for its own account, the Administrative Agent) will equal the full amount such Recipient would have received had no such withholding or deduction for Indemnified Taxes been made (including any such withholdings or deductions applicable to additional sums payable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applicable Withholding Agent in respect of an Indemnified Tax is a Person other than a Loan Party or the Administrative Agent (e.g., a Lender), the additional amounts required to be paid by a Loan Party under this </w:t>
      </w:r>
      <w:r>
        <w:rPr>
          <w:rFonts w:ascii="Times New Roman" w:cs="Times New Roman" w:eastAsia="Times New Roman" w:hAnsi="Times New Roman"/>
          <w:sz w:val="17"/>
          <w:szCs w:val="17"/>
          <w:u w:val="single" w:color="auto"/>
          <w:color w:val="auto"/>
        </w:rPr>
        <w:t>clause (z)</w:t>
      </w:r>
      <w:r>
        <w:rPr>
          <w:rFonts w:ascii="Times New Roman" w:cs="Times New Roman" w:eastAsia="Times New Roman" w:hAnsi="Times New Roman"/>
          <w:sz w:val="17"/>
          <w:szCs w:val="17"/>
          <w:color w:val="auto"/>
        </w:rPr>
        <w:t xml:space="preserve"> in respect of such Tax shall not be greater than the additional amounts such Loan Party would have been obligated to pay had such Loan Party made payment of such sum directly to the applicable beneficial owner of such payment complied with the provisions of Section 3.01(c)). Further, the Loan Parties shall pay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of the Loan Documents, except for Taxes imposed with respect to an assignment that are imposed by any jurisdiction as a result of a present or former connection between the Recipient and the jurisdiction imposing such Tax (other than a connection arising as the result of having executed, delivered, become a party to, performed obligations under, engaged in any transaction pursuant to, received payments under, received or perfected a security interest under, or enforced any Loan Document, or having sold or assigned an interest in any Loan or Loan Document) (all such non-excluded Taxes hereinafter referred to as “</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w:t>
      </w:r>
    </w:p>
    <w:p>
      <w:pPr>
        <w:spacing w:after="0" w:line="184"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7" w:lineRule="exact"/>
        <w:rPr>
          <w:rFonts w:ascii="Times New Roman" w:cs="Times New Roman" w:eastAsia="Times New Roman" w:hAnsi="Times New Roman"/>
          <w:sz w:val="17"/>
          <w:szCs w:val="17"/>
          <w:color w:val="auto"/>
        </w:rPr>
      </w:pPr>
    </w:p>
    <w:p>
      <w:pPr>
        <w:jc w:val="both"/>
        <w:ind w:firstLine="621"/>
        <w:spacing w:after="0" w:line="256" w:lineRule="auto"/>
        <w:tabs>
          <w:tab w:leader="none" w:pos="101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Lender that is entitled to an exemption from or reduction of withholding Tax with respect to any payments made under any Loan Document shall deliver to the Borrower and the Administrative Agent, at the time or times prescribed by applicable Law or when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3.01(c)(ii)(A)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3.01(d)</w:t>
      </w:r>
      <w:r>
        <w:rPr>
          <w:rFonts w:ascii="Times New Roman" w:cs="Times New Roman" w:eastAsia="Times New Roman" w:hAnsi="Times New Roman"/>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pursuant to </w:t>
      </w:r>
      <w:r>
        <w:rPr>
          <w:rFonts w:ascii="Times New Roman" w:cs="Times New Roman" w:eastAsia="Times New Roman" w:hAnsi="Times New Roman"/>
          <w:sz w:val="17"/>
          <w:szCs w:val="17"/>
          <w:u w:val="single" w:color="auto"/>
          <w:color w:val="auto"/>
        </w:rPr>
        <w:t>Section 3.01(d)</w:t>
      </w:r>
      <w:r>
        <w:rPr>
          <w:rFonts w:ascii="Times New Roman" w:cs="Times New Roman" w:eastAsia="Times New Roman" w:hAnsi="Times New Roman"/>
          <w:sz w:val="17"/>
          <w:szCs w:val="17"/>
          <w:color w:val="auto"/>
        </w:rPr>
        <w:t xml:space="preserve"> expires or becomes obsolete or inaccurate in any respect, it shall promptly update such form or certification or promptly notify the Administrative Agent and the Borrower of its inability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337185</wp:posOffset>
            </wp:positionV>
            <wp:extent cx="71386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84" w:name="page85"/>
    <w:bookmarkEnd w:id="84"/>
    <w:p>
      <w:pPr>
        <w:ind w:left="1120" w:hanging="380"/>
        <w:spacing w:after="0"/>
        <w:tabs>
          <w:tab w:leader="none" w:pos="11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w:t>
      </w:r>
    </w:p>
    <w:p>
      <w:pPr>
        <w:spacing w:after="0" w:line="217" w:lineRule="exact"/>
        <w:rPr>
          <w:rFonts w:ascii="Times New Roman" w:cs="Times New Roman" w:eastAsia="Times New Roman" w:hAnsi="Times New Roman"/>
          <w:sz w:val="17"/>
          <w:szCs w:val="17"/>
          <w:color w:val="auto"/>
        </w:rPr>
      </w:pPr>
    </w:p>
    <w:p>
      <w:pPr>
        <w:ind w:left="880" w:right="240" w:firstLine="495"/>
        <w:spacing w:after="0" w:line="264" w:lineRule="auto"/>
        <w:tabs>
          <w:tab w:leader="none" w:pos="1779"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and</w:t>
      </w:r>
    </w:p>
    <w:p>
      <w:pPr>
        <w:spacing w:after="0" w:line="171" w:lineRule="exact"/>
        <w:rPr>
          <w:rFonts w:ascii="Times New Roman" w:cs="Times New Roman" w:eastAsia="Times New Roman" w:hAnsi="Times New Roman"/>
          <w:sz w:val="17"/>
          <w:szCs w:val="17"/>
          <w:color w:val="auto"/>
        </w:rPr>
      </w:pPr>
    </w:p>
    <w:p>
      <w:pPr>
        <w:jc w:val="both"/>
        <w:ind w:left="880" w:right="40" w:firstLine="495"/>
        <w:spacing w:after="0" w:line="264" w:lineRule="auto"/>
        <w:tabs>
          <w:tab w:leader="none" w:pos="1770"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then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1" w:lineRule="exact"/>
        <w:rPr>
          <w:rFonts w:ascii="Times New Roman" w:cs="Times New Roman" w:eastAsia="Times New Roman" w:hAnsi="Times New Roman"/>
          <w:sz w:val="17"/>
          <w:szCs w:val="17"/>
          <w:color w:val="auto"/>
        </w:rPr>
      </w:pPr>
    </w:p>
    <w:p>
      <w:pPr>
        <w:ind w:left="1360" w:right="100" w:firstLine="617"/>
        <w:spacing w:after="0" w:line="270" w:lineRule="auto"/>
        <w:tabs>
          <w:tab w:leader="none" w:pos="2389" w:val="left"/>
        </w:tabs>
        <w:numPr>
          <w:ilvl w:val="3"/>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IRS Form W-8BEN or IRS Form W-8BEN-E establishing an exemption from, or reduction of, U.S. federal withholding Tax pursuant to such tax treaty;</w:t>
      </w:r>
    </w:p>
    <w:p>
      <w:pPr>
        <w:spacing w:after="0" w:line="165" w:lineRule="exact"/>
        <w:rPr>
          <w:rFonts w:ascii="Times New Roman" w:cs="Times New Roman" w:eastAsia="Times New Roman" w:hAnsi="Times New Roman"/>
          <w:sz w:val="17"/>
          <w:szCs w:val="17"/>
          <w:color w:val="auto"/>
        </w:rPr>
      </w:pPr>
    </w:p>
    <w:p>
      <w:pPr>
        <w:ind w:left="2380" w:hanging="403"/>
        <w:spacing w:after="0"/>
        <w:tabs>
          <w:tab w:leader="none" w:pos="2380" w:val="left"/>
        </w:tabs>
        <w:numPr>
          <w:ilvl w:val="3"/>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properly completed and duly executed copies of IRS Form W-8ECI;</w:t>
      </w:r>
    </w:p>
    <w:p>
      <w:pPr>
        <w:spacing w:after="0" w:line="217" w:lineRule="exact"/>
        <w:rPr>
          <w:rFonts w:ascii="Times New Roman" w:cs="Times New Roman" w:eastAsia="Times New Roman" w:hAnsi="Times New Roman"/>
          <w:sz w:val="17"/>
          <w:szCs w:val="17"/>
          <w:color w:val="auto"/>
        </w:rPr>
      </w:pPr>
    </w:p>
    <w:p>
      <w:pPr>
        <w:jc w:val="both"/>
        <w:ind w:left="1360" w:firstLine="617"/>
        <w:spacing w:after="0" w:line="260" w:lineRule="auto"/>
        <w:tabs>
          <w:tab w:leader="none" w:pos="2471" w:val="left"/>
        </w:tabs>
        <w:numPr>
          <w:ilvl w:val="3"/>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7"/>
          <w:szCs w:val="17"/>
          <w:u w:val="single" w:color="auto"/>
          <w:color w:val="auto"/>
        </w:rPr>
        <w:t>Exhibit F-1</w:t>
      </w:r>
      <w:r>
        <w:rPr>
          <w:rFonts w:ascii="Times New Roman" w:cs="Times New Roman" w:eastAsia="Times New Roman" w:hAnsi="Times New Roman"/>
          <w:sz w:val="17"/>
          <w:szCs w:val="17"/>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and (y) properly completed and duly executed copies of IRS Form W-8BEN-E; or</w:t>
      </w:r>
    </w:p>
    <w:p>
      <w:pPr>
        <w:spacing w:after="0" w:line="173" w:lineRule="exact"/>
        <w:rPr>
          <w:rFonts w:ascii="Times New Roman" w:cs="Times New Roman" w:eastAsia="Times New Roman" w:hAnsi="Times New Roman"/>
          <w:sz w:val="17"/>
          <w:szCs w:val="17"/>
          <w:color w:val="auto"/>
        </w:rPr>
      </w:pPr>
    </w:p>
    <w:p>
      <w:pPr>
        <w:jc w:val="both"/>
        <w:ind w:left="1360" w:firstLine="617"/>
        <w:spacing w:after="0" w:line="258" w:lineRule="auto"/>
        <w:tabs>
          <w:tab w:leader="none" w:pos="2408" w:val="left"/>
        </w:tabs>
        <w:numPr>
          <w:ilvl w:val="3"/>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 Foreign Lender is not the beneficial owner, properly completed and duly executed copies of IRS Form W-8IMY, accompanied by IRS Form W-8ECI, IRS Form W-8BEN, IRS Form W-8BEN-E, a U.S. Tax Compliance Certificate substantially in the form of </w:t>
      </w:r>
      <w:r>
        <w:rPr>
          <w:rFonts w:ascii="Times New Roman" w:cs="Times New Roman" w:eastAsia="Times New Roman" w:hAnsi="Times New Roman"/>
          <w:sz w:val="17"/>
          <w:szCs w:val="17"/>
          <w:u w:val="single" w:color="auto"/>
          <w:color w:val="auto"/>
        </w:rPr>
        <w:t>Exhibit F-2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F-3</w:t>
      </w:r>
      <w:r>
        <w:rPr>
          <w:rFonts w:ascii="Times New Roman" w:cs="Times New Roman" w:eastAsia="Times New Roman" w:hAnsi="Times New Roman"/>
          <w:sz w:val="17"/>
          <w:szCs w:val="17"/>
          <w:color w:val="auto"/>
        </w:rPr>
        <w:t xml:space="preserve">, IRS Form W-9, or other certification documents from each beneficial owner,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Foreign Lender is a partnership for U.S. tax purposes and one or more direct or indirect partners of such Foreign Lender are claiming the portfolio interest exemption, such Foreign Lender may provide U.S. Tax Compliance Certificate substantially in the form of </w:t>
      </w:r>
      <w:r>
        <w:rPr>
          <w:rFonts w:ascii="Times New Roman" w:cs="Times New Roman" w:eastAsia="Times New Roman" w:hAnsi="Times New Roman"/>
          <w:sz w:val="17"/>
          <w:szCs w:val="17"/>
          <w:u w:val="single" w:color="auto"/>
          <w:color w:val="auto"/>
        </w:rPr>
        <w:t>Exhibit F-4</w:t>
      </w:r>
      <w:r>
        <w:rPr>
          <w:rFonts w:ascii="Times New Roman" w:cs="Times New Roman" w:eastAsia="Times New Roman" w:hAnsi="Times New Roman"/>
          <w:sz w:val="17"/>
          <w:szCs w:val="17"/>
          <w:color w:val="auto"/>
        </w:rPr>
        <w:t xml:space="preserve"> on behalf of such direct and indirect partner(s); and</w:t>
      </w:r>
    </w:p>
    <w:p>
      <w:pPr>
        <w:spacing w:after="0" w:line="179" w:lineRule="exact"/>
        <w:rPr>
          <w:rFonts w:ascii="Times New Roman" w:cs="Times New Roman" w:eastAsia="Times New Roman" w:hAnsi="Times New Roman"/>
          <w:sz w:val="17"/>
          <w:szCs w:val="17"/>
          <w:color w:val="auto"/>
        </w:rPr>
      </w:pPr>
    </w:p>
    <w:p>
      <w:pPr>
        <w:jc w:val="both"/>
        <w:ind w:left="120" w:firstLine="620"/>
        <w:spacing w:after="0" w:line="260" w:lineRule="auto"/>
        <w:tabs>
          <w:tab w:leader="none" w:pos="118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then legally entitled to do so, deliver to the Borrower and the Administrative Agent (in such number of copies as shall be requested by the recipient) on or prior to the date on which such Foreign Lender becomes a Lender under this Agreement (and from time to time thereafter the reasonable request of the Borrower or the Administrative Agent), properly completed and duly executed copies of any other form prescribed by applicable Law as a basis for claiming exemption from or a reduction in withholding Tax, duly completed, together with such supplementary documentation as may be prescribed by applicable Law to permit the Borrower or the Administrative Agent to determine the withholding or deduction required to be made.</w:t>
      </w:r>
    </w:p>
    <w:p>
      <w:pPr>
        <w:spacing w:after="0" w:line="173" w:lineRule="exact"/>
        <w:rPr>
          <w:rFonts w:ascii="Times New Roman" w:cs="Times New Roman" w:eastAsia="Times New Roman" w:hAnsi="Times New Roman"/>
          <w:sz w:val="17"/>
          <w:szCs w:val="17"/>
          <w:color w:val="auto"/>
        </w:rPr>
      </w:pPr>
    </w:p>
    <w:p>
      <w:pPr>
        <w:ind w:left="-500" w:right="20" w:firstLine="621"/>
        <w:spacing w:after="0" w:line="258" w:lineRule="auto"/>
        <w:tabs>
          <w:tab w:leader="none" w:pos="49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thereunder or to determine the amount to deduct and withhold from such payment. The Borrower or the Administrative Agent may, to the extent required by applicable Law, provide any such information and documentation so provided to the Internal Revenue Service and any other relevant Tax authority. For purposes of this clause, “FATCA” shall include any amendments made to FATCA after the date of this Agreement.</w:t>
      </w:r>
    </w:p>
    <w:p>
      <w:pPr>
        <w:spacing w:after="0" w:line="175" w:lineRule="exact"/>
        <w:rPr>
          <w:rFonts w:ascii="Times New Roman" w:cs="Times New Roman" w:eastAsia="Times New Roman" w:hAnsi="Times New Roman"/>
          <w:sz w:val="17"/>
          <w:szCs w:val="17"/>
          <w:color w:val="auto"/>
        </w:rPr>
      </w:pPr>
    </w:p>
    <w:p>
      <w:pPr>
        <w:ind w:left="-500" w:right="40" w:firstLine="621"/>
        <w:spacing w:after="0" w:line="264" w:lineRule="auto"/>
        <w:tabs>
          <w:tab w:leader="none" w:pos="48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agrees that if any form or certification it previously delivered pursuant to </w:t>
      </w:r>
      <w:r>
        <w:rPr>
          <w:rFonts w:ascii="Times New Roman" w:cs="Times New Roman" w:eastAsia="Times New Roman" w:hAnsi="Times New Roman"/>
          <w:sz w:val="17"/>
          <w:szCs w:val="17"/>
          <w:u w:val="single" w:color="auto"/>
          <w:color w:val="auto"/>
        </w:rPr>
        <w:t>Sections 3.01(c)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expires or becomes obsolete or inaccurate in any respect, it shall promptly update such form or certification or promptly notify the Administrative Agent and the Borrower of its inability to do so. Notwithstanding anything to the contrary in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no Lender shall be required to deliver any documentation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that such lender is not legally eligible to deliver.</w:t>
      </w:r>
    </w:p>
    <w:p>
      <w:pPr>
        <w:spacing w:after="0" w:line="171" w:lineRule="exact"/>
        <w:rPr>
          <w:rFonts w:ascii="Times New Roman" w:cs="Times New Roman" w:eastAsia="Times New Roman" w:hAnsi="Times New Roman"/>
          <w:sz w:val="17"/>
          <w:szCs w:val="17"/>
          <w:color w:val="auto"/>
        </w:rPr>
      </w:pPr>
    </w:p>
    <w:p>
      <w:pPr>
        <w:jc w:val="both"/>
        <w:ind w:left="-500" w:firstLine="621"/>
        <w:spacing w:after="0" w:line="256" w:lineRule="auto"/>
        <w:tabs>
          <w:tab w:leader="none" w:pos="46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before the date the Administrative Agent becomes a party to this Agreement, the Administrative Agent shall provide to the Borrower, two duly-signed, properly completed copies of the documentation prescribed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(together with all required accompanying documentation) certifying either that the Administrative Agent is a U.S. branch and intends to be treated as a U.S. person for purposes of withholding and reporting under Chapter 3 and Chapter 4 of the Internal Revenue Code pursuant to Section 1.1441-1(b)(2)(iv) of the Treasury Regulations. At any time thereafter, the Administrative Agent shall provide updated documentation previously provided (or a successor form thereto) when any documentation previously delivered has expired or become obsolete or invalid or otherwise upon the reasonable request of the Borrower. An Administrative Agent delivering an IRS Form W-9 pursuant to the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represents to the Borrower that it is a “U.S. person” and a “financial institution” within the meaning of Treasury Regulations Section 1.1441-1 and that it will comply with its obligations to withhold under Section 1441 and FATCA with the effect that the Borrower may make payments to the Administrative Agent without deduction or withholding of any Taxes imposed by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337185</wp:posOffset>
            </wp:positionV>
            <wp:extent cx="713867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561" w:right="339" w:bottom="1440" w:gutter="0" w:footer="0" w:header="0"/>
        </w:sectPr>
      </w:pPr>
    </w:p>
    <w:bookmarkStart w:id="85" w:name="page86"/>
    <w:bookmarkEnd w:id="85"/>
    <w:p>
      <w:pPr>
        <w:jc w:val="both"/>
        <w:ind w:firstLine="621"/>
        <w:spacing w:after="0" w:line="256" w:lineRule="auto"/>
        <w:tabs>
          <w:tab w:leader="none" w:pos="104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(including by the payment of additional amounts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7"/>
          <w:szCs w:val="17"/>
          <w:u w:val="single" w:color="auto"/>
          <w:color w:val="auto"/>
        </w:rPr>
        <w:t>Section 3.01(g)</w:t>
      </w:r>
      <w:r>
        <w:rPr>
          <w:rFonts w:ascii="Times New Roman" w:cs="Times New Roman" w:eastAsia="Times New Roman" w:hAnsi="Times New Roman"/>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7"/>
          <w:szCs w:val="17"/>
          <w:u w:val="single" w:color="auto"/>
          <w:color w:val="auto"/>
        </w:rPr>
        <w:t>Section 3.01(g)</w:t>
      </w:r>
      <w:r>
        <w:rPr>
          <w:rFonts w:ascii="Times New Roman" w:cs="Times New Roman" w:eastAsia="Times New Roman" w:hAnsi="Times New Roman"/>
          <w:sz w:val="17"/>
          <w:szCs w:val="17"/>
          <w:color w:val="auto"/>
        </w:rPr>
        <w:t xml:space="preserve">, in no event will the indemnified party be required to pay any amount to an indemnifying party pursuant to this </w:t>
      </w:r>
      <w:r>
        <w:rPr>
          <w:rFonts w:ascii="Times New Roman" w:cs="Times New Roman" w:eastAsia="Times New Roman" w:hAnsi="Times New Roman"/>
          <w:sz w:val="17"/>
          <w:szCs w:val="17"/>
          <w:u w:val="single" w:color="auto"/>
          <w:color w:val="auto"/>
        </w:rPr>
        <w:t>Section 3.01(g)</w:t>
      </w:r>
      <w:r>
        <w:rPr>
          <w:rFonts w:ascii="Times New Roman" w:cs="Times New Roman" w:eastAsia="Times New Roman" w:hAnsi="Times New Roman"/>
          <w:sz w:val="17"/>
          <w:szCs w:val="17"/>
          <w:color w:val="auto"/>
        </w:rPr>
        <w:t xml:space="preserve"> the payment of which would place the indemnified party in a less favorable net after-tax position than the indemnified party would have been in if the Taxes subject to indemnification and giving rise to such refund had not been deducted, withheld or otherwise imposed and the indemnification payments or additional amounts with respect to such Taxes had never been paid. This </w:t>
      </w:r>
      <w:r>
        <w:rPr>
          <w:rFonts w:ascii="Times New Roman" w:cs="Times New Roman" w:eastAsia="Times New Roman" w:hAnsi="Times New Roman"/>
          <w:sz w:val="17"/>
          <w:szCs w:val="17"/>
          <w:u w:val="single" w:color="auto"/>
          <w:color w:val="auto"/>
        </w:rPr>
        <w:t>Section 3.01(g)</w:t>
      </w:r>
      <w:r>
        <w:rPr>
          <w:rFonts w:ascii="Times New Roman" w:cs="Times New Roman" w:eastAsia="Times New Roman" w:hAnsi="Times New Roman"/>
          <w:sz w:val="17"/>
          <w:szCs w:val="17"/>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385" w:lineRule="exact"/>
        <w:rPr>
          <w:rFonts w:ascii="Times New Roman" w:cs="Times New Roman" w:eastAsia="Times New Roman" w:hAnsi="Times New Roman"/>
          <w:sz w:val="17"/>
          <w:szCs w:val="17"/>
          <w:color w:val="auto"/>
        </w:rPr>
      </w:pPr>
    </w:p>
    <w:p>
      <w:pPr>
        <w:jc w:val="both"/>
        <w:ind w:firstLine="621"/>
        <w:spacing w:after="0" w:line="257" w:lineRule="auto"/>
        <w:tabs>
          <w:tab w:leader="none" w:pos="99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shall severally indemnify the Administrative Agent, within ten (10) days after written demand therefor, for (i) any Indemnified Taxes or Other Taxes attributable to such Lender (but only to the extent that the Loan Parties have not already indemnified the Administrative Agent for such Indemnified Taxes or Other Taxes and without limiting the obligation of the Loan Parties to do so), (ii) any Taxes attributable to such Lender’s failure to comply with the provisions of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 xml:space="preserve"> relating to the maintenance of a Participant Register and (iii) any Taxes that are excluded from the definition of Indemnified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7"/>
          <w:szCs w:val="17"/>
          <w:u w:val="single" w:color="auto"/>
          <w:color w:val="auto"/>
        </w:rPr>
        <w:t>clause (h)</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3.02</w:t>
        <w:tab/>
        <w:t>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7969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97" w:lineRule="exact"/>
        <w:rPr>
          <w:sz w:val="20"/>
          <w:szCs w:val="20"/>
          <w:color w:val="auto"/>
        </w:rPr>
      </w:pPr>
    </w:p>
    <w:p>
      <w:pPr>
        <w:ind w:left="980" w:hanging="359"/>
        <w:spacing w:after="0"/>
        <w:tabs>
          <w:tab w:leader="none" w:pos="9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Generally. If any Change in Law shall:</w:t>
      </w:r>
    </w:p>
    <w:p>
      <w:pPr>
        <w:spacing w:after="0" w:line="217" w:lineRule="exact"/>
        <w:rPr>
          <w:rFonts w:ascii="Times New Roman" w:cs="Times New Roman" w:eastAsia="Times New Roman" w:hAnsi="Times New Roman"/>
          <w:sz w:val="17"/>
          <w:szCs w:val="17"/>
          <w:color w:val="auto"/>
        </w:rPr>
      </w:pPr>
    </w:p>
    <w:p>
      <w:pPr>
        <w:ind w:left="620" w:right="100" w:firstLine="620"/>
        <w:spacing w:after="0" w:line="287" w:lineRule="auto"/>
        <w:tabs>
          <w:tab w:leader="none" w:pos="157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51" w:lineRule="exact"/>
        <w:rPr>
          <w:rFonts w:ascii="Times New Roman" w:cs="Times New Roman" w:eastAsia="Times New Roman" w:hAnsi="Times New Roman"/>
          <w:sz w:val="17"/>
          <w:szCs w:val="17"/>
          <w:color w:val="auto"/>
        </w:rPr>
      </w:pPr>
    </w:p>
    <w:p>
      <w:pPr>
        <w:ind w:left="620" w:right="140" w:firstLine="620"/>
        <w:spacing w:after="0" w:line="270" w:lineRule="auto"/>
        <w:tabs>
          <w:tab w:leader="none" w:pos="162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Recipient to any Taxes (other than (A) Indemnified Taxes and Other Taxes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and (B) Taxes that are excluded from the definition of Indemnified Taxes in </w:t>
      </w:r>
      <w:r>
        <w:rPr>
          <w:rFonts w:ascii="Times New Roman" w:cs="Times New Roman" w:eastAsia="Times New Roman" w:hAnsi="Times New Roman"/>
          <w:sz w:val="17"/>
          <w:szCs w:val="17"/>
          <w:u w:val="single" w:color="auto"/>
          <w:color w:val="auto"/>
        </w:rPr>
        <w:t>Section 3.01(a)</w:t>
      </w:r>
      <w:r>
        <w:rPr>
          <w:rFonts w:ascii="Times New Roman" w:cs="Times New Roman" w:eastAsia="Times New Roman" w:hAnsi="Times New Roman"/>
          <w:sz w:val="17"/>
          <w:szCs w:val="17"/>
          <w:color w:val="auto"/>
        </w:rPr>
        <w:t>) on its loans, commitments, or other obligations, or its deposits, reserves, other liabilities or capital attributable thereto; or</w:t>
      </w:r>
    </w:p>
    <w:p>
      <w:pPr>
        <w:spacing w:after="0" w:line="165" w:lineRule="exact"/>
        <w:rPr>
          <w:rFonts w:ascii="Times New Roman" w:cs="Times New Roman" w:eastAsia="Times New Roman" w:hAnsi="Times New Roman"/>
          <w:sz w:val="17"/>
          <w:szCs w:val="17"/>
          <w:color w:val="auto"/>
        </w:rPr>
      </w:pPr>
    </w:p>
    <w:p>
      <w:pPr>
        <w:ind w:left="1660" w:hanging="420"/>
        <w:spacing w:after="0"/>
        <w:tabs>
          <w:tab w:leader="none" w:pos="16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on any Lender or the applicable interbank market any other condition, cost or expense (other than Taxes) affecting this</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-1327150</wp:posOffset>
            </wp:positionV>
            <wp:extent cx="12541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the result of any of the foregoing shall be to increase the cost to such Lender of making or maintaining any Loan (or of maintaining its obligation to make any Loan), then, upon written demand of such Lender, the Borrower will pay to such Lender, as the case may be, such additional amount or amounts as will compensate such Lender, as the case may be, for such additional costs incurred or reduction suffered.</w:t>
      </w:r>
    </w:p>
    <w:p>
      <w:pPr>
        <w:spacing w:after="0" w:line="165" w:lineRule="exact"/>
        <w:rPr>
          <w:sz w:val="20"/>
          <w:szCs w:val="20"/>
          <w:color w:val="auto"/>
        </w:rPr>
      </w:pPr>
    </w:p>
    <w:p>
      <w:pPr>
        <w:jc w:val="both"/>
        <w:ind w:firstLine="621"/>
        <w:spacing w:after="0" w:line="258" w:lineRule="auto"/>
        <w:tabs>
          <w:tab w:leader="none" w:pos="103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as the case may be, such additional amount or amounts as will compensate such Lender or such Lender’s holding company for any such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337185</wp:posOffset>
            </wp:positionV>
            <wp:extent cx="713867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-816610</wp:posOffset>
            </wp:positionV>
            <wp:extent cx="10902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86" w:name="page87"/>
    <w:bookmarkEnd w:id="86"/>
    <w:p>
      <w:pPr>
        <w:jc w:val="both"/>
        <w:ind w:left="620" w:firstLine="621"/>
        <w:spacing w:after="0" w:line="270" w:lineRule="auto"/>
        <w:tabs>
          <w:tab w:leader="none" w:pos="162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Certificates for Reimbursement. A certificate of a Lender setting forth the amount or amounts necessary to compensate such Lender or its holding company, as the case may be, as specified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and delivered to the Borrower shall be conclusive absent manifest error. The Borrower shall pay such Lender the amount shown as due on any such certificate within ten (10) days after receipt thereof.</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Delay in Requests. Failure or delay on the part of any Lender to demand compensation pursuant to the foregoing provisions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3.02</w:t>
      </w:r>
      <w:r>
        <w:rPr>
          <w:rFonts w:ascii="Times New Roman" w:cs="Times New Roman" w:eastAsia="Times New Roman" w:hAnsi="Times New Roman"/>
          <w:sz w:val="17"/>
          <w:szCs w:val="17"/>
          <w:color w:val="auto"/>
        </w:rPr>
        <w:t xml:space="preserve"> shall not constitute a waiver of such Lender’s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Borrower shall not be required to compensate a Lender pursuant to the foregoing provisions of this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-1213485</wp:posOffset>
            </wp:positionV>
            <wp:extent cx="15093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150939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-689610</wp:posOffset>
            </wp:positionV>
            <wp:extent cx="911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911225" cy="8255"/>
                    </a:xfrm>
                    <a:prstGeom prst="rect">
                      <a:avLst/>
                    </a:prstGeom>
                    <a:noFill/>
                  </pic:spPr>
                </pic:pic>
              </a:graphicData>
            </a:graphic>
          </wp:anchor>
        </w:drawing>
      </w:r>
    </w:p>
    <w:p>
      <w:pPr>
        <w:spacing w:after="0" w:line="15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3.03</w:t>
        <w:tab/>
        <w:t>Mitigation Obligations; Replacement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230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23012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64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Designation of a Different Lending Office. If any Lender requests compensation under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or requires the Borrower to pay any Indemnified Taxes, Other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w:t>
      </w:r>
      <w:r>
        <w:rPr>
          <w:rFonts w:ascii="Times New Roman" w:cs="Times New Roman" w:eastAsia="Times New Roman" w:hAnsi="Times New Roman"/>
          <w:sz w:val="17"/>
          <w:szCs w:val="17"/>
          <w:color w:val="auto"/>
        </w:rPr>
        <w:t xml:space="preserve"> or if any Lender gives a notice pursuant to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3.02</w:t>
      </w:r>
      <w:r>
        <w:rPr>
          <w:rFonts w:ascii="Times New Roman" w:cs="Times New Roman" w:eastAsia="Times New Roman" w:hAnsi="Times New Roman"/>
          <w:sz w:val="17"/>
          <w:szCs w:val="17"/>
          <w:color w:val="auto"/>
        </w:rPr>
        <w:t xml:space="preserve">, as the case may be, in the future, or eliminate the need for the notice pursuant to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Replacement of Lenders. If any Lender requests compensation under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or if the Borrower is required to pay any Indemnified Taxes, Other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and, in each case, such Lender has declined or is unable to designate a different Lending Office in accordance with </w:t>
      </w:r>
      <w:r>
        <w:rPr>
          <w:rFonts w:ascii="Times New Roman" w:cs="Times New Roman" w:eastAsia="Times New Roman" w:hAnsi="Times New Roman"/>
          <w:sz w:val="17"/>
          <w:szCs w:val="17"/>
          <w:u w:val="single" w:color="auto"/>
          <w:color w:val="auto"/>
        </w:rPr>
        <w:t>Section 3.03(a)</w:t>
      </w:r>
      <w:r>
        <w:rPr>
          <w:rFonts w:ascii="Times New Roman" w:cs="Times New Roman" w:eastAsia="Times New Roman" w:hAnsi="Times New Roman"/>
          <w:sz w:val="17"/>
          <w:szCs w:val="17"/>
          <w:color w:val="auto"/>
        </w:rPr>
        <w:t xml:space="preserve">, the Borrower may replace such Lender in accordance with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-1607820</wp:posOffset>
            </wp:positionV>
            <wp:extent cx="20154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01549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-428625</wp:posOffset>
            </wp:positionV>
            <wp:extent cx="12084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3.04</w:t>
        <w:tab/>
        <w:t>Illegality.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02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any Lender determines that any Law has made it unlawful, or that any Governmental Authority has asserted that it is unlawful, for any Lender or its Lending Office to perform any of its obligations hereunder or to make, maintain or fund or charge interest with respect to any Loan, or any Governmental Authority has imposed material restrictions on the authority of such Lender to purchase or sell, or to take deposits of, Dollars in the applicable interbank market, then, on notice thereof by such Lender to the Borrower through the Administrative Agent, any obligation of such Lender to issue, make, maintain, fund or charge interest with respect to any such Loan or to make any such Loan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the Loans of such Lender immediately.</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3.05</w:t>
        <w:tab/>
        <w:t>Inability to Determine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3481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Agreement or any other Loan Document, if the Administrative Agent determines (which determination shall be conclusive absent manifest error) that (a) adequate and reasonable means do not exist for ascertaining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Three-Month Term SOFR, including, without limitation, because the Term SOFR Screen Rate is not available or published on a current basis and such circumstances are unlikely to be temporary, (b) the CME (or any successor administrator reasonably satisfactory to the Administrative Agent) has made a public statement identifying a specific date after which SOFR shall or will no longer be made available, or permitted to be used for determining the interest rate of syndicated loans denominated in Dollars, or shall or will otherwise cease;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in each case, at the time of such statement, there is no successor administrator that is reasonably satisfactory to the Administrative Agent that will continue to provide SOFR, or (c) the Administrative Agent or the Required Lenders determine that for any reason that Three-Month Term SOFR for the relevant Interest Period does not adequately and fairly reflect the cost of funds to the Lenders (each a “</w:t>
      </w:r>
      <w:r>
        <w:rPr>
          <w:rFonts w:ascii="Times New Roman" w:cs="Times New Roman" w:eastAsia="Times New Roman" w:hAnsi="Times New Roman"/>
          <w:sz w:val="17"/>
          <w:szCs w:val="17"/>
          <w:u w:val="single" w:color="auto"/>
          <w:color w:val="auto"/>
        </w:rPr>
        <w:t>SOFR Unavailability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Event</w:t>
      </w:r>
      <w:r>
        <w:rPr>
          <w:rFonts w:ascii="Times New Roman" w:cs="Times New Roman" w:eastAsia="Times New Roman" w:hAnsi="Times New Roman"/>
          <w:sz w:val="17"/>
          <w:szCs w:val="17"/>
          <w:color w:val="auto"/>
        </w:rPr>
        <w:t xml:space="preserve">”), then (i) the Administrative Agent will promptly so notify the Borrower and each Lender and (ii) thereafter, (A) the Borrower and the Required Lenders shall negotiate in good faith to amend this Agreement to replace Three-Month Term SOFR with an alternate benchmark rate, giving due consideration to any evolving or then-prevailing market convention, including any applicable recommendations made by the FRB or the Federal Reserve Bank of New York, or a committee officially endorsed or convened by the FRB or the Federal Reserve Bank of New York, or any successor thereto, as the case may be, for Dollar-denominated credit facilities for such alternative benchmarks, together with any proposed Conforming Changes and (B) until such time as the Borrower and the Required Lenders amend this Agreement as contemplated by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Three-Month Term SOFR for the Interest Period during which such SOFR Unavailability Event occurs will be a rate per annum equal to the Prime Rate as in effect on the date such SOFR Unavailability Event occurs and thereafter will be re-set on the first Business Day of each Interest Period occurring thereafter.</w:t>
      </w:r>
    </w:p>
    <w:p>
      <w:pPr>
        <w:spacing w:after="0" w:line="18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3.06</w:t>
        <w:tab/>
        <w:t>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478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All of the Borrower’s obligations under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survive any assignment by or the replacement of any Lender, termination of the Commitments and the Loan Documents, repayment of all Obligations and replacement or resignation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GUARANTY</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4.01</w:t>
      </w:r>
      <w:r>
        <w:rPr>
          <w:sz w:val="20"/>
          <w:szCs w:val="20"/>
          <w:color w:val="auto"/>
        </w:rPr>
        <w:tab/>
      </w:r>
      <w:r>
        <w:rPr>
          <w:rFonts w:ascii="Times New Roman" w:cs="Times New Roman" w:eastAsia="Times New Roman" w:hAnsi="Times New Roman"/>
          <w:sz w:val="16"/>
          <w:szCs w:val="16"/>
          <w:color w:val="auto"/>
        </w:rPr>
        <w:t>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7099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Each of the Guarantors hereby jointly and severally guarantees to each Secured Party and the Administrative Agent as hereinafter provided, as primary obligor and not as surety, the prompt payment of the Obligations in full when due (whether at stated maturity, as a mandatory prepayment, by acceleration or otherwise) strictly in accordance with the terms thereof. The Guarantors hereby further agree that if any of the Obligations are not paid in full when due (whether at stated maturity, as a mandatory prepayment, by acceleration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or otherwise) in accordance with the terms of such extension or renewal.</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Notwithstanding any provision to the contrary contained herein or in any other of the Loan Documents,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law.</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4.02</w:t>
        <w:tab/>
        <w:t>Obligations Unconditional.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2693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The obligations of the Guarantors under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are joint and several,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until such time as the Obligations (other than contingent indemnification or expense reimbursement obligations for which no claim has been asserted)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76" w:lineRule="exact"/>
        <w:rPr>
          <w:sz w:val="20"/>
          <w:szCs w:val="20"/>
          <w:color w:val="auto"/>
        </w:rPr>
      </w:pPr>
    </w:p>
    <w:p>
      <w:pPr>
        <w:ind w:left="620" w:right="780" w:firstLine="621"/>
        <w:spacing w:after="0" w:line="287" w:lineRule="auto"/>
        <w:tabs>
          <w:tab w:leader="none" w:pos="160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or from time to time, without notice to any Guarantor, the time for any performance of or compliance with any of the Obligations shall be extended, or such performance or compliance shall be waived;</w:t>
      </w:r>
    </w:p>
    <w:p>
      <w:pPr>
        <w:spacing w:after="0" w:line="151" w:lineRule="exact"/>
        <w:rPr>
          <w:rFonts w:ascii="Times New Roman" w:cs="Times New Roman" w:eastAsia="Times New Roman" w:hAnsi="Times New Roman"/>
          <w:sz w:val="17"/>
          <w:szCs w:val="17"/>
          <w:color w:val="auto"/>
        </w:rPr>
      </w:pPr>
    </w:p>
    <w:p>
      <w:pPr>
        <w:ind w:left="620" w:right="220" w:firstLine="621"/>
        <w:spacing w:after="0" w:line="287" w:lineRule="auto"/>
        <w:tabs>
          <w:tab w:leader="none" w:pos="161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acts mentioned in any of the provisions of any of the Loan Documents, or any other agreement or instrument referred to in the Loan Documents shall be done or omitted;</w:t>
      </w:r>
    </w:p>
    <w:p>
      <w:pPr>
        <w:spacing w:after="0" w:line="151" w:lineRule="exact"/>
        <w:rPr>
          <w:rFonts w:ascii="Times New Roman" w:cs="Times New Roman" w:eastAsia="Times New Roman" w:hAnsi="Times New Roman"/>
          <w:sz w:val="17"/>
          <w:szCs w:val="17"/>
          <w:color w:val="auto"/>
        </w:rPr>
      </w:pPr>
    </w:p>
    <w:p>
      <w:pPr>
        <w:jc w:val="both"/>
        <w:ind w:left="620" w:right="220" w:firstLine="621"/>
        <w:spacing w:after="0" w:line="270" w:lineRule="auto"/>
        <w:tabs>
          <w:tab w:leader="none" w:pos="160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165"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granted to, or in favor of, any Secured Party as security for any of the Obligations shall fail to attach or be perfected; or</w:t>
      </w:r>
    </w:p>
    <w:p>
      <w:pPr>
        <w:spacing w:after="0" w:line="217" w:lineRule="exact"/>
        <w:rPr>
          <w:rFonts w:ascii="Times New Roman" w:cs="Times New Roman" w:eastAsia="Times New Roman" w:hAnsi="Times New Roman"/>
          <w:sz w:val="17"/>
          <w:szCs w:val="17"/>
          <w:color w:val="auto"/>
        </w:rPr>
      </w:pPr>
    </w:p>
    <w:p>
      <w:pPr>
        <w:ind w:left="620" w:right="500" w:firstLine="621"/>
        <w:spacing w:after="0" w:line="287" w:lineRule="auto"/>
        <w:tabs>
          <w:tab w:leader="none" w:pos="160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With respect to its obligations hereunder, each Guarantor hereby expressly waives diligence, presentment, demand of payment, protest and all notices whatsoever, and any requirement that the Secured Parties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4.03</w:t>
        <w:tab/>
        <w:t>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7334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The obligations of the Guarantors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be automatically reinstated if and to the extent that for any reason any payment by or on behalf of any Person in respect of the Obligations is rescinded or must be otherwise restored by any Secured Party, whether as a result of any proceedings in bankruptcy or reorganization or otherwise, and each Guarantor agrees that it will indemnify the Secured Parties on demand for all reasonable and documented costs and expenses (including, without limitation, the fees, charges and disbursements of counsel) incurred by the Secured Parties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7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4.04</w:t>
      </w:r>
      <w:r>
        <w:rPr>
          <w:sz w:val="20"/>
          <w:szCs w:val="20"/>
          <w:color w:val="auto"/>
        </w:rPr>
        <w:tab/>
      </w:r>
      <w:r>
        <w:rPr>
          <w:rFonts w:ascii="Times New Roman" w:cs="Times New Roman" w:eastAsia="Times New Roman" w:hAnsi="Times New Roman"/>
          <w:sz w:val="16"/>
          <w:szCs w:val="16"/>
          <w:color w:val="auto"/>
        </w:rPr>
        <w:t>Certain Additional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306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and through the exercise of rights of contribution pursuant to </w:t>
      </w:r>
      <w:r>
        <w:rPr>
          <w:rFonts w:ascii="Times New Roman" w:cs="Times New Roman" w:eastAsia="Times New Roman" w:hAnsi="Times New Roman"/>
          <w:sz w:val="17"/>
          <w:szCs w:val="17"/>
          <w:u w:val="single" w:color="auto"/>
          <w:color w:val="auto"/>
        </w:rPr>
        <w:t>Section 4.06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88" w:name="page89"/>
    <w:bookmarkEnd w:id="88"/>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4.05</w:t>
        <w:tab/>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39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Guarantors agree that, to the fullest extent permitted by law, as between the Guarantors, on the one hand, and the Secured Parties, on the other hand, the Obligations may be declared to be forthwith due and payable as provided in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(and shall be deemed to have become automatically due and payable in the circumstances provided in said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for purposes of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The Guarantors acknowledge and agree that their obligations hereunder are secured in accordance with the terms of the Collateral Documents and that the Secured Parties may exercise their remedies thereunder in accordance with the terms thereof.</w:t>
      </w:r>
    </w:p>
    <w:p>
      <w:pPr>
        <w:spacing w:after="0" w:line="38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4.06</w:t>
        <w:tab/>
        <w:t>Rights of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972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indemnification or expense reimbursement obligations for which no claim has been asserted) have been paid in full and the Commitments have terminated.</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4.07</w:t>
        <w:tab/>
        <w:t>Guarantee of Payment; Continuing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108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guarantee in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a guaranty of payment and not of collection, is a continuing guarantee, and shall apply to all Obligations whenever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arising.</w:t>
      </w:r>
    </w:p>
    <w:p>
      <w:pPr>
        <w:spacing w:after="0" w:line="200" w:lineRule="exact"/>
        <w:rPr>
          <w:sz w:val="20"/>
          <w:szCs w:val="20"/>
          <w:color w:val="auto"/>
        </w:rPr>
      </w:pPr>
    </w:p>
    <w:p>
      <w:pPr>
        <w:ind w:left="1240"/>
        <w:spacing w:after="0"/>
        <w:tabs>
          <w:tab w:leader="none" w:pos="1700" w:val="left"/>
        </w:tabs>
        <w:rPr>
          <w:sz w:val="20"/>
          <w:szCs w:val="20"/>
          <w:color w:val="auto"/>
        </w:rPr>
      </w:pPr>
      <w:r>
        <w:rPr>
          <w:rFonts w:ascii="Times New Roman" w:cs="Times New Roman" w:eastAsia="Times New Roman" w:hAnsi="Times New Roman"/>
          <w:sz w:val="17"/>
          <w:szCs w:val="17"/>
          <w:color w:val="auto"/>
        </w:rPr>
        <w:t>4.08</w:t>
        <w:tab/>
        <w:t>Danish Guarantee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-6350</wp:posOffset>
            </wp:positionV>
            <wp:extent cx="14509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or any other Loan Document, any guarantee, indemnity and other obligations (as well as any security created in relation thereto) of any Danish Loan Party expressed to be assumed under this Agreement, any other Loan Document or any Collateral Document:</w:t>
      </w:r>
    </w:p>
    <w:p>
      <w:pPr>
        <w:spacing w:after="0" w:line="165" w:lineRule="exact"/>
        <w:rPr>
          <w:sz w:val="20"/>
          <w:szCs w:val="20"/>
          <w:color w:val="auto"/>
        </w:rPr>
      </w:pPr>
    </w:p>
    <w:p>
      <w:pPr>
        <w:ind w:left="620" w:right="40" w:firstLine="621"/>
        <w:spacing w:after="0" w:line="287" w:lineRule="auto"/>
        <w:tabs>
          <w:tab w:leader="none" w:pos="160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deemed not to be assumed (and any security created in relation thereto shall be limited) to the extent that the same would constitute unlawful financial assistance within the meaning of Section 206 or Section 210 of the Danish Companies Act; and</w:t>
      </w:r>
    </w:p>
    <w:p>
      <w:pPr>
        <w:spacing w:after="0" w:line="151"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further be limited to an amount equivalent to the higher of:</w:t>
      </w:r>
    </w:p>
    <w:p>
      <w:pPr>
        <w:spacing w:after="0" w:line="217" w:lineRule="exact"/>
        <w:rPr>
          <w:rFonts w:ascii="Times New Roman" w:cs="Times New Roman" w:eastAsia="Times New Roman" w:hAnsi="Times New Roman"/>
          <w:sz w:val="17"/>
          <w:szCs w:val="17"/>
          <w:color w:val="auto"/>
        </w:rPr>
      </w:pPr>
    </w:p>
    <w:p>
      <w:pPr>
        <w:ind w:left="1240" w:right="720" w:firstLine="620"/>
        <w:spacing w:after="0" w:line="287" w:lineRule="auto"/>
        <w:tabs>
          <w:tab w:leader="none" w:pos="2193"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of such Danish Loan Party at the time(s) (A) the Danish Loan Party is requested to make a payment under this Agreement or (B) of enforcement of security granted by such Danish Loan Party (as applicable); and</w:t>
      </w:r>
    </w:p>
    <w:p>
      <w:pPr>
        <w:spacing w:after="0" w:line="151" w:lineRule="exact"/>
        <w:rPr>
          <w:rFonts w:ascii="Times New Roman" w:cs="Times New Roman" w:eastAsia="Times New Roman" w:hAnsi="Times New Roman"/>
          <w:sz w:val="17"/>
          <w:szCs w:val="17"/>
          <w:color w:val="auto"/>
        </w:rPr>
      </w:pPr>
    </w:p>
    <w:p>
      <w:pPr>
        <w:ind w:left="2240" w:hanging="380"/>
        <w:spacing w:after="0"/>
        <w:tabs>
          <w:tab w:leader="none" w:pos="224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of such Danish Loan Party at the Closing Date,</w:t>
      </w:r>
    </w:p>
    <w:p>
      <w:pPr>
        <w:spacing w:after="0" w:line="217" w:lineRule="exact"/>
        <w:rPr>
          <w:sz w:val="20"/>
          <w:szCs w:val="20"/>
          <w:color w:val="auto"/>
        </w:rPr>
      </w:pPr>
    </w:p>
    <w:p>
      <w:pPr>
        <w:jc w:val="both"/>
        <w:ind w:left="1860"/>
        <w:spacing w:after="0" w:line="260"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limitations set forth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shall only apply to obligations and liabilities of the Danish Loan Party which exceed the sum of (A) the advances under the Loan Documents received by such Danish Loan Party directly or indirectly in its capacity as intra-group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always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payment made by the Danish Loan Party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in respect of such obligations of the Danish Loan Party shall reduce </w:t>
      </w:r>
      <w:r>
        <w:rPr>
          <w:rFonts w:ascii="Times New Roman" w:cs="Times New Roman" w:eastAsia="Times New Roman" w:hAnsi="Times New Roman"/>
          <w:sz w:val="17"/>
          <w:szCs w:val="17"/>
          <w:i w:val="1"/>
          <w:iCs w:val="1"/>
          <w:color w:val="auto"/>
        </w:rPr>
        <w:t>pro tanto</w:t>
      </w:r>
      <w:r>
        <w:rPr>
          <w:rFonts w:ascii="Times New Roman" w:cs="Times New Roman" w:eastAsia="Times New Roman" w:hAnsi="Times New Roman"/>
          <w:sz w:val="17"/>
          <w:szCs w:val="17"/>
          <w:color w:val="auto"/>
        </w:rPr>
        <w:t xml:space="preserve"> the outstanding amount of the intercompany loan owing by the Danish Loan Party) and (B) interest and other costs and fees which are to be borne by the Danish Loan Party in its capacity as borrower under a Loan Document.</w:t>
      </w:r>
    </w:p>
    <w:p>
      <w:pPr>
        <w:spacing w:after="0" w:line="169"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 xml:space="preserve">The limitations set out in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a Danish Loan Party’s aggregate obligations and liabilities under any security, guarantee, indemnity, collateral, subordination of rights and/or claims, subordination and/or turn-over of rights of recourse, application of proceeds (including mandatory prepayments) and any other means of direct or indirect financial assistance made by a Danish Loan Party under any of the Loan Documents.</w:t>
      </w:r>
    </w:p>
    <w:p>
      <w:pPr>
        <w:spacing w:after="0" w:line="169"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17"/>
          <w:szCs w:val="17"/>
          <w:color w:val="auto"/>
        </w:rPr>
        <w:t xml:space="preserve">For the purpose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“Equity” means the equity (in Danish: egenkapital) of such Danish Loan Party calculated in accordance with generally accepted accounting principles, standards and practices in Denmark at the relevant time (including, if applied by such Danish Loan Party, IFRS), however, adjusted upwards to the greater of (A) the book value, and (B) the market value, if and to the extent any book value is not equal to the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464185</wp:posOffset>
            </wp:positionV>
            <wp:extent cx="713867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2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CONDITIONS PRECEDENT TO CLOSING AND BORROWINGS</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5.01</w:t>
        <w:tab/>
        <w:t>Conditions of Initial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941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Agreement shall become effective upon and the obligation of each Lender to make Loans to be advanced on the Closing Date is subject to satisfaction of the following conditions precedent (as determined by the Lenders in their sole discretion):</w:t>
      </w:r>
    </w:p>
    <w:p>
      <w:pPr>
        <w:spacing w:after="0" w:line="151" w:lineRule="exact"/>
        <w:rPr>
          <w:sz w:val="20"/>
          <w:szCs w:val="20"/>
          <w:color w:val="auto"/>
        </w:rPr>
      </w:pPr>
    </w:p>
    <w:p>
      <w:pPr>
        <w:jc w:val="both"/>
        <w:ind w:left="620" w:firstLine="621"/>
        <w:spacing w:after="0" w:line="264" w:lineRule="auto"/>
        <w:tabs>
          <w:tab w:leader="none" w:pos="163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Loan Documents. Receipt by the Administrative Agent of executed counterparts of this Agreement and the other Loan Documents (other than such Danish Collateral Document described in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the definition of “Danish Collateral Documents”, which shall be delivered subject to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each properly executed by a Responsible Officer of the signing Loan Party and each other party to such Loan Documents, in each case in form and substance reasonably satisfactory to the Administrative Agent and the Lenders.</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87" w:lineRule="auto"/>
        <w:tabs>
          <w:tab w:leader="none" w:pos="16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Opinions of Counsel. Receipt by the Administrative Agent of favorable opinions of legal counsel to the Loan Parties, addressed to the Administrative Agent and each Lender, dated as of the Closing Date, and in form and substance satisfactory to the Administrative Agent and the Lenders.</w:t>
      </w:r>
    </w:p>
    <w:p>
      <w:pPr>
        <w:spacing w:after="0" w:line="151" w:lineRule="exact"/>
        <w:rPr>
          <w:rFonts w:ascii="Times New Roman" w:cs="Times New Roman" w:eastAsia="Times New Roman" w:hAnsi="Times New Roman"/>
          <w:sz w:val="17"/>
          <w:szCs w:val="17"/>
          <w:color w:val="auto"/>
        </w:rPr>
      </w:pPr>
    </w:p>
    <w:p>
      <w:pPr>
        <w:ind w:left="620" w:firstLine="621"/>
        <w:spacing w:after="0" w:line="270" w:lineRule="auto"/>
        <w:tabs>
          <w:tab w:leader="none" w:pos="160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Due Diligence. The Administrative Agent shall have received the Audited Financial Statements, the Interim Financial Statements, the Draft Financial Statements and such other reports, statements and due diligence items as the Administrative Agent or any Lender shall request.</w:t>
      </w:r>
    </w:p>
    <w:p>
      <w:pPr>
        <w:spacing w:after="0" w:line="165" w:lineRule="exact"/>
        <w:rPr>
          <w:rFonts w:ascii="Times New Roman" w:cs="Times New Roman" w:eastAsia="Times New Roman" w:hAnsi="Times New Roman"/>
          <w:sz w:val="17"/>
          <w:szCs w:val="17"/>
          <w:color w:val="auto"/>
        </w:rPr>
      </w:pPr>
    </w:p>
    <w:p>
      <w:pPr>
        <w:ind w:left="620" w:right="640" w:firstLine="621"/>
        <w:spacing w:after="0" w:line="287" w:lineRule="auto"/>
        <w:tabs>
          <w:tab w:leader="none" w:pos="161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Adverse Change. There shall not have occurred since December 31, 2022 any event or condition that has had or could reasonably be expected to have, either individually or in the aggregate, a Material Adverse Effect.</w:t>
      </w:r>
    </w:p>
    <w:p>
      <w:pPr>
        <w:spacing w:after="0" w:line="151" w:lineRule="exact"/>
        <w:rPr>
          <w:rFonts w:ascii="Times New Roman" w:cs="Times New Roman" w:eastAsia="Times New Roman" w:hAnsi="Times New Roman"/>
          <w:sz w:val="17"/>
          <w:szCs w:val="17"/>
          <w:color w:val="auto"/>
        </w:rPr>
      </w:pPr>
    </w:p>
    <w:p>
      <w:pPr>
        <w:ind w:left="620" w:right="280" w:firstLine="621"/>
        <w:spacing w:after="0" w:line="287" w:lineRule="auto"/>
        <w:tabs>
          <w:tab w:leader="none" w:pos="160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There shall not exist any action, suit, investigation or proceeding pending or threatened in any court or before an arbitrator or Governmental Authority that could reasonably be expected, either individually or in the aggregate, to have a Material Adverse Effect.</w:t>
      </w:r>
    </w:p>
    <w:p>
      <w:pPr>
        <w:spacing w:after="0" w:line="151" w:lineRule="exact"/>
        <w:rPr>
          <w:rFonts w:ascii="Times New Roman" w:cs="Times New Roman" w:eastAsia="Times New Roman" w:hAnsi="Times New Roman"/>
          <w:sz w:val="17"/>
          <w:szCs w:val="17"/>
          <w:color w:val="auto"/>
        </w:rPr>
      </w:pPr>
    </w:p>
    <w:p>
      <w:pPr>
        <w:ind w:left="620" w:right="500" w:firstLine="621"/>
        <w:spacing w:after="0" w:line="287" w:lineRule="auto"/>
        <w:tabs>
          <w:tab w:leader="none" w:pos="158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 Documents, Resolutions, Etc. Receipt by the Administrative Agent of the following, each of which shall be originals or facsimiles, in form and substance reasonably satisfactory to the Administrative Agent, the Lenders and their respective legal counsel:</w:t>
      </w:r>
    </w:p>
    <w:p>
      <w:pPr>
        <w:spacing w:after="0" w:line="151" w:lineRule="exact"/>
        <w:rPr>
          <w:rFonts w:ascii="Times New Roman" w:cs="Times New Roman" w:eastAsia="Times New Roman" w:hAnsi="Times New Roman"/>
          <w:sz w:val="17"/>
          <w:szCs w:val="17"/>
          <w:color w:val="auto"/>
        </w:rPr>
      </w:pPr>
    </w:p>
    <w:p>
      <w:pPr>
        <w:jc w:val="both"/>
        <w:ind w:left="1240" w:right="220" w:firstLine="620"/>
        <w:spacing w:after="0" w:line="270" w:lineRule="auto"/>
        <w:tabs>
          <w:tab w:leader="none" w:pos="2193"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Responsible Officer of such Loan Party to be true and correct as of the Closing Date;</w:t>
      </w:r>
    </w:p>
    <w:p>
      <w:pPr>
        <w:spacing w:after="0" w:line="165" w:lineRule="exact"/>
        <w:rPr>
          <w:rFonts w:ascii="Times New Roman" w:cs="Times New Roman" w:eastAsia="Times New Roman" w:hAnsi="Times New Roman"/>
          <w:sz w:val="17"/>
          <w:szCs w:val="17"/>
          <w:color w:val="auto"/>
        </w:rPr>
      </w:pPr>
    </w:p>
    <w:p>
      <w:pPr>
        <w:jc w:val="both"/>
        <w:ind w:left="1240" w:firstLine="620"/>
        <w:spacing w:after="0" w:line="264" w:lineRule="auto"/>
        <w:tabs>
          <w:tab w:leader="none" w:pos="228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certificates of resolutions or other action, incumbency certificates and/or other certificates of Responsible Officers of each Loan Party as the Administrative Agent or any Lender may require evidencing the identity, authority and capacity of each Responsible Officer thereof authorized to act as a Responsible Officer in connection with this Agreement and the other Loan Documents to which such Loan Party is a party;</w:t>
      </w:r>
    </w:p>
    <w:p>
      <w:pPr>
        <w:spacing w:after="0" w:line="171" w:lineRule="exact"/>
        <w:rPr>
          <w:rFonts w:ascii="Times New Roman" w:cs="Times New Roman" w:eastAsia="Times New Roman" w:hAnsi="Times New Roman"/>
          <w:sz w:val="17"/>
          <w:szCs w:val="17"/>
          <w:color w:val="auto"/>
        </w:rPr>
      </w:pPr>
    </w:p>
    <w:p>
      <w:pPr>
        <w:jc w:val="both"/>
        <w:ind w:left="1240" w:firstLine="620"/>
        <w:spacing w:after="0" w:line="270" w:lineRule="auto"/>
        <w:tabs>
          <w:tab w:leader="none" w:pos="2305"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documents and certifications as the Administrative Agent or any Lender may reasonably require to evidence that each Loan Party is duly organized or formed, and is validly existing, in good standing and qualified to engage in business in its jurisdiction of organization or formation; and</w:t>
      </w:r>
    </w:p>
    <w:p>
      <w:pPr>
        <w:spacing w:after="0" w:line="165" w:lineRule="exact"/>
        <w:rPr>
          <w:rFonts w:ascii="Times New Roman" w:cs="Times New Roman" w:eastAsia="Times New Roman" w:hAnsi="Times New Roman"/>
          <w:sz w:val="17"/>
          <w:szCs w:val="17"/>
          <w:color w:val="auto"/>
        </w:rPr>
      </w:pPr>
    </w:p>
    <w:p>
      <w:pPr>
        <w:ind w:left="2280" w:hanging="420"/>
        <w:spacing w:after="0"/>
        <w:tabs>
          <w:tab w:leader="none" w:pos="228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Danish Loan Party:</w:t>
      </w:r>
    </w:p>
    <w:p>
      <w:pPr>
        <w:spacing w:after="0" w:line="217" w:lineRule="exact"/>
        <w:rPr>
          <w:rFonts w:ascii="Times New Roman" w:cs="Times New Roman" w:eastAsia="Times New Roman" w:hAnsi="Times New Roman"/>
          <w:sz w:val="17"/>
          <w:szCs w:val="17"/>
          <w:color w:val="auto"/>
        </w:rPr>
      </w:pPr>
    </w:p>
    <w:p>
      <w:pPr>
        <w:ind w:left="2900" w:hanging="405"/>
        <w:spacing w:after="0"/>
        <w:tabs>
          <w:tab w:leader="none" w:pos="2900"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articles of association of each Danish Loan Party;</w:t>
      </w:r>
    </w:p>
    <w:p>
      <w:pPr>
        <w:spacing w:after="0" w:line="213" w:lineRule="exact"/>
        <w:rPr>
          <w:rFonts w:ascii="Times New Roman" w:cs="Times New Roman" w:eastAsia="Times New Roman" w:hAnsi="Times New Roman"/>
          <w:sz w:val="17"/>
          <w:szCs w:val="17"/>
          <w:color w:val="auto"/>
        </w:rPr>
      </w:pPr>
    </w:p>
    <w:p>
      <w:pPr>
        <w:ind w:left="2000" w:right="480" w:firstLine="495"/>
        <w:spacing w:after="0" w:line="292" w:lineRule="auto"/>
        <w:tabs>
          <w:tab w:leader="none" w:pos="2890"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copy of a complete and up-to-date transcript from the Danish Business Authority (in Danish: </w:t>
      </w:r>
      <w:r>
        <w:rPr>
          <w:rFonts w:ascii="Times New Roman" w:cs="Times New Roman" w:eastAsia="Times New Roman" w:hAnsi="Times New Roman"/>
          <w:sz w:val="17"/>
          <w:szCs w:val="17"/>
          <w:i w:val="1"/>
          <w:iCs w:val="1"/>
          <w:color w:val="auto"/>
        </w:rPr>
        <w:t>Erhvervsstyrelsen</w:t>
      </w:r>
      <w:r>
        <w:rPr>
          <w:rFonts w:ascii="Times New Roman" w:cs="Times New Roman" w:eastAsia="Times New Roman" w:hAnsi="Times New Roman"/>
          <w:sz w:val="17"/>
          <w:szCs w:val="17"/>
          <w:color w:val="auto"/>
        </w:rPr>
        <w:t>) relating to each Danish Loan Party;</w:t>
      </w:r>
    </w:p>
    <w:p>
      <w:pPr>
        <w:spacing w:after="0" w:line="147" w:lineRule="exact"/>
        <w:rPr>
          <w:rFonts w:ascii="Times New Roman" w:cs="Times New Roman" w:eastAsia="Times New Roman" w:hAnsi="Times New Roman"/>
          <w:sz w:val="17"/>
          <w:szCs w:val="17"/>
          <w:color w:val="auto"/>
        </w:rPr>
      </w:pPr>
    </w:p>
    <w:p>
      <w:pPr>
        <w:jc w:val="both"/>
        <w:ind w:left="2000" w:firstLine="495"/>
        <w:spacing w:after="0" w:line="261" w:lineRule="auto"/>
        <w:tabs>
          <w:tab w:leader="none" w:pos="2999"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resolution of the Board of Directors of each Danish Loan Party: (x) approving the terms of, and the transactions contemplated by, the Loan Documents to which it is a party and resolving that it execute, deliver and perform the Loan Documents to which it is a party; (y) authorizing a specified person or persons to execute the Loan Documents to which it is a party on its behalf; and (z) authorizing a specified person or persons, on its behalf, to sign/and or dispatch all documents and notices to be signed and/or dispatched by it under or in connection with the Loan Documents to which it is a party;</w:t>
      </w:r>
    </w:p>
    <w:p>
      <w:pPr>
        <w:spacing w:after="0" w:line="174" w:lineRule="exact"/>
        <w:rPr>
          <w:rFonts w:ascii="Times New Roman" w:cs="Times New Roman" w:eastAsia="Times New Roman" w:hAnsi="Times New Roman"/>
          <w:sz w:val="17"/>
          <w:szCs w:val="17"/>
          <w:color w:val="auto"/>
        </w:rPr>
      </w:pPr>
    </w:p>
    <w:p>
      <w:pPr>
        <w:ind w:left="2000" w:right="120" w:firstLine="495"/>
        <w:spacing w:after="0" w:line="287" w:lineRule="auto"/>
        <w:tabs>
          <w:tab w:leader="none" w:pos="2899"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specimen of the signature of each person authorized to execute any Loan Document and other documents and notices to be signed and/or dispatched by it under or in connection with the Loan Documents to which it is a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-6335395</wp:posOffset>
            </wp:positionV>
            <wp:extent cx="882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88201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-5680710</wp:posOffset>
            </wp:positionV>
            <wp:extent cx="1077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107759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-5287645</wp:posOffset>
            </wp:positionV>
            <wp:extent cx="17119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171196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-4763770</wp:posOffset>
            </wp:positionV>
            <wp:extent cx="13906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139065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-4370705</wp:posOffset>
            </wp:positionV>
            <wp:extent cx="539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53911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-3977640</wp:posOffset>
            </wp:positionV>
            <wp:extent cx="19704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197040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0" w:name="page91"/>
    <w:bookmarkEnd w:id="90"/>
    <w:p>
      <w:pPr>
        <w:jc w:val="both"/>
        <w:ind w:left="-3" w:firstLine="3"/>
        <w:spacing w:after="0" w:line="270" w:lineRule="auto"/>
        <w:tabs>
          <w:tab w:leader="none" w:pos="40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of each Danish Loan Party: (x) confirming that borrowing or guaranteeing or securing, as appropriate, the Loans and the Commitments would not cause any borrowing, guaranteeing, securing or similar limit binding on such Danish Loan Party to be exceeded; and (y) certifying that each copy document relating to it specified in this </w:t>
      </w:r>
      <w:r>
        <w:rPr>
          <w:rFonts w:ascii="Times New Roman" w:cs="Times New Roman" w:eastAsia="Times New Roman" w:hAnsi="Times New Roman"/>
          <w:sz w:val="17"/>
          <w:szCs w:val="17"/>
          <w:u w:val="single" w:color="auto"/>
          <w:color w:val="auto"/>
        </w:rPr>
        <w:t>Section 5.01(f)(iv)</w:t>
      </w:r>
      <w:r>
        <w:rPr>
          <w:rFonts w:ascii="Times New Roman" w:cs="Times New Roman" w:eastAsia="Times New Roman" w:hAnsi="Times New Roman"/>
          <w:sz w:val="17"/>
          <w:szCs w:val="17"/>
          <w:color w:val="auto"/>
        </w:rPr>
        <w:t xml:space="preserve"> is correct, complete and in full force and effect as at a date no earlier than the Closing Date.</w:t>
      </w:r>
    </w:p>
    <w:p>
      <w:pPr>
        <w:spacing w:after="0" w:line="165" w:lineRule="exact"/>
        <w:rPr>
          <w:rFonts w:ascii="Times New Roman" w:cs="Times New Roman" w:eastAsia="Times New Roman" w:hAnsi="Times New Roman"/>
          <w:sz w:val="17"/>
          <w:szCs w:val="17"/>
          <w:color w:val="auto"/>
        </w:rPr>
      </w:pPr>
    </w:p>
    <w:p>
      <w:pPr>
        <w:ind w:left="1617" w:hanging="379"/>
        <w:spacing w:after="0"/>
        <w:tabs>
          <w:tab w:leader="none" w:pos="161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Perfection and Priority of Liens. Receipt by the Administrative Agent of the following:</w:t>
      </w:r>
    </w:p>
    <w:p>
      <w:pPr>
        <w:spacing w:after="0" w:line="217" w:lineRule="exact"/>
        <w:rPr>
          <w:rFonts w:ascii="Times New Roman" w:cs="Times New Roman" w:eastAsia="Times New Roman" w:hAnsi="Times New Roman"/>
          <w:sz w:val="17"/>
          <w:szCs w:val="17"/>
          <w:color w:val="auto"/>
        </w:rPr>
      </w:pPr>
    </w:p>
    <w:p>
      <w:pPr>
        <w:jc w:val="both"/>
        <w:ind w:left="1237" w:right="320" w:firstLine="620"/>
        <w:spacing w:after="0" w:line="270" w:lineRule="auto"/>
        <w:tabs>
          <w:tab w:leader="none" w:pos="2190"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searches of Uniform Commercial Code filings in the jurisdiction of formation of each U.S. Loan Party or where a filing would need to be made in order to perfect the Administrative Agent’s security interest in the Collateral, copies of the financing statements on file in such jurisdictions and evidence that no Liens exist other than Permitted Liens;</w:t>
      </w:r>
    </w:p>
    <w:p>
      <w:pPr>
        <w:spacing w:after="0" w:line="165" w:lineRule="exact"/>
        <w:rPr>
          <w:rFonts w:ascii="Times New Roman" w:cs="Times New Roman" w:eastAsia="Times New Roman" w:hAnsi="Times New Roman"/>
          <w:sz w:val="17"/>
          <w:szCs w:val="17"/>
          <w:color w:val="auto"/>
        </w:rPr>
      </w:pPr>
    </w:p>
    <w:p>
      <w:pPr>
        <w:ind w:left="1237" w:right="240" w:firstLine="620"/>
        <w:spacing w:after="0" w:line="287" w:lineRule="auto"/>
        <w:tabs>
          <w:tab w:leader="none" w:pos="2237"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Uniform Commercial Code financing statements for each appropriate jurisdiction as is necessary, in the Required Lenders’ sole discretion, to perfect the Administrative Agent’s security interest in the Collateral;</w:t>
      </w:r>
    </w:p>
    <w:p>
      <w:pPr>
        <w:spacing w:after="0" w:line="151" w:lineRule="exact"/>
        <w:rPr>
          <w:rFonts w:ascii="Times New Roman" w:cs="Times New Roman" w:eastAsia="Times New Roman" w:hAnsi="Times New Roman"/>
          <w:sz w:val="17"/>
          <w:szCs w:val="17"/>
          <w:color w:val="auto"/>
        </w:rPr>
      </w:pPr>
    </w:p>
    <w:p>
      <w:pPr>
        <w:ind w:left="1237" w:right="820" w:firstLine="620"/>
        <w:spacing w:after="0" w:line="287" w:lineRule="auto"/>
        <w:tabs>
          <w:tab w:leader="none" w:pos="2285"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certificates evidencing any certificated Equity Interests pledged to the Administrative Agent pursuant to the Pledge Agreement, together with duly executed in blank and undated stock powers attached thereto;</w:t>
      </w:r>
    </w:p>
    <w:p>
      <w:pPr>
        <w:spacing w:after="0" w:line="151" w:lineRule="exact"/>
        <w:rPr>
          <w:rFonts w:ascii="Times New Roman" w:cs="Times New Roman" w:eastAsia="Times New Roman" w:hAnsi="Times New Roman"/>
          <w:sz w:val="17"/>
          <w:szCs w:val="17"/>
          <w:color w:val="auto"/>
        </w:rPr>
      </w:pPr>
    </w:p>
    <w:p>
      <w:pPr>
        <w:ind w:left="2277" w:hanging="420"/>
        <w:spacing w:after="0"/>
        <w:tabs>
          <w:tab w:leader="none" w:pos="2277"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searches of ownership of, and Liens on, the Intellectual Property owned by each U.S. Loan Party in the appropriate governmental</w:t>
      </w:r>
    </w:p>
    <w:p>
      <w:pPr>
        <w:spacing w:after="0" w:line="27" w:lineRule="exact"/>
        <w:rPr>
          <w:rFonts w:ascii="Times New Roman" w:cs="Times New Roman" w:eastAsia="Times New Roman" w:hAnsi="Times New Roman"/>
          <w:sz w:val="17"/>
          <w:szCs w:val="17"/>
          <w:color w:val="auto"/>
        </w:rPr>
      </w:pPr>
    </w:p>
    <w:p>
      <w:pPr>
        <w:ind w:left="123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offices;</w:t>
      </w:r>
    </w:p>
    <w:p>
      <w:pPr>
        <w:spacing w:after="0" w:line="200" w:lineRule="exact"/>
        <w:rPr>
          <w:rFonts w:ascii="Times New Roman" w:cs="Times New Roman" w:eastAsia="Times New Roman" w:hAnsi="Times New Roman"/>
          <w:sz w:val="17"/>
          <w:szCs w:val="17"/>
          <w:color w:val="auto"/>
        </w:rPr>
      </w:pPr>
    </w:p>
    <w:p>
      <w:pPr>
        <w:ind w:left="1237" w:right="20" w:firstLine="620"/>
        <w:spacing w:after="0" w:line="270" w:lineRule="auto"/>
        <w:tabs>
          <w:tab w:leader="none" w:pos="2228"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executed notices of grant of security interest in the form required by the Security Agreement as are necessary, in the Required Lenders’ reasonable discretion, to perfect the Administrative Agent’s security interest in the U.S. federal patents, copyrights, trademarks and trademark applications owned by the U.S. Loan Parties; and</w:t>
      </w:r>
    </w:p>
    <w:p>
      <w:pPr>
        <w:spacing w:after="0" w:line="165" w:lineRule="exact"/>
        <w:rPr>
          <w:rFonts w:ascii="Times New Roman" w:cs="Times New Roman" w:eastAsia="Times New Roman" w:hAnsi="Times New Roman"/>
          <w:sz w:val="17"/>
          <w:szCs w:val="17"/>
          <w:color w:val="auto"/>
        </w:rPr>
      </w:pPr>
    </w:p>
    <w:p>
      <w:pPr>
        <w:ind w:left="1237" w:right="300" w:firstLine="620"/>
        <w:spacing w:after="0" w:line="287" w:lineRule="auto"/>
        <w:tabs>
          <w:tab w:leader="none" w:pos="2275"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xml:space="preserve">, such Account Control Agreements as shall be necessary to cause the Loan Parties to be in compliance with </w:t>
      </w:r>
      <w:r>
        <w:rPr>
          <w:rFonts w:ascii="Times New Roman" w:cs="Times New Roman" w:eastAsia="Times New Roman" w:hAnsi="Times New Roman"/>
          <w:sz w:val="17"/>
          <w:szCs w:val="17"/>
          <w:u w:val="single" w:color="auto"/>
          <w:color w:val="auto"/>
        </w:rPr>
        <w:t>Section 7.16</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1617" w:hanging="379"/>
        <w:spacing w:after="0"/>
        <w:tabs>
          <w:tab w:leader="none" w:pos="161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617" w:right="280" w:firstLine="621"/>
        <w:spacing w:after="0" w:line="264" w:lineRule="auto"/>
        <w:tabs>
          <w:tab w:leader="none" w:pos="157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Evidence of Insurance. Subject to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receipt by the Administrative Agent of copies of insurance policies or certificates of insurance of the Loan Parties evidencing liability and casualty insurance meeting the requirements set forth in the Loan Documents, including, but not limited to, naming the Administrative Agent as additional insured (in the case of liability insurance) or lender’s loss payee (in the case of hazard insurance) on behalf of the Secured Parties.</w:t>
      </w:r>
    </w:p>
    <w:p>
      <w:pPr>
        <w:spacing w:after="0" w:line="171" w:lineRule="exact"/>
        <w:rPr>
          <w:rFonts w:ascii="Times New Roman" w:cs="Times New Roman" w:eastAsia="Times New Roman" w:hAnsi="Times New Roman"/>
          <w:sz w:val="17"/>
          <w:szCs w:val="17"/>
          <w:color w:val="auto"/>
        </w:rPr>
      </w:pPr>
    </w:p>
    <w:p>
      <w:pPr>
        <w:ind w:left="617" w:right="100" w:firstLine="621"/>
        <w:spacing w:after="0" w:line="264" w:lineRule="auto"/>
        <w:tabs>
          <w:tab w:leader="none" w:pos="157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Closing Certificate. Receipt by the Administrative Agent of a certificate signed by a Responsible Financial Officer of the Borrower certifying (i) that the conditions specified in </w:t>
      </w:r>
      <w:r>
        <w:rPr>
          <w:rFonts w:ascii="Times New Roman" w:cs="Times New Roman" w:eastAsia="Times New Roman" w:hAnsi="Times New Roman"/>
          <w:sz w:val="17"/>
          <w:szCs w:val="17"/>
          <w:u w:val="single" w:color="auto"/>
          <w:color w:val="auto"/>
        </w:rPr>
        <w:t>Sections 5.01(d)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(l)</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Sections 5.02(a)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have been satisfied, (ii) that the Borrower and its Subsidiaries (immediately after giving effect to the transactions contemplated hereby and the incurrence of Indebtedness related thereto) are Solvent on a consolidated basis and (iii) that neither the Borrower nor any Subsidiary as of the Closing Date has outstanding any Disqualified Capital Stock.</w:t>
      </w:r>
    </w:p>
    <w:p>
      <w:pPr>
        <w:spacing w:after="0" w:line="171" w:lineRule="exact"/>
        <w:rPr>
          <w:rFonts w:ascii="Times New Roman" w:cs="Times New Roman" w:eastAsia="Times New Roman" w:hAnsi="Times New Roman"/>
          <w:sz w:val="17"/>
          <w:szCs w:val="17"/>
          <w:color w:val="auto"/>
        </w:rPr>
      </w:pPr>
    </w:p>
    <w:p>
      <w:pPr>
        <w:ind w:left="617" w:right="240" w:firstLine="621"/>
        <w:spacing w:after="0" w:line="270" w:lineRule="auto"/>
        <w:tabs>
          <w:tab w:leader="none" w:pos="160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Existing Indebtedness. Subject to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xml:space="preserve">, all of the existing Indebtedness for borrowed money of the Borrower and its Subsidiaries (excluding Indebtedness permitted to exist under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shall be repaid in full and all security interests related thereto shall be terminated on or prior to the Closing Date.</w:t>
      </w:r>
    </w:p>
    <w:p>
      <w:pPr>
        <w:spacing w:after="0" w:line="165" w:lineRule="exact"/>
        <w:rPr>
          <w:rFonts w:ascii="Times New Roman" w:cs="Times New Roman" w:eastAsia="Times New Roman" w:hAnsi="Times New Roman"/>
          <w:sz w:val="17"/>
          <w:szCs w:val="17"/>
          <w:color w:val="auto"/>
        </w:rPr>
      </w:pPr>
    </w:p>
    <w:p>
      <w:pPr>
        <w:jc w:val="both"/>
        <w:ind w:left="617" w:firstLine="621"/>
        <w:spacing w:after="0" w:line="261" w:lineRule="auto"/>
        <w:tabs>
          <w:tab w:leader="none" w:pos="157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and Third Party Approvals. The Borrower and its Subsidiaries shall have received all material governmental, shareholder and third party consents and approvals necessary in connection with the transactions contemplated by this Agreement and the other Loan Documents and the other transactions contemplated hereby and all applicable waiting periods shall have expired without any action being taken by any Person that could reasonably be expected to restrain, prevent or impose any material adverse conditions on the Borrower or any of its Subsidiaries or such other transactions or that could seek to threaten any of the foregoing, and no law or regulation shall be applicable which could reasonably be expected to have such effect.</w:t>
      </w:r>
    </w:p>
    <w:p>
      <w:pPr>
        <w:spacing w:after="0" w:line="174" w:lineRule="exact"/>
        <w:rPr>
          <w:rFonts w:ascii="Times New Roman" w:cs="Times New Roman" w:eastAsia="Times New Roman" w:hAnsi="Times New Roman"/>
          <w:sz w:val="17"/>
          <w:szCs w:val="17"/>
          <w:color w:val="auto"/>
        </w:rPr>
      </w:pPr>
    </w:p>
    <w:p>
      <w:pPr>
        <w:ind w:left="617" w:firstLine="621"/>
        <w:spacing w:after="0" w:line="287" w:lineRule="auto"/>
        <w:tabs>
          <w:tab w:leader="none" w:pos="1655"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Letters of Direction. Receipt by the Administrative Agent of satisfactory letters of direction containing funds flow information with respect to the proceeds of the Loans to be made on the Closing Date.</w:t>
      </w:r>
    </w:p>
    <w:p>
      <w:pPr>
        <w:spacing w:after="0" w:line="151" w:lineRule="exact"/>
        <w:rPr>
          <w:rFonts w:ascii="Times New Roman" w:cs="Times New Roman" w:eastAsia="Times New Roman" w:hAnsi="Times New Roman"/>
          <w:sz w:val="17"/>
          <w:szCs w:val="17"/>
          <w:color w:val="auto"/>
        </w:rPr>
      </w:pPr>
    </w:p>
    <w:p>
      <w:pPr>
        <w:ind w:left="617" w:right="520" w:firstLine="621"/>
        <w:spacing w:after="0" w:line="287" w:lineRule="auto"/>
        <w:tabs>
          <w:tab w:leader="none" w:pos="160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Receipt by the Administrative Agent and the Lenders of any fees or original issue discount required to be paid on or before the Closing Date (including, for the avoidance of doubt, pursuant to the Fee Letters).</w:t>
      </w:r>
    </w:p>
    <w:p>
      <w:pPr>
        <w:spacing w:after="0" w:line="151" w:lineRule="exact"/>
        <w:rPr>
          <w:rFonts w:ascii="Times New Roman" w:cs="Times New Roman" w:eastAsia="Times New Roman" w:hAnsi="Times New Roman"/>
          <w:sz w:val="17"/>
          <w:szCs w:val="17"/>
          <w:color w:val="auto"/>
        </w:rPr>
      </w:pPr>
    </w:p>
    <w:p>
      <w:pPr>
        <w:jc w:val="both"/>
        <w:ind w:left="617" w:firstLine="621"/>
        <w:spacing w:after="0" w:line="260" w:lineRule="auto"/>
        <w:tabs>
          <w:tab w:leader="none" w:pos="1611"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Attorney Costs; Due Diligence Expenses. The Borrower shall have paid all reasonable and documented fees, charges and disbursements of counsel to the Administrative Agent and counsel to each Lender and all reasonable and documented due diligence expenses of the Lenders, in each case, incurred prior to the Closing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estimate shall not thereafter preclude a final settling of accounts between the Borrower and the Administrative Agent), in each case, to the extent specified in any separate funds flow or funding direction letters entered into between the Borrower and the Lenders.</w:t>
      </w:r>
    </w:p>
    <w:p>
      <w:pPr>
        <w:spacing w:after="0" w:line="173" w:lineRule="exact"/>
        <w:rPr>
          <w:rFonts w:ascii="Times New Roman" w:cs="Times New Roman" w:eastAsia="Times New Roman" w:hAnsi="Times New Roman"/>
          <w:sz w:val="17"/>
          <w:szCs w:val="17"/>
          <w:color w:val="auto"/>
        </w:rPr>
      </w:pPr>
    </w:p>
    <w:p>
      <w:pPr>
        <w:jc w:val="both"/>
        <w:ind w:left="617" w:firstLine="621"/>
        <w:spacing w:after="0" w:line="261" w:lineRule="auto"/>
        <w:tabs>
          <w:tab w:leader="none" w:pos="172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Receipt by the Administrative Agent and the Lenders of such other documents, instruments, agreements and information as reasonably requested by the Administrative Agent or any Lender, including, but not limited to, information regarding litigation, tax, accounting, labor, insurance, pension liabilities (actual or contingent), real estate leases, material contracts, debt agreements, property ownership, environmental matters, contingent liabilities, commercial trends, pipeline indications and associated clinical data, competitive landscape, regulatory exclusivity, intellectual property and management of the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13867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-8023225</wp:posOffset>
            </wp:positionV>
            <wp:extent cx="1490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149098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-4879975</wp:posOffset>
            </wp:positionV>
            <wp:extent cx="1084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-4224655</wp:posOffset>
            </wp:positionV>
            <wp:extent cx="9366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93662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-3569970</wp:posOffset>
            </wp:positionV>
            <wp:extent cx="10693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106934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-3046095</wp:posOffset>
            </wp:positionV>
            <wp:extent cx="1927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1927225"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-2259965</wp:posOffset>
            </wp:positionV>
            <wp:extent cx="969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96964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-1867535</wp:posOffset>
            </wp:positionV>
            <wp:extent cx="3092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-1474470</wp:posOffset>
            </wp:positionV>
            <wp:extent cx="1906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190690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-557530</wp:posOffset>
            </wp:positionV>
            <wp:extent cx="4311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ectPr>
          <w:pgSz w:w="11900" w:h="16838" w:orient="portrait"/>
          <w:cols w:equalWidth="0" w:num="1">
            <w:col w:w="11237"/>
          </w:cols>
          <w:pgMar w:left="323" w:top="561" w:right="339" w:bottom="1440" w:gutter="0" w:footer="0" w:header="0"/>
        </w:sectPr>
      </w:pPr>
    </w:p>
    <w:bookmarkStart w:id="91" w:name="page92"/>
    <w:bookmarkEnd w:id="91"/>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Without limiting the generality of the provisions of the penultimate paragraph of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xml:space="preserve">, for purposes of determining compliance with the conditions specified in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5.02</w:t>
        <w:tab/>
        <w:t>Conditions to all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3792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obligation of each Lender to honor any Loan Notice is subject to the following conditions precedent:</w:t>
      </w:r>
    </w:p>
    <w:p>
      <w:pPr>
        <w:spacing w:after="0" w:line="217" w:lineRule="exact"/>
        <w:rPr>
          <w:sz w:val="20"/>
          <w:szCs w:val="20"/>
          <w:color w:val="auto"/>
        </w:rPr>
      </w:pPr>
    </w:p>
    <w:p>
      <w:pPr>
        <w:jc w:val="both"/>
        <w:ind w:left="620" w:firstLine="621"/>
        <w:spacing w:after="0" w:line="258" w:lineRule="auto"/>
        <w:tabs>
          <w:tab w:leader="none" w:pos="162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the Borrower and each other Loan Party contained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or any other Loan Document, shall be true and correct in all material respects (and in all respects if any such representation or warranty is already qualified by materiality or reference to Material Adverse Effect) on and as of the date of such Borrowing,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shall be deemed to refer to the most recent statements furnished pursuant to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respectively, of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exist or would result from such proposed Borrowing or from the application of the proceeds thereof.</w:t>
      </w:r>
    </w:p>
    <w:p>
      <w:pPr>
        <w:spacing w:after="0" w:line="217" w:lineRule="exact"/>
        <w:rPr>
          <w:rFonts w:ascii="Times New Roman" w:cs="Times New Roman" w:eastAsia="Times New Roman" w:hAnsi="Times New Roman"/>
          <w:sz w:val="17"/>
          <w:szCs w:val="17"/>
          <w:color w:val="auto"/>
        </w:rPr>
      </w:pPr>
    </w:p>
    <w:p>
      <w:pPr>
        <w:ind w:left="620" w:right="120" w:firstLine="621"/>
        <w:spacing w:after="0" w:line="270" w:lineRule="auto"/>
        <w:tabs>
          <w:tab w:leader="none" w:pos="159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Term B Borrowing, to the extent requested by any Lender, the Administrative Agent shall have received the executed counterpart of the Term B Note, properly executed by a Responsible Officer of the Borrower and in form and substance reasonably satisfactory to the Administrative Agent and the Lenders.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6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Term C Borrowing, (i) the Term C Draw Condition shall have been satisfied and (ii) to the extent requested by any Lender, the Administrative Agent shall have received the executed counterpart of the Term C Note, properly executed by a Responsible Officer of the Borrower and in form and substance reasonably satisfactory to the Administrative Agent and the Lenders.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1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Term B Borrowing and the Term C Borrowing, receipt by the Administrative Agent of a reasonably satisfactory letter of direction containing funds flow information with respect to the proceeds of the Loans to be advanced on the applicable Term B Borrowing Date and the Term C Borrowing Date, as the case may be.</w:t>
      </w:r>
    </w:p>
    <w:p>
      <w:pPr>
        <w:spacing w:after="0" w:line="165" w:lineRule="exact"/>
        <w:rPr>
          <w:rFonts w:ascii="Times New Roman" w:cs="Times New Roman" w:eastAsia="Times New Roman" w:hAnsi="Times New Roman"/>
          <w:sz w:val="17"/>
          <w:szCs w:val="17"/>
          <w:color w:val="auto"/>
        </w:rPr>
      </w:pPr>
    </w:p>
    <w:p>
      <w:pPr>
        <w:ind w:left="620" w:right="240" w:firstLine="621"/>
        <w:spacing w:after="0" w:line="270" w:lineRule="auto"/>
        <w:tabs>
          <w:tab w:leader="none" w:pos="157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Term B Borrowing and the Term C Borrowing, receipt by the Administrative Agent and the Lenders of any fees and original issue discount required to be paid on or before the applicable Term B Borrowing Date and the Term C Borrowing Date, as the case may be (including, in each case, for the avoidance of doubt, pursuant to the Fee Letters).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7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Term B Borrowing and the Term C Borrowing, the Borrower shall have paid all reasonable and documented fees, charges and disbursements of counsel to the Administrative Agent and counsel to the Lenders, in each case, incurred prior to the applicable Term B Borrowing Date or the Term C Borrowing Date, as the case may be, and in each case to the extent invoiced to the Borrower at least two (2) Business Days prior to the Term B Borrowing Date or the Term C Borrowing Date, as the case may be, and solely to the extent required under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hereof.</w:t>
      </w:r>
    </w:p>
    <w:p>
      <w:pPr>
        <w:spacing w:after="0" w:line="17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a Loan Notice in accordance with the requirements hereof.</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Each Loan Notice submitted by the Borrower shall be deemed to be a representation and warranty that the conditions specified in </w:t>
      </w:r>
      <w:r>
        <w:rPr>
          <w:rFonts w:ascii="Times New Roman" w:cs="Times New Roman" w:eastAsia="Times New Roman" w:hAnsi="Times New Roman"/>
          <w:sz w:val="17"/>
          <w:szCs w:val="17"/>
          <w:u w:val="single" w:color="auto"/>
          <w:color w:val="auto"/>
        </w:rPr>
        <w:t>Sections 5.02(a)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(d)(i)</w:t>
      </w:r>
      <w:r>
        <w:rPr>
          <w:rFonts w:ascii="Times New Roman" w:cs="Times New Roman" w:eastAsia="Times New Roman" w:hAnsi="Times New Roman"/>
          <w:sz w:val="17"/>
          <w:szCs w:val="17"/>
          <w:color w:val="auto"/>
        </w:rPr>
        <w:t xml:space="preserve"> (if applicable) have been satisfied on and as of the date of the applicable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2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Loan Parties represent and warrant to the Administrative Agent and the Lenders that:</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6.01</w:t>
        <w:tab/>
        <w:t>Existence, Qualification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6541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Each Loan Party and each of its Subsidiaries (a) is duly incorporated, organized or formed, validly existing and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7"/>
          <w:szCs w:val="17"/>
          <w:u w:val="single" w:color="auto"/>
          <w:color w:val="auto"/>
        </w:rPr>
        <w:t>clauses (b)(i)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to the extent that failure to do so could not reasonably be expected to have a Material Adverse Effect.</w:t>
      </w:r>
    </w:p>
    <w:p>
      <w:pPr>
        <w:spacing w:after="0" w:line="17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6.02</w:t>
        <w:tab/>
        <w:t>Authorization; No Contravention.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551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in any material respect, any Law (including, without limitation, Regulation U or Regulation X issued by the FRB), except with respect to any conflict, breach or contravention or payment (but not creation of Liens) referred to in </w:t>
      </w:r>
      <w:r>
        <w:rPr>
          <w:rFonts w:ascii="Times New Roman" w:cs="Times New Roman" w:eastAsia="Times New Roman" w:hAnsi="Times New Roman"/>
          <w:sz w:val="17"/>
          <w:szCs w:val="17"/>
          <w:u w:val="single" w:color="auto"/>
          <w:color w:val="auto"/>
        </w:rPr>
        <w:t>clause (b)(i)</w:t>
      </w:r>
      <w:r>
        <w:rPr>
          <w:rFonts w:ascii="Times New Roman" w:cs="Times New Roman" w:eastAsia="Times New Roman" w:hAnsi="Times New Roman"/>
          <w:sz w:val="17"/>
          <w:szCs w:val="17"/>
          <w:color w:val="auto"/>
        </w:rPr>
        <w:t xml:space="preserve"> to the extent that such conflict, breach, contravention or payment could not reasonably be expected, individually or in the aggregate, to have a Material Adverse Effect.</w:t>
      </w:r>
    </w:p>
    <w:p>
      <w:pPr>
        <w:spacing w:after="0" w:line="38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6.03</w:t>
        <w:tab/>
        <w:t>Governmental Authorization; Other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0999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(b) filings to perfect the Liens created by the Collateral Documents,</w:t>
      </w:r>
    </w:p>
    <w:p>
      <w:pPr>
        <w:ind w:firstLine="3"/>
        <w:spacing w:after="0" w:line="266" w:lineRule="auto"/>
        <w:tabs>
          <w:tab w:leader="none" w:pos="2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any applicable notices under securities laws and (d) the payment of Florida documentary stamp tax required by law which as of the Closing Date is not yet due and payable.</w:t>
      </w:r>
    </w:p>
    <w:p>
      <w:pPr>
        <w:spacing w:after="0" w:line="16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6.04</w:t>
        <w:tab/>
        <w:t>Binding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7524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 subject to applicable Debtor Relief Laws or other Laws affecting creditors’ rights generally and subject to general principles of equity.</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6.05</w:t>
        <w:tab/>
        <w:t>Financial Statements; No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2917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60" w:lineRule="auto"/>
        <w:tabs>
          <w:tab w:leader="none" w:pos="164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Financial Statements, other than solely with respect to the Material Weakness Restatement,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material liabilities for taxes, commitments and Indebtedness.</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1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Interim Financial Statements (other than solely with respect to the Material Weakness Restatement) and the Draft Financial Statements, in each case,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subject, in the case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to the absence of footnotes and to normal year-end audit adjustments, and (iii) show all material indebtedness and other liabilities, direct or contingent, of the Borrower and its Subsidiaries as of the date thereof, including material liabilities for taxes, material commitments and Indebtedness.</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3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of the Audited Financial Statements to and including the Closing Date, there has been no Disposition by any Loan Party or any Subsidiary, or any Involuntary Disposition, of any material part of the business or property of any Loan Party or any Subsidiary, and no purchase or other acquisition by any of them of any business or property (including any Equity Interests of any other Person) material to any Loan Party or any Subsidiary, in each case, which is not reflected in the foregoing financial statements or in the notes thereto and has not otherwise been disclosed in writing to the Lenders on or prior to the Closing Date.</w:t>
      </w:r>
    </w:p>
    <w:p>
      <w:pPr>
        <w:spacing w:after="0" w:line="174" w:lineRule="exact"/>
        <w:rPr>
          <w:rFonts w:ascii="Times New Roman" w:cs="Times New Roman" w:eastAsia="Times New Roman" w:hAnsi="Times New Roman"/>
          <w:sz w:val="17"/>
          <w:szCs w:val="17"/>
          <w:color w:val="auto"/>
        </w:rPr>
      </w:pPr>
    </w:p>
    <w:p>
      <w:pPr>
        <w:ind w:left="620" w:right="20" w:firstLine="621"/>
        <w:spacing w:after="0" w:line="287" w:lineRule="auto"/>
        <w:tabs>
          <w:tab w:leader="none" w:pos="161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Audited Financial Statements, there has been no event or circumstance, either individually or in the aggregate, that has had or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3" w:name="page94"/>
    <w:bookmarkEnd w:id="93"/>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6.06</w:t>
        <w:tab/>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39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There are no actions, suits, proceedings, claims or disputes pending or, to the knowledge of the Loan Parties,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6.07</w:t>
      </w:r>
      <w:r>
        <w:rPr>
          <w:sz w:val="20"/>
          <w:szCs w:val="20"/>
          <w:color w:val="auto"/>
        </w:rPr>
        <w:tab/>
      </w:r>
      <w:r>
        <w:rPr>
          <w:rFonts w:ascii="Times New Roman" w:cs="Times New Roman" w:eastAsia="Times New Roman" w:hAnsi="Times New Roman"/>
          <w:sz w:val="16"/>
          <w:szCs w:val="16"/>
          <w:color w:val="auto"/>
        </w:rPr>
        <w:t>No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969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97" w:lineRule="exact"/>
        <w:rPr>
          <w:sz w:val="20"/>
          <w:szCs w:val="20"/>
          <w:color w:val="auto"/>
        </w:rPr>
      </w:pPr>
    </w:p>
    <w:p>
      <w:pPr>
        <w:ind w:left="620" w:right="520" w:firstLine="621"/>
        <w:spacing w:after="0" w:line="287" w:lineRule="auto"/>
        <w:tabs>
          <w:tab w:leader="none" w:pos="160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any Loan Party nor any Subsidiary is in default under or with respect to any Contractual Obligation that could reasonably be expected to have a Material Adverse Effect.</w:t>
      </w:r>
    </w:p>
    <w:p>
      <w:pPr>
        <w:spacing w:after="0" w:line="151"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has occurred and is continuing.</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6.08</w:t>
        <w:tab/>
        <w:t>Ownership of Property;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090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Each Loan Party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Permitted Liens.</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6.09</w:t>
        <w:tab/>
        <w:t>Environmental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3119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Except as could not reasonably be expected to have a Material Adverse Effect:</w:t>
      </w:r>
    </w:p>
    <w:p>
      <w:pPr>
        <w:spacing w:after="0" w:line="217" w:lineRule="exact"/>
        <w:rPr>
          <w:sz w:val="20"/>
          <w:szCs w:val="20"/>
          <w:color w:val="auto"/>
        </w:rPr>
      </w:pPr>
    </w:p>
    <w:p>
      <w:pPr>
        <w:jc w:val="both"/>
        <w:ind w:left="620" w:firstLine="621"/>
        <w:spacing w:after="0" w:line="270" w:lineRule="auto"/>
        <w:tabs>
          <w:tab w:leader="none" w:pos="160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Facilities and all operations at the Facilities are in compliance with all applicable Environmental Laws, and there is no violation of any Environmental Law with respect to the Facilities or the Businesses, and there are no conditions relating to the Facilities or the Businesses that could give rise to liability under any applicable Environmental Laws.</w:t>
      </w:r>
    </w:p>
    <w:p>
      <w:pPr>
        <w:spacing w:after="0" w:line="165" w:lineRule="exact"/>
        <w:rPr>
          <w:rFonts w:ascii="Times New Roman" w:cs="Times New Roman" w:eastAsia="Times New Roman" w:hAnsi="Times New Roman"/>
          <w:sz w:val="17"/>
          <w:szCs w:val="17"/>
          <w:color w:val="auto"/>
        </w:rPr>
      </w:pPr>
    </w:p>
    <w:p>
      <w:pPr>
        <w:ind w:left="620" w:right="820" w:firstLine="621"/>
        <w:spacing w:after="0" w:line="287" w:lineRule="auto"/>
        <w:tabs>
          <w:tab w:leader="none" w:pos="161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Facilities contains, or has previously contained any Hazardous Materials at, on or under the Facilities in amounts or concentrations that constitute or constituted a violation of, or could give rise to liability under, Environmental Laws.</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8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any Loan Party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nor does any Responsible Officer of any Loan Party have knowledge or reason to believe that any such notice will be received or is being threatened.</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1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Hazardous Materials have not been transported or disposed of from the Facilities, or generated, treated, stored or disposed of at, on or under any of the Facilities or any other location, in each case, by or on behalf of any Loan Party or any Subsidiary in violation of, or in a manner that would be reasonably likely to give rise to liability under, any applicable Environmental Law.</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1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judicial proceeding or governmental or administrative action is pending or, to the knowledge of the Loan Parties, threatened, under any Environmental Law to which any Loan Party or any Subsidiary is or will be named as a party, nor are there any consent decrees or other decrees, consent orders, administrative orders or other orders, or other administrative or judicial requirements outstanding under any Environmental Law with respect to any Loan Party, any Subsidiary, the Facilities or the Businesses.</w:t>
      </w:r>
    </w:p>
    <w:p>
      <w:pPr>
        <w:spacing w:after="0" w:line="171" w:lineRule="exact"/>
        <w:rPr>
          <w:rFonts w:ascii="Times New Roman" w:cs="Times New Roman" w:eastAsia="Times New Roman" w:hAnsi="Times New Roman"/>
          <w:sz w:val="17"/>
          <w:szCs w:val="17"/>
          <w:color w:val="auto"/>
        </w:rPr>
      </w:pPr>
    </w:p>
    <w:p>
      <w:pPr>
        <w:ind w:left="620" w:right="240" w:firstLine="621"/>
        <w:spacing w:after="0" w:line="270" w:lineRule="auto"/>
        <w:tabs>
          <w:tab w:leader="none" w:pos="157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no release or threat of release of Hazardous Materials at or from the Facilities, or arising from or related to the operations (including, without limitation, disposal) of any Loan Party or any Subsidiary in connection with the Facilities or otherwise in connection with the Businesses, in violation of or in amounts or in a manner that could give rise to liability under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4" w:name="page95"/>
    <w:bookmarkEnd w:id="94"/>
    <w:p>
      <w:pPr>
        <w:spacing w:after="0" w:line="4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6.10</w:t>
      </w:r>
      <w:r>
        <w:rPr>
          <w:sz w:val="20"/>
          <w:szCs w:val="20"/>
          <w:color w:val="auto"/>
        </w:rPr>
        <w:tab/>
      </w:r>
      <w:r>
        <w:rPr>
          <w:rFonts w:ascii="Times New Roman" w:cs="Times New Roman" w:eastAsia="Times New Roman" w:hAnsi="Times New Roman"/>
          <w:sz w:val="16"/>
          <w:szCs w:val="16"/>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334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197" w:lineRule="exact"/>
        <w:rPr>
          <w:sz w:val="20"/>
          <w:szCs w:val="20"/>
          <w:color w:val="auto"/>
        </w:rPr>
      </w:pPr>
    </w:p>
    <w:p>
      <w:pPr>
        <w:ind w:left="620" w:right="200" w:firstLine="621"/>
        <w:spacing w:after="0" w:line="261" w:lineRule="auto"/>
        <w:tabs>
          <w:tab w:leader="none" w:pos="159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properties of the Loan Parties and their Subsidiaries are insured with financially sound and reputable insurance companies not Affiliates of such Persons, in such amounts, with such deductibles and covering such risks as are customarily carried by companies engaged in similar businesses and owning similar properties in localities where the applicable Loan Party or the applicable Subsidiary operates. The insurance coverage of the Loan Parties and their Subsidiaries as in effect on the Closing Date is outlined as to carrier, policy number, expiration date, type, amount and deductibles on </w:t>
      </w:r>
      <w:r>
        <w:rPr>
          <w:rFonts w:ascii="Times New Roman" w:cs="Times New Roman" w:eastAsia="Times New Roman" w:hAnsi="Times New Roman"/>
          <w:sz w:val="17"/>
          <w:szCs w:val="17"/>
          <w:u w:val="single" w:color="auto"/>
          <w:color w:val="auto"/>
        </w:rPr>
        <w:t>Schedule 6.10</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left="620" w:right="80" w:firstLine="621"/>
        <w:spacing w:after="0" w:line="270" w:lineRule="auto"/>
        <w:tabs>
          <w:tab w:leader="none" w:pos="161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and each of its respective Subsidiaries maintains, if available, fully paid flood hazard insurance on all real property that is located in a special flood hazard area and that constitutes Collateral, on such terms and in such amounts as required by The National Flood Insurance Reform Act of 1994 or as otherwise reasonably required by the Administrative Agent or the Required Lenders.</w:t>
      </w:r>
    </w:p>
    <w:p>
      <w:pPr>
        <w:spacing w:after="0" w:line="165"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6.11</w:t>
      </w:r>
      <w:r>
        <w:rPr>
          <w:sz w:val="20"/>
          <w:szCs w:val="20"/>
          <w:color w:val="auto"/>
        </w:rPr>
        <w:tab/>
      </w:r>
      <w:r>
        <w:rPr>
          <w:rFonts w:ascii="Times New Roman" w:cs="Times New Roman" w:eastAsia="Times New Roman" w:hAnsi="Times New Roman"/>
          <w:sz w:val="16"/>
          <w:szCs w:val="16"/>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-6350</wp:posOffset>
            </wp:positionV>
            <wp:extent cx="3600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Loan Parties and their respective Subsidiaries have filed all federal, state and other material Tax returns and reports required to have been filed, and have paid all federal, state and other taxes, assessments, fees and other governmental charges that have been levied or imposed upon them or their properties, income or assets otherwise due and payable (including in their capacity as a Withholding Agent), except (a) those which are being contested in good faith by appropriate proceedings diligently conducted and for which adequate reserves have been provided in accordance with GAAP and (b) to the extent that the failure to do so could not reasonably be expected to, individually or in the aggregate, have a Material Adverse Effect.</w:t>
      </w:r>
    </w:p>
    <w:p>
      <w:pPr>
        <w:spacing w:after="0" w:line="17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6.12</w:t>
        <w:tab/>
        <w:t>ERISA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9785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70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could not, individually or in the aggregate, reasonably be expected to have a Material Adverse Effect, (i) each Plan is in compliance with the applicable provisions of ERISA, the Internal Revenue Code and other federal or state laws and (ii) each Pension Plan that is intended to be a qualified plan under Section 401(a) of the Internal Revenue Code has received a favorable determination letter from the Internal Revenue Service to the effect that the form of such Plan is qualified under Section 401(a) of the Internal Revenue Code and the trust related thereto has been determined by the Internal Revenue Service to be exempt from federal income tax under Section 501(a) of the Internal Revenue Code or an application for such a letter is currently being processed by the Internal Revenue Service or is entitled to reply on the opinion or advisory letter issued by the Internal Revenue Service to the sponsor or a preapproved plan document, and to the knowledge of the Loan Parties, nothing has occurred that would prevent, or cause the loss of, such tax-qualified status.</w:t>
      </w:r>
    </w:p>
    <w:p>
      <w:pPr>
        <w:spacing w:after="0" w:line="175" w:lineRule="exact"/>
        <w:rPr>
          <w:rFonts w:ascii="Times New Roman" w:cs="Times New Roman" w:eastAsia="Times New Roman" w:hAnsi="Times New Roman"/>
          <w:sz w:val="17"/>
          <w:szCs w:val="17"/>
          <w:color w:val="auto"/>
        </w:rPr>
      </w:pPr>
    </w:p>
    <w:p>
      <w:pPr>
        <w:ind w:left="620" w:right="60" w:firstLine="621"/>
        <w:spacing w:after="0" w:line="264" w:lineRule="auto"/>
        <w:tabs>
          <w:tab w:leader="none" w:pos="160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to the knowledge of the Loan Parties, threatened claims, actions or lawsuits, or action by any Governmental Authority, with respect to any Plan that could reasonably be expected to have a Material Adverse Effect. The Borrower has not engaged in any prohibited transaction or violation of the fiduciary responsibility rules with respect to any Plan, in any case, that has resulted or could reasonably be expected to result in a Material Adverse Effect.</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1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resulted in and could not be reasonably expected to result in a Material Adverse Effect,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and (iii) neither the Borrower nor any ERISA Affiliate has incurred any liability to the PBGC other than for the payment of premiums, and there are no premium payments which have become due that are unpaid.</w:t>
      </w:r>
    </w:p>
    <w:p>
      <w:pPr>
        <w:spacing w:after="0" w:line="17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6.13</w:t>
        <w:tab/>
        <w:t>Subsidiaries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66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61" w:lineRule="auto"/>
        <w:tabs>
          <w:tab w:leader="none" w:pos="16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Set forth on </w:t>
      </w:r>
      <w:r>
        <w:rPr>
          <w:rFonts w:ascii="Times New Roman" w:cs="Times New Roman" w:eastAsia="Times New Roman" w:hAnsi="Times New Roman"/>
          <w:sz w:val="17"/>
          <w:szCs w:val="17"/>
          <w:u w:val="single" w:color="auto"/>
          <w:color w:val="auto"/>
        </w:rPr>
        <w:t>Schedule 6.13(a)</w:t>
      </w:r>
      <w:r>
        <w:rPr>
          <w:rFonts w:ascii="Times New Roman" w:cs="Times New Roman" w:eastAsia="Times New Roman" w:hAnsi="Times New Roman"/>
          <w:sz w:val="17"/>
          <w:szCs w:val="17"/>
          <w:color w:val="auto"/>
        </w:rPr>
        <w:t xml:space="preserve"> is a complete and accurate list as of the Closing Date of each Subsidiary, together with (i) jurisdiction of organization, (ii) number of shares of each class of Equity Interests outstanding, (iii) number and percentage of outstanding shares of each class owned (directly or indirectly) by any Loan Party or any Subsidiary, (iv) number and effect, if exercised, of all outstanding options, warrants, rights of conversion or purchase and all other similar rights with respect thereto and (v) identification of each Subsidiary that is an Excluded Subsidiary. The outstanding Equity Interests of each Subsidiary are validly issued, fully paid and non-assessable.</w:t>
      </w:r>
    </w:p>
    <w:p>
      <w:pPr>
        <w:spacing w:after="0" w:line="174"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70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Closing Date, except as described on </w:t>
      </w:r>
      <w:r>
        <w:rPr>
          <w:rFonts w:ascii="Times New Roman" w:cs="Times New Roman" w:eastAsia="Times New Roman" w:hAnsi="Times New Roman"/>
          <w:sz w:val="17"/>
          <w:szCs w:val="17"/>
          <w:u w:val="single" w:color="auto"/>
          <w:color w:val="auto"/>
        </w:rPr>
        <w:t>Schedule 6.13(b)</w:t>
      </w:r>
      <w:r>
        <w:rPr>
          <w:rFonts w:ascii="Times New Roman" w:cs="Times New Roman" w:eastAsia="Times New Roman" w:hAnsi="Times New Roman"/>
          <w:sz w:val="17"/>
          <w:szCs w:val="17"/>
          <w:color w:val="auto"/>
        </w:rPr>
        <w:t>, there are no outstanding commitments or other obligations of the Borrower or any Subsidiary to issue, and no rights of any Person to acquire, any shares of any Equity Interests of the Borrower or any of its Subsidiaries. All issued and outstanding Equity Interests of the Borrower and each of its Subsidiaries is duly authorized and validly issued, fully paid and non-assessable and such Equity Interests were issued in compliance with all applicable Laws.</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6.14</w:t>
        <w:tab/>
        <w:t>Margin Regulations;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1558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60" w:lineRule="auto"/>
        <w:tabs>
          <w:tab w:leader="none" w:pos="161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Borrower and its Subsidiaries on a consolidated basis) subject to the provisions of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or subject to any restriction contained in any agreement or instrument between the Borrower and any Lender or any Affiliate of any Lender relating to Indebtedness and within the scope of </w:t>
      </w:r>
      <w:r>
        <w:rPr>
          <w:rFonts w:ascii="Times New Roman" w:cs="Times New Roman" w:eastAsia="Times New Roman" w:hAnsi="Times New Roman"/>
          <w:sz w:val="17"/>
          <w:szCs w:val="17"/>
          <w:u w:val="single" w:color="auto"/>
          <w:color w:val="auto"/>
        </w:rPr>
        <w:t>Section 9.01(e)</w:t>
      </w:r>
      <w:r>
        <w:rPr>
          <w:rFonts w:ascii="Times New Roman" w:cs="Times New Roman" w:eastAsia="Times New Roman" w:hAnsi="Times New Roman"/>
          <w:sz w:val="17"/>
          <w:szCs w:val="17"/>
          <w:color w:val="auto"/>
        </w:rPr>
        <w:t xml:space="preserve"> will be margin stock.</w:t>
      </w:r>
    </w:p>
    <w:p>
      <w:pPr>
        <w:spacing w:after="0" w:line="173"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Loan Party is or is required to be registered as an “investment company” under the Investment Company Act of 1940.</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6.15</w:t>
        <w:tab/>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75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57594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Each Loan Party has disclosed to the Administrative Agent and the Lenders all agreements, instruments and corporate or other restrictions to which it or any of its Subsidiaries is subject, and all other matters known to it, that, either individually or in the aggregate, could reasonably be expected to result in a Material Adverse Effect. No report, financial statement, certificate or other information furnished (whether written or oral)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fact necessary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 respect to financial projections, estimates, budgets or other forward-looking information, the Loan Parties represent only that such information was prepared in good faith based upon assumptions believed by the Borrower to be reasonable at the time such information was prepared (it being understood that such information is as to future events and is not to be viewed as facts, is subject to significant uncertainties and contingencies, many of which are beyond the control of the</w:t>
      </w:r>
    </w:p>
    <w:p>
      <w:pPr>
        <w:sectPr>
          <w:pgSz w:w="11900" w:h="16878" w:orient="portrait"/>
          <w:cols w:equalWidth="0" w:num="1">
            <w:col w:w="11240"/>
          </w:cols>
          <w:pgMar w:left="320" w:top="561" w:right="339" w:bottom="0" w:gutter="0" w:footer="0" w:header="0"/>
        </w:sectPr>
      </w:pPr>
    </w:p>
    <w:bookmarkStart w:id="95" w:name="page96"/>
    <w:bookmarkEnd w:id="95"/>
    <w:p>
      <w:pPr>
        <w:jc w:val="both"/>
        <w:spacing w:after="0" w:line="270" w:lineRule="auto"/>
        <w:rPr>
          <w:sz w:val="20"/>
          <w:szCs w:val="20"/>
          <w:color w:val="auto"/>
        </w:rPr>
      </w:pPr>
      <w:r>
        <w:rPr>
          <w:rFonts w:ascii="Times New Roman" w:cs="Times New Roman" w:eastAsia="Times New Roman" w:hAnsi="Times New Roman"/>
          <w:sz w:val="17"/>
          <w:szCs w:val="17"/>
          <w:color w:val="auto"/>
        </w:rPr>
        <w:t>Borrower and its Subsidiaries, that no assurance can be given that any particular projection, estimate, budget or forecast will be realized and that actual results during the period or periods covered by any such projections, estimate, budgets or forecasts may differ significantly from the projected results and such differences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6.16</w:t>
        <w:tab/>
        <w:t>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214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6.17</w:t>
        <w:tab/>
        <w:t>Intellectual Property; Licenses,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6421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69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Schedule 6.17(a) sets forth a complete and accurate list of all (i) Patents, (ii) Trademarks and (iii) other registered items of Material Intellectual Property, in each case of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that (A) is owned or controlled by any Loan Party or any Subsidiary or (B) constitutes Material Intellectual Property and is being in-licensed by any Loan Party or any Subsidiary. For each item of Intellectual Property listed on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 xml:space="preserve">, the Loan Parties have, where relevant, indicated on such schedule the owner of record, jurisdiction of application and/or registration, the application numbers, the registration or patent numbers or patent application numbers, and the date of application and/or registration.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 xml:space="preserve"> also sets forth a complete and accurate list of all Material Contracts that are license agreements (inbound or outbound) of any of the foregoing items of Intellectual Property.</w:t>
      </w:r>
    </w:p>
    <w:p>
      <w:pPr>
        <w:spacing w:after="0" w:line="179" w:lineRule="exact"/>
        <w:rPr>
          <w:rFonts w:ascii="Times New Roman" w:cs="Times New Roman" w:eastAsia="Times New Roman" w:hAnsi="Times New Roman"/>
          <w:sz w:val="17"/>
          <w:szCs w:val="17"/>
          <w:color w:val="auto"/>
        </w:rPr>
      </w:pPr>
    </w:p>
    <w:p>
      <w:pPr>
        <w:ind w:left="620" w:right="20" w:firstLine="621"/>
        <w:spacing w:after="0" w:line="264" w:lineRule="auto"/>
        <w:tabs>
          <w:tab w:leader="none" w:pos="161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6.17(b) sets forth, on a Product-by-Product basis, for each Material Product, a complete and accurate list of all Product-Specific Patents, and, to the knowledge of the Loan Parties, in each such listed Product-Specific Patent there is at least one valid claim that, but for a Loan Party or any Subsidiary’s rights under such Patents, would be infringed by making, using, selling, offering for sale, importing or otherwise commercializing such Material Product.</w:t>
      </w:r>
    </w:p>
    <w:p>
      <w:pPr>
        <w:spacing w:after="0" w:line="17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Material Intellectual Property:</w:t>
      </w:r>
    </w:p>
    <w:p>
      <w:pPr>
        <w:spacing w:after="0" w:line="217" w:lineRule="exact"/>
        <w:rPr>
          <w:rFonts w:ascii="Times New Roman" w:cs="Times New Roman" w:eastAsia="Times New Roman" w:hAnsi="Times New Roman"/>
          <w:sz w:val="17"/>
          <w:szCs w:val="17"/>
          <w:color w:val="auto"/>
        </w:rPr>
      </w:pPr>
    </w:p>
    <w:p>
      <w:pPr>
        <w:ind w:left="1240" w:right="320" w:firstLine="620"/>
        <w:spacing w:after="0" w:line="287" w:lineRule="auto"/>
        <w:tabs>
          <w:tab w:leader="none" w:pos="219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and its respective Subsidiaries, as applicable, owns or has a valid license to such Intellectual Property free and clear of any and all Liens other than Permitted Liens;</w:t>
      </w:r>
    </w:p>
    <w:p>
      <w:pPr>
        <w:spacing w:after="0" w:line="151" w:lineRule="exact"/>
        <w:rPr>
          <w:rFonts w:ascii="Times New Roman" w:cs="Times New Roman" w:eastAsia="Times New Roman" w:hAnsi="Times New Roman"/>
          <w:sz w:val="17"/>
          <w:szCs w:val="17"/>
          <w:color w:val="auto"/>
        </w:rPr>
      </w:pPr>
    </w:p>
    <w:p>
      <w:pPr>
        <w:ind w:left="1240" w:right="120" w:firstLine="620"/>
        <w:spacing w:after="0" w:line="287" w:lineRule="auto"/>
        <w:tabs>
          <w:tab w:leader="none" w:pos="224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and its respective Subsidiaries, as applicable, has taken commercially reasonable actions to maintain and protect the Intellectual Property within such Intellectual Property;</w:t>
      </w:r>
    </w:p>
    <w:p>
      <w:pPr>
        <w:spacing w:after="0" w:line="151" w:lineRule="exact"/>
        <w:rPr>
          <w:rFonts w:ascii="Times New Roman" w:cs="Times New Roman" w:eastAsia="Times New Roman" w:hAnsi="Times New Roman"/>
          <w:sz w:val="17"/>
          <w:szCs w:val="17"/>
          <w:color w:val="auto"/>
        </w:rPr>
      </w:pPr>
    </w:p>
    <w:p>
      <w:pPr>
        <w:ind w:left="2300" w:hanging="440"/>
        <w:spacing w:after="0"/>
        <w:tabs>
          <w:tab w:leader="none" w:pos="23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rejections issued by a Governmental Authority in the ordinary course of prosecuting Patent or Trademark applications,</w:t>
      </w:r>
    </w:p>
    <w:p>
      <w:pPr>
        <w:spacing w:after="0" w:line="27" w:lineRule="exact"/>
        <w:rPr>
          <w:rFonts w:ascii="Times New Roman" w:cs="Times New Roman" w:eastAsia="Times New Roman" w:hAnsi="Times New Roman"/>
          <w:sz w:val="17"/>
          <w:szCs w:val="17"/>
          <w:color w:val="auto"/>
        </w:rPr>
      </w:pPr>
    </w:p>
    <w:p>
      <w:pPr>
        <w:jc w:val="both"/>
        <w:ind w:left="1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there is no proceeding challenging the validity or enforceability of any such Intellectual Property, (B) none of the Loan Parties nor any of their respective Subsidiaries is involved in any such proceeding with any Person, (C) none of such Intellectual Property is the subject of any Other Administrative Proceeding, and (D) no Person has made any certification pursuant to the Drug Price Competition and Patent Term Restoration Act of 1984 (Public Law 98-417), as amended, including but not limited to any such certification pursuant to 21 U.S.C. §355(b)(2) (A)(iv) or 21 U.S.C. §355(j)(2)(A)(vii)(IV), or any reasonably similar or equivalent certification or notice in the United States or any other jurisdiction or any associated litigation (a “</w:t>
      </w:r>
      <w:r>
        <w:rPr>
          <w:rFonts w:ascii="Times New Roman" w:cs="Times New Roman" w:eastAsia="Times New Roman" w:hAnsi="Times New Roman"/>
          <w:sz w:val="17"/>
          <w:szCs w:val="17"/>
          <w:u w:val="single" w:color="auto"/>
          <w:color w:val="auto"/>
        </w:rPr>
        <w:t>Paragraph IV Certification</w:t>
      </w:r>
      <w:r>
        <w:rPr>
          <w:rFonts w:ascii="Times New Roman" w:cs="Times New Roman" w:eastAsia="Times New Roman" w:hAnsi="Times New Roman"/>
          <w:sz w:val="17"/>
          <w:szCs w:val="17"/>
          <w:color w:val="auto"/>
        </w:rPr>
        <w:t>”), asserting the non-infringement, invalidity, or unenforceability of any such Patent owned by or licensed to any Loan Party or any Subsidiary;</w:t>
      </w:r>
    </w:p>
    <w:p>
      <w:pPr>
        <w:spacing w:after="0" w:line="179" w:lineRule="exact"/>
        <w:rPr>
          <w:rFonts w:ascii="Times New Roman" w:cs="Times New Roman" w:eastAsia="Times New Roman" w:hAnsi="Times New Roman"/>
          <w:sz w:val="17"/>
          <w:szCs w:val="17"/>
          <w:color w:val="auto"/>
        </w:rPr>
      </w:pPr>
    </w:p>
    <w:p>
      <w:pPr>
        <w:jc w:val="both"/>
        <w:ind w:left="1240" w:firstLine="620"/>
        <w:spacing w:after="0" w:line="260" w:lineRule="auto"/>
        <w:tabs>
          <w:tab w:leader="none" w:pos="2355"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such Intellectual Property is subsisting and, to the knowledge of the Loan Parties, such Intellectual Property is valid and enforceable, (B) regarding any Patent listed or required to be listed on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 no Loan Party or any Subsidiary is in receipt of any opinion of counsel that any such Patent (or any individual claims therein) is invalid or unenforceable, and (C) to the knowledge of the Loan Parties, such Intellectual Property is in full force and effect and has not lapsed, or been forfeited or cancelled or abandoned (except for routine abandonments associated with patent prosecution) and there are no unpaid maintenance, renewal or other fees payable or owing by such Loan Party or Subsidiary for any such Intellectual Property;</w:t>
      </w:r>
    </w:p>
    <w:p>
      <w:pPr>
        <w:spacing w:after="0" w:line="173" w:lineRule="exact"/>
        <w:rPr>
          <w:rFonts w:ascii="Times New Roman" w:cs="Times New Roman" w:eastAsia="Times New Roman" w:hAnsi="Times New Roman"/>
          <w:sz w:val="17"/>
          <w:szCs w:val="17"/>
          <w:color w:val="auto"/>
        </w:rPr>
      </w:pPr>
    </w:p>
    <w:p>
      <w:pPr>
        <w:jc w:val="both"/>
        <w:ind w:left="1240" w:firstLine="620"/>
        <w:spacing w:after="0" w:line="264" w:lineRule="auto"/>
        <w:tabs>
          <w:tab w:leader="none" w:pos="223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knowledge of the Loan Parties, regarding any Patent listed or required to be listed on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 xml:space="preserve"> and owned by a Loan Party, each individual associated with the filing and prosecution of such Patent has complied in all material respects with all applicable duties of candor and good faith in dealing with any Governmental Authority, including any duty to disclose to any Governmental Authority all information known by such individual to be material to patentability of each such Patent;</w:t>
      </w:r>
    </w:p>
    <w:p>
      <w:pPr>
        <w:spacing w:after="0" w:line="171" w:lineRule="exact"/>
        <w:rPr>
          <w:rFonts w:ascii="Times New Roman" w:cs="Times New Roman" w:eastAsia="Times New Roman" w:hAnsi="Times New Roman"/>
          <w:sz w:val="17"/>
          <w:szCs w:val="17"/>
          <w:color w:val="auto"/>
        </w:rPr>
      </w:pPr>
    </w:p>
    <w:p>
      <w:pPr>
        <w:ind w:left="1240" w:right="100" w:firstLine="620"/>
        <w:spacing w:after="0" w:line="287" w:lineRule="auto"/>
        <w:tabs>
          <w:tab w:leader="none" w:pos="227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Party and its respective Subsidiaries, as applicable, is the sole and exclusive owner of all right, title and interest in and to all such Intellectual Property that is owned by it;</w:t>
      </w:r>
    </w:p>
    <w:p>
      <w:pPr>
        <w:spacing w:after="0" w:line="151" w:lineRule="exact"/>
        <w:rPr>
          <w:rFonts w:ascii="Times New Roman" w:cs="Times New Roman" w:eastAsia="Times New Roman" w:hAnsi="Times New Roman"/>
          <w:sz w:val="17"/>
          <w:szCs w:val="17"/>
          <w:color w:val="auto"/>
        </w:rPr>
      </w:pPr>
    </w:p>
    <w:p>
      <w:pPr>
        <w:jc w:val="both"/>
        <w:ind w:left="1240" w:firstLine="620"/>
        <w:spacing w:after="0" w:line="261" w:lineRule="auto"/>
        <w:tabs>
          <w:tab w:leader="none" w:pos="234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any Intellectual Property within such Intellectual Property was authored, developed, conceived or created, in whole or in part, for or on behalf of any Loan Party or any Subsidiary by any Person, then such Loan Party or Subsidiary has entered into a written agreement with such Person in which such Person has assigned all right, title and interest in and to such Intellectual Property to such Loan Party or Subsidiary, except as would not, individually or in the aggregate, reasonably be expected to have a material adverse effect on such Loan Party or such Subsidiary having ownership of all right, title and interest in and to such Intellectual Property; and</w:t>
      </w:r>
    </w:p>
    <w:p>
      <w:pPr>
        <w:spacing w:after="0" w:line="174" w:lineRule="exact"/>
        <w:rPr>
          <w:rFonts w:ascii="Times New Roman" w:cs="Times New Roman" w:eastAsia="Times New Roman" w:hAnsi="Times New Roman"/>
          <w:sz w:val="17"/>
          <w:szCs w:val="17"/>
          <w:color w:val="auto"/>
        </w:rPr>
      </w:pPr>
    </w:p>
    <w:p>
      <w:pPr>
        <w:ind w:left="1240" w:right="280" w:firstLine="620"/>
        <w:spacing w:after="0" w:line="287" w:lineRule="auto"/>
        <w:tabs>
          <w:tab w:leader="none" w:pos="237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such Intellectual Property is subject to any license grant, covenant not to sue, or similar arrangement, in each case, by any Loan Party or Subsidiary, except for (A) license grants between the Loan Parties and (B) those license grants disclosed on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Loan Parties, no Third Party is committing any act of Infringement of any Material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-7079615</wp:posOffset>
            </wp:positionV>
            <wp:extent cx="9220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92202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-6031865</wp:posOffset>
            </wp:positionV>
            <wp:extent cx="8547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6055995</wp:posOffset>
            </wp:positionH>
            <wp:positionV relativeFrom="paragraph">
              <wp:posOffset>-399415</wp:posOffset>
            </wp:positionV>
            <wp:extent cx="5816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58166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7" w:name="page98"/>
    <w:bookmarkEnd w:id="97"/>
    <w:p>
      <w:pPr>
        <w:jc w:val="both"/>
        <w:ind w:left="620" w:firstLine="621"/>
        <w:spacing w:after="0" w:line="260" w:lineRule="auto"/>
        <w:tabs>
          <w:tab w:leader="none" w:pos="164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license agreement listed or required to be listed on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 such license agreement (i) is in full force and effect and is binding upon and enforceable against each Loan Party (or each Loan Party’s respective Subsidiaries, as applicable) party thereto and, all other parties thereto in accordance with its terms, (ii) has not been amended or otherwise modified, and (iii) to the knowledge of the Loan Parties, has not suffered a material default or breach thereunder. To the knowledge of the Loan Parties, none of the Loan Parties nor any of their respective Subsidiaries has taken or omitted to take any action that would permit any other Person party to any such license agreement to have, and to the knowledge of the Loan Parties, no such Person otherwise has, any defenses, counterclaims or rights of setoff thereunder.</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57" w:lineRule="auto"/>
        <w:tabs>
          <w:tab w:leader="none" w:pos="16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Loan Parties nor any of their respective Subsidiaries nor, to the knowledge of the Loan Parties, any licensees of any Intellectual Property owned by any Loan Party or any Subsidiary has received written notice, or to the knowledge of the Loan Parties any other notice, from any Third Party alleging or any opinion of counsel that the conduct of its business (including any research, development, manufacture, import, use, sale, storage, labeling, marketing, promotion, supply, distribution, testing, packaging, purchasing or other commercialization activities, receipt of payment in respect of any of the foregoing, or like activities the purpose of which is to develop or commercially exploit any Product) Infringes any Intellectual Property of any Third Party, and (ii) to the knowledge of the Loan Parties, the conduct of the business of the Loan Parties and any of their Subsidiaries and any licensees of any Intellectual Property owned by any Loan Party or any Subsidiary (including any research, development, manufacture, import, use, sale, storage, labeling, marketing, promotion, supply, distribution, testing, packaging, purchasing or other commercialization activities, receipt of payment in respect of any of the foregoing, or like activities the purpose of which is to develop or commercially exploit any Product) as currently conducted does not Infringe any Intellectual Property of any Third Party.</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59" w:lineRule="auto"/>
        <w:tabs>
          <w:tab w:leader="none" w:pos="166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any Loan Party nor any Subsidiary has made any assignment or agreement in conflict with the security interest in any Material Intellectual Property of any Loan Party under the Collateral Documents and no Material Contract that is a license agreement with respect to any such Material Intellectual Property conflicts with the security interest granted to the Administrative Agent, on behalf of the Secured Parties, pursuant to the terms of the Collateral Documents. The consummation of the transactions contemplated hereby and the exercise by the Administrative Agent or the Secured Parties of any right or protection set forth in the Loan Documents will not constitute a breach or violation of, or otherwise affect the enforceability or approval of, any Material Contracts associated with any Material Intellectual Property owned or licensed by any Loan Party or Subsidiary.</w:t>
      </w:r>
    </w:p>
    <w:p>
      <w:pPr>
        <w:spacing w:after="0" w:line="38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6.18</w:t>
        <w:tab/>
        <w:t>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149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Borrower and its Subsidiaries (immediately after giving effect to the transactions contemplated hereby and the incurrence on or, to the extent outstanding as of such date, prior to, such date of Indebtedness related thereto) are Solvent on a consolidated basis.</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6.19</w:t>
        <w:tab/>
        <w:t>Perfection of Security Interests in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193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219329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Collateral Documents create valid security interests in, and Liens on, the Collateral purported to be covered thereby, which security interests and Liens will be, upon the timely and proper filings, deliveries, notations and other actions contemplated in the Collateral Documents perfected security interests and Liens (to the extent that such security interests and Liens can be perfected by such filings, deliveries, notations and other actions), prior to all other Liens other than Permitted Liens.</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6.20</w:t>
      </w:r>
      <w:r>
        <w:rPr>
          <w:sz w:val="20"/>
          <w:szCs w:val="20"/>
          <w:color w:val="auto"/>
        </w:rPr>
        <w:tab/>
      </w:r>
      <w:r>
        <w:rPr>
          <w:rFonts w:ascii="Times New Roman" w:cs="Times New Roman" w:eastAsia="Times New Roman" w:hAnsi="Times New Roman"/>
          <w:sz w:val="16"/>
          <w:szCs w:val="16"/>
          <w:color w:val="auto"/>
        </w:rPr>
        <w:t>Business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9544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Set forth on </w:t>
      </w:r>
      <w:r>
        <w:rPr>
          <w:rFonts w:ascii="Times New Roman" w:cs="Times New Roman" w:eastAsia="Times New Roman" w:hAnsi="Times New Roman"/>
          <w:sz w:val="17"/>
          <w:szCs w:val="17"/>
          <w:u w:val="single" w:color="auto"/>
          <w:color w:val="auto"/>
        </w:rPr>
        <w:t>Schedule 6.20(a)</w:t>
      </w:r>
      <w:r>
        <w:rPr>
          <w:rFonts w:ascii="Times New Roman" w:cs="Times New Roman" w:eastAsia="Times New Roman" w:hAnsi="Times New Roman"/>
          <w:sz w:val="17"/>
          <w:szCs w:val="17"/>
          <w:color w:val="auto"/>
        </w:rPr>
        <w:t xml:space="preserve"> is a list of all real property that is owned or leased by the Loan Parties as of the Closing Date (with (a) a description of each real property that is Excluded Property and (b) a designation of whether such real property is owned or leased). Set forth on </w:t>
      </w:r>
      <w:r>
        <w:rPr>
          <w:rFonts w:ascii="Times New Roman" w:cs="Times New Roman" w:eastAsia="Times New Roman" w:hAnsi="Times New Roman"/>
          <w:sz w:val="17"/>
          <w:szCs w:val="17"/>
          <w:u w:val="single" w:color="auto"/>
          <w:color w:val="auto"/>
        </w:rPr>
        <w:t>Schedule 6.20(b)</w:t>
      </w:r>
      <w:r>
        <w:rPr>
          <w:rFonts w:ascii="Times New Roman" w:cs="Times New Roman" w:eastAsia="Times New Roman" w:hAnsi="Times New Roman"/>
          <w:sz w:val="17"/>
          <w:szCs w:val="17"/>
          <w:color w:val="auto"/>
        </w:rPr>
        <w:t xml:space="preserve"> is the taxpayer identification number and organizational identification number (in each case, or foreign equivalent) of each Loan Party as of the Closing Date. The exact legal name and jurisdiction of organization of (i) the Borrower is as set forth on the signature pages hereto and (ii) each Guarantor is (A) as set forth on the signature pages hereto, (B) as set forth on the signature pages to the Joinder Agreement pursuant to which such Guarantor became a party hereto or (C) as may be otherwise disclosed by the Loan Parties to the Administrative Agent in accordance with </w:t>
      </w:r>
      <w:r>
        <w:rPr>
          <w:rFonts w:ascii="Times New Roman" w:cs="Times New Roman" w:eastAsia="Times New Roman" w:hAnsi="Times New Roman"/>
          <w:sz w:val="17"/>
          <w:szCs w:val="17"/>
          <w:u w:val="single" w:color="auto"/>
          <w:color w:val="auto"/>
        </w:rPr>
        <w:t>Section 8.12(c)</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6.20(c)</w:t>
      </w:r>
      <w:r>
        <w:rPr>
          <w:rFonts w:ascii="Times New Roman" w:cs="Times New Roman" w:eastAsia="Times New Roman" w:hAnsi="Times New Roman"/>
          <w:sz w:val="17"/>
          <w:szCs w:val="17"/>
          <w:color w:val="auto"/>
        </w:rPr>
        <w:t>, no Loan Party has during the five years preceding the Closing Date, (x) changed its legal name, (y) changed its jurisdiction of organization, or (z) been party to a merger, consolidation or other change in structure.</w:t>
      </w:r>
    </w:p>
    <w:p>
      <w:pPr>
        <w:spacing w:after="0" w:line="17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6.21</w:t>
        <w:tab/>
        <w:t>Sanctions Concerns; Anti-Corruption Laws;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26841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60" w:lineRule="auto"/>
        <w:tabs>
          <w:tab w:leader="none" w:pos="166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Concerns. No Loan Party, nor any Subsidiary, nor, to the knowledge of the Loan Parties and their Subsidiaries, any director, officer, employee, agent, affiliate or representative thereof, is an individual or entity that is, or is fifty percent (50%) or more owned or (where relevant under applicable Sanctions)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ordinarily resident in a Designated Jurisdiction. The Loan Parties and their respective Subsidiaries have instituted and maintained policies and procedures reasonably designed to promote compliance with such Sanctions.</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1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Anti-Corruption Laws. The Loan Parties and their Subsidiaries have conducted their business in compliance with the United States Foreign Corrupt Practices Act of 1977 and other similar applicable anti-corruption laws, and have instituted and maintained policies and procedures reasonably designed to promote compliance with such laws.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0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PATRIOT Act. To the extent applicable, each Loan Party and each Subsidiary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-1742440</wp:posOffset>
            </wp:positionV>
            <wp:extent cx="10217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102171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-825500</wp:posOffset>
            </wp:positionV>
            <wp:extent cx="10839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108394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-301625</wp:posOffset>
            </wp:positionV>
            <wp:extent cx="732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321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8" w:name="page99"/>
    <w:bookmarkEnd w:id="98"/>
    <w:p>
      <w:pPr>
        <w:spacing w:after="0" w:line="4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6.22</w:t>
        <w:tab/>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9239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Set forth on </w:t>
      </w:r>
      <w:r>
        <w:rPr>
          <w:rFonts w:ascii="Times New Roman" w:cs="Times New Roman" w:eastAsia="Times New Roman" w:hAnsi="Times New Roman"/>
          <w:sz w:val="17"/>
          <w:szCs w:val="17"/>
          <w:u w:val="single" w:color="auto"/>
          <w:color w:val="auto"/>
        </w:rPr>
        <w:t>Schedule 6.22</w:t>
      </w:r>
      <w:r>
        <w:rPr>
          <w:rFonts w:ascii="Times New Roman" w:cs="Times New Roman" w:eastAsia="Times New Roman" w:hAnsi="Times New Roman"/>
          <w:sz w:val="17"/>
          <w:szCs w:val="17"/>
          <w:color w:val="auto"/>
        </w:rPr>
        <w:t xml:space="preserve"> is a complete and accurate list of all Material Contracts of the Loan Parties and their respective Subsidiaries as of the Closing Date, with an adequate description of the parties thereto, and all amendments and modifications thereto as of the Closing Date. Each Material Contract (a) is in full force and effect and is binding upon and enforceable against the Loan Parties and their respective Subsidiaries party thereto and, to the knowledge of the Borrower, all other parties thereto in accordance with its terms, and (b) is not currently subject to any material breach or default by any Loan Party or any Subsidiary or, to the knowledge of the Borrower, any other party thereto. None of the Loan Parties or their respective Subsidiaries has taken or failed to take any action that would permit any other Person party to any Material Contract to have, and, to the knowledge of the Borrower, no such Person otherwise has, any defenses, counterclaims or rights of setoff thereunder. None of the Material Contracts are non-assignable by their terms (other than those certain agreements separately noted in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6.22</w:t>
      </w:r>
      <w:r>
        <w:rPr>
          <w:rFonts w:ascii="Times New Roman" w:cs="Times New Roman" w:eastAsia="Times New Roman" w:hAnsi="Times New Roman"/>
          <w:sz w:val="17"/>
          <w:szCs w:val="17"/>
          <w:color w:val="auto"/>
        </w:rPr>
        <w:t xml:space="preserve"> as being non-assignable) or as a matter of law or prevent the granting of a security interest therein.</w:t>
      </w:r>
    </w:p>
    <w:p>
      <w:pPr>
        <w:spacing w:after="0" w:line="17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6.23</w:t>
        <w:tab/>
        <w:t>Compliance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63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63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Parties and their Subsidiaries, either directly or through their Product Distributors, have obtained all Regulatory Authorizations necessary to conduct the business as presently conducted, except where the lack of such Regulatory Authorizations could not reasonably be expected to have, individually or in the aggregate, a material adverse effect on any Product Development and Commercialization Activities. All Regulatory Authorizations with respect to Material Products that are held by the Loan Parties and their respective Subsidiaries and Product Distributors are legally and beneficially owned exclusively by one of the Loan Parties or their respective Subsidiaries or Product Distributors, free and clear of all Liens other than Permitted Liens. All Regulatory Authorizations held by the Loan Parties are valid and in full force and effect, except where the failure of any Regulatory Authorization to be valid or in full force and effect, individually or in the aggregate, could not be reasonably expected to have a material adverse effect on any Product Development and Commercialization Activities.</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56" w:lineRule="auto"/>
        <w:tabs>
          <w:tab w:leader="none" w:pos="162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three (3) years, except where the failure to do so could not reasonably be expected to result in the termination or restriction of a Material Regulatory Authorization, all applications, notifications, submissions, information, claims, reports, amendments, modifications, supplements, or notices submitted in connection with any and all requests for a Regulatory Authorization from the FDA, the EMA or other Regulatory Agency relating to any Loan Party or any Subsidiary or any of their respective Products, when submitted to the FDA, the EMA or other Regulatory Agency were true, complete and correct in all material respects as of the date of submission (or were corrected in or supplemented by a subsequent submission). In the past three (3) years, to the knowledge of the Loan Parties, (i) there has been no material untrue statement of fact and/or no fraudulent statement made by the Loan Parties or their respective Subsidiaries or Product Distributors (as relating to Material Products), or any of their respective agents or representatives to the FDA, the DEA, the EMA or any other Regulatory Agency, and (ii) there has been no failure to disclose any material fact required to be disclosed, commission of an act, making of a statement, or failure to make a statement to the FDA, the DEA, the EMA or any other Regulatory Agency that could reasonably be expected to provide a basis for the FDA to invoke its policy respecting “Fraud, Untrue Statements of Material Facts, Bribery, and Illegal Gratuities,” set forth in 56 Fed. Regulation 46191 (September 10, 1991).</w:t>
      </w:r>
    </w:p>
    <w:p>
      <w:pPr>
        <w:spacing w:after="0" w:line="18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could not reasonably be expected to result in a material adverse effect on any Product Development and Commercialization</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Activities:</w:t>
      </w:r>
    </w:p>
    <w:p>
      <w:pPr>
        <w:spacing w:after="0" w:line="200" w:lineRule="exact"/>
        <w:rPr>
          <w:rFonts w:ascii="Times New Roman" w:cs="Times New Roman" w:eastAsia="Times New Roman" w:hAnsi="Times New Roman"/>
          <w:sz w:val="17"/>
          <w:szCs w:val="17"/>
          <w:color w:val="auto"/>
        </w:rPr>
      </w:pPr>
    </w:p>
    <w:p>
      <w:pPr>
        <w:jc w:val="both"/>
        <w:ind w:left="1240" w:firstLine="620"/>
        <w:spacing w:after="0" w:line="261" w:lineRule="auto"/>
        <w:tabs>
          <w:tab w:leader="none" w:pos="2214"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Products, as well as the business of the Loan Parties and their respective Subsidiaries and, to the knowledge of the Borrower, Product Distributors (as relating to Material Products), comply with (A) all applicable Laws of the FDA, the DEA, the EMA and any other applicable Regulatory Agency, including, without limitation, all applicable requirements of the FDCA, the Controlled Substances Act, similar state Laws, and similar Laws of any country, jurisdiction or Governmental Authority other than the United States and (B) all applicable, Regulatory Authorizations, and all other Permits;</w:t>
      </w:r>
    </w:p>
    <w:p>
      <w:pPr>
        <w:spacing w:after="0" w:line="174" w:lineRule="exact"/>
        <w:rPr>
          <w:rFonts w:ascii="Times New Roman" w:cs="Times New Roman" w:eastAsia="Times New Roman" w:hAnsi="Times New Roman"/>
          <w:sz w:val="17"/>
          <w:szCs w:val="17"/>
          <w:color w:val="auto"/>
        </w:rPr>
      </w:pPr>
    </w:p>
    <w:p>
      <w:pPr>
        <w:jc w:val="both"/>
        <w:ind w:left="1240" w:firstLine="620"/>
        <w:spacing w:after="0" w:line="261" w:lineRule="auto"/>
        <w:tabs>
          <w:tab w:leader="none" w:pos="235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no Loan Parties, their respective Subsidiaries nor, to the knowledge of the Borrower, their respective Product Distributors (as relating to Material Products) have received: any FDA Form 483, warning letter, untitled letter or similar written correspondence or notice with respect to any Product or the manufacture, processing, packing, distribution, or holding thereof, as well as the business of the Loan Parties and their respective Subsidiaries or relevant Product Distributors (as relating to Material Products), from any Regulatory Agency that assert lack of compliance with any applicable Laws;</w:t>
      </w:r>
    </w:p>
    <w:p>
      <w:pPr>
        <w:spacing w:after="0" w:line="174" w:lineRule="exact"/>
        <w:rPr>
          <w:rFonts w:ascii="Times New Roman" w:cs="Times New Roman" w:eastAsia="Times New Roman" w:hAnsi="Times New Roman"/>
          <w:sz w:val="17"/>
          <w:szCs w:val="17"/>
          <w:color w:val="auto"/>
        </w:rPr>
      </w:pPr>
    </w:p>
    <w:p>
      <w:pPr>
        <w:jc w:val="both"/>
        <w:ind w:left="1240" w:firstLine="620"/>
        <w:spacing w:after="0" w:line="260" w:lineRule="auto"/>
        <w:tabs>
          <w:tab w:leader="none" w:pos="235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no Loan Parties nor their respective Subsidiaries nor, to the knowledge of the Borrower, their respective Product Distributors or suppliers (as relating to Material Products) have received any written notice of, and does not otherwise have knowledge of, any pending regulatory enforcement action, investigation or inquiry from any Regulatory Agencies (other than non-material routine or periodic inspections or reviews) against the Loan Parties or any of their respective Subsidiaries or any of their respective Product Distributors or suppliers (as relating to Material Products) alleging or asserting noncompliance with the FDCA, Controlled Substances Act, or similar Laws related to the Product Development and Commercialization Activities; and</w:t>
      </w:r>
    </w:p>
    <w:p>
      <w:pPr>
        <w:spacing w:after="0" w:line="173" w:lineRule="exact"/>
        <w:rPr>
          <w:rFonts w:ascii="Times New Roman" w:cs="Times New Roman" w:eastAsia="Times New Roman" w:hAnsi="Times New Roman"/>
          <w:sz w:val="17"/>
          <w:szCs w:val="17"/>
          <w:color w:val="auto"/>
        </w:rPr>
      </w:pPr>
    </w:p>
    <w:p>
      <w:pPr>
        <w:jc w:val="both"/>
        <w:ind w:left="1240" w:firstLine="620"/>
        <w:spacing w:after="0" w:line="264" w:lineRule="auto"/>
        <w:tabs>
          <w:tab w:leader="none" w:pos="229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(A) no Loan Party or Subsidiary or to the knowledge of the Loan Parties with respect to Material Products, no Product Distributor or supplier of any Loan Party has issued any Safety Notices and (B) to the Loan Parties’ knowledge, there are no facts that would be reasonably likely to result in (1) a material Safety Notice with respect to the Products, or (2) a termination or suspension of marketing of any of the Products.</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2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three (3) years, except as could not reasonably be expected, individually or in the aggregate to result in a material adverse effect on any Product Development and Commercialization Activities, none of the Loan Parties or their respective Subsidiaries nor, to the knowledge of the Loan Parties, any Product Distributors (as relating to Material Products) has received any written notice of proceedings from any Regulatory Agency with respect to (i) any material adverse change in any applicable Regulatory Authorization, or any failure to materially comply with any term or requirement of any applicable Regulatory Authorization or (ii) any revocation, withdrawal, suspension, cancellation, limitation, termination or modification of any applicable Regulatory Authorization.</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57" w:lineRule="auto"/>
        <w:tabs>
          <w:tab w:leader="none" w:pos="160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three (3) years, except as could not reasonably be expected, either individually or in the aggregate, to result in a material adverse effect on any Product Development and Commercialization Activities: (i) all studies, tests, preclinical trials and clinical trials conducted by or on behalf of or for the benefit of any Loan Party or any of its respective Subsidiaries with respect to any Product have been conducted in material compliance with applicable Laws, including applicable cGCPs, (ii) no Loan Party nor any of their respective Subsidiaries has received any notice from the FDA, the EMA or any other Regulatory Agency alleging any material non-compliance with applicable Laws, including applicable cGCPs or otherwise terminating or suspending any clinical trial conducted by or on behalf of or for the benefit of such Loan Party or Subsidiary with respect to any Product and (iii) none of the Loan Parties nor their respective Subsidiaries, or, to the knowledge of the Loan Parties with respect to Material Products, any of their respective Product Distributors, licensees, licensors or third party services providers or consultants, has received from the FDA, the EMA or other applicable Regulatory Agency any notices or correspondence requiring the termination, suspension or material modification of any studies, tests or clinical trials in which the Products have participated.</w:t>
      </w:r>
    </w:p>
    <w:p>
      <w:pPr>
        <w:sectPr>
          <w:pgSz w:w="11900" w:h="16882" w:orient="portrait"/>
          <w:cols w:equalWidth="0" w:num="1">
            <w:col w:w="11240"/>
          </w:cols>
          <w:pgMar w:left="320" w:top="561" w:right="339" w:bottom="0" w:gutter="0" w:footer="0" w:header="0"/>
        </w:sectPr>
      </w:pPr>
    </w:p>
    <w:bookmarkStart w:id="99" w:name="page100"/>
    <w:bookmarkEnd w:id="99"/>
    <w:p>
      <w:pPr>
        <w:jc w:val="both"/>
        <w:spacing w:after="0" w:line="257" w:lineRule="auto"/>
        <w:tabs>
          <w:tab w:leader="none" w:pos="1607"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432435</wp:posOffset>
            </wp:positionV>
            <wp:extent cx="713867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both"/>
        <w:ind w:left="620" w:firstLine="621"/>
        <w:spacing w:after="0" w:line="270" w:lineRule="auto"/>
        <w:tabs>
          <w:tab w:leader="none" w:pos="1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three (3) years, neither the Borrower nor any Subsidiary nor, to the knowledge of any Loan Party, any Product Distributor has experienced any failures in the manufacturing of any Material Product for commercial sale that could reasonably be expected, individually or in the aggregate, to result in a material adverse effect on any Product Development and Commercialization Activities.</w:t>
      </w:r>
    </w:p>
    <w:p>
      <w:pPr>
        <w:spacing w:after="0" w:line="165" w:lineRule="exact"/>
        <w:rPr>
          <w:rFonts w:ascii="Times New Roman" w:cs="Times New Roman" w:eastAsia="Times New Roman" w:hAnsi="Times New Roman"/>
          <w:sz w:val="17"/>
          <w:szCs w:val="17"/>
          <w:color w:val="auto"/>
        </w:rPr>
      </w:pPr>
    </w:p>
    <w:p>
      <w:pPr>
        <w:ind w:left="620" w:right="280" w:firstLine="621"/>
        <w:spacing w:after="0" w:line="287" w:lineRule="auto"/>
        <w:tabs>
          <w:tab w:leader="none" w:pos="161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Products is currently, and have not for the past six (6) years been, the subject of any claim or allegation, formal or informal, that any Product, or its use, is defective or has resulted in or proximately caused any material injury to any Person or property.</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4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no Loan Party, any of their respective Subsidiaries or, to the knowledge of the Loan Parties, any relevant Product Distributor (as related to Products) has received any written notice from the United States Department of Justice, any U.S. Attorney, any State Attorney General, or other similar federal, state, or foreign Governmental Authority alleging any material violation of the Federal Anti-kickback Statute (42 U.S.C. Section 1320a-7b), the Federal False Claims Act (31 U.S.C. Section 3729-3733), the Foreign Corrupt Practices Act of 1977 (15 U.S.C. Section 78dd–1, et seq.), any federal Law, or state or foreign Law. No Loan Party nor any of their respective Subsidiaries is aware of a material violation of any such Law.</w:t>
      </w:r>
    </w:p>
    <w:p>
      <w:pPr>
        <w:spacing w:after="0" w:line="173" w:lineRule="exact"/>
        <w:rPr>
          <w:rFonts w:ascii="Times New Roman" w:cs="Times New Roman" w:eastAsia="Times New Roman" w:hAnsi="Times New Roman"/>
          <w:sz w:val="17"/>
          <w:szCs w:val="17"/>
          <w:color w:val="auto"/>
        </w:rPr>
      </w:pPr>
    </w:p>
    <w:p>
      <w:pPr>
        <w:jc w:val="both"/>
        <w:ind w:left="620" w:right="100" w:firstLine="621"/>
        <w:spacing w:after="0" w:line="264" w:lineRule="auto"/>
        <w:tabs>
          <w:tab w:leader="none" w:pos="157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contemplated by the Loan Documents and the exercise by the Administrative Agent or the Secured Parties of any right or protection set forth in the Loan Documents will not (i) constitute a breach or violation of, or otherwise materially affect, the enforceability or approval of any Regulatory Authorization with respect to the Material Products or (ii) impair the Loan Parties’ ownership of or rights under (or the license or other right to use, as the case may be) any Regulatory Authorizations with respect to the Material Products in any material manner.</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57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Loan Party nor any of their respective Subsidiaries or any Product Distributor on behalf of any Loan Party or Subsidiary is enrolled in or currently receives payments from any federal or state government or private healthcare reimbursement program or has ever been terminated from any federal or state government or private healthcare reimbursement program (including Medicare or Medicaid) or otherwise had its rights to receive payments from any government or private healthcare reimbursement program adversely affected as a result of any investigation or enforcement action, whether by any Governmental Authority or other Third Party.</w:t>
      </w:r>
    </w:p>
    <w:p>
      <w:pPr>
        <w:spacing w:after="0" w:line="174" w:lineRule="exact"/>
        <w:rPr>
          <w:rFonts w:ascii="Times New Roman" w:cs="Times New Roman" w:eastAsia="Times New Roman" w:hAnsi="Times New Roman"/>
          <w:sz w:val="17"/>
          <w:szCs w:val="17"/>
          <w:color w:val="auto"/>
        </w:rPr>
      </w:pPr>
    </w:p>
    <w:p>
      <w:pPr>
        <w:ind w:left="620" w:right="140" w:firstLine="621"/>
        <w:spacing w:after="0" w:line="270" w:lineRule="auto"/>
        <w:tabs>
          <w:tab w:leader="none" w:pos="161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past three (3) years, no information security or privacy breach event has occurred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xml:space="preserve"> with respect to the Systems of the Loan Parties or their Subsidiaries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that would require notification to any Person by the Loan Parties or their Subsidiaries under any applicable Privacy Laws.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0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no Loan Party nor any of their respective Subsidiaries nor, to the Loan Parties’ knowledge, any individual who is an officer, director, manager, employee, shareholder, agent or managing agent of any Loan Party or any of their respective Subsidiaries, has been convicted of: (i) any federal or state health program-related offense or any other offense related to healthcare or been terminated, excluded or suspended from participation in any such program, or (ii) any crime that has resulted or would reasonably be expected to result in a debarment or exclusion (A) under 21 U.S.C. Section 335a, or (B) any similar applicable Law. No debarment proceedings or investigations in respect of the business of any Loan Party or any of their respective Subsidiaries are pending or, to the Loan Parties’ knowledge, threatened against any Loan Party or any of their respective Subsidiaries or any individual who is an officer, director, manager, employee, shareholder, agent or managing agent of any Loan Party or any of their respective Subsidiaries.</w:t>
      </w:r>
    </w:p>
    <w:p>
      <w:pPr>
        <w:spacing w:after="0" w:line="175" w:lineRule="exact"/>
        <w:rPr>
          <w:rFonts w:ascii="Times New Roman" w:cs="Times New Roman" w:eastAsia="Times New Roman" w:hAnsi="Times New Roman"/>
          <w:sz w:val="17"/>
          <w:szCs w:val="17"/>
          <w:color w:val="auto"/>
        </w:rPr>
      </w:pPr>
    </w:p>
    <w:p>
      <w:pPr>
        <w:ind w:left="620" w:right="20" w:firstLine="621"/>
        <w:spacing w:after="0" w:line="270" w:lineRule="auto"/>
        <w:tabs>
          <w:tab w:leader="none" w:pos="164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Closing Date, all Products of the Borrower and its Subsidiaries are listed on </w:t>
      </w:r>
      <w:r>
        <w:rPr>
          <w:rFonts w:ascii="Times New Roman" w:cs="Times New Roman" w:eastAsia="Times New Roman" w:hAnsi="Times New Roman"/>
          <w:sz w:val="17"/>
          <w:szCs w:val="17"/>
          <w:u w:val="single" w:color="auto"/>
          <w:color w:val="auto"/>
        </w:rPr>
        <w:t>Schedule 1.01</w:t>
      </w:r>
      <w:r>
        <w:rPr>
          <w:rFonts w:ascii="Times New Roman" w:cs="Times New Roman" w:eastAsia="Times New Roman" w:hAnsi="Times New Roman"/>
          <w:sz w:val="17"/>
          <w:szCs w:val="17"/>
          <w:color w:val="auto"/>
        </w:rPr>
        <w:t xml:space="preserve"> and the Loan Parties have delivered to the Administrative Agent on or prior to the Closing Date copies of all material Regulatory Authorizations relating to such Products issued or outstanding as of the Closing Date.</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6.24</w:t>
        <w:tab/>
        <w:t>Labor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7302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There are no existing or, to the knowledge of the Loan Parties, threatened strikes, lockouts or other labor disputes involving the Borrower or any Subsidiary that, either individually or in the aggregate, could reasonably be expected to have a Material Adverse Effect. Except as could not, individually or in the aggregate, reasonably be expected to have a Material Adverse Effect, hours worked by and payment made to employees of the Loan Parties and their respective Subsidiaries are not in violation of the Fair Labor Standards Act or any other applicable law, rule or regulation dealing with such matters.</w:t>
      </w:r>
    </w:p>
    <w:p>
      <w:pPr>
        <w:spacing w:after="0" w:line="17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6.25</w:t>
        <w:tab/>
        <w:t>Affected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3919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Neither any Loan Party nor any Subsidiary is an Affected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1" w:name="page102"/>
    <w:bookmarkEnd w:id="101"/>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6.26</w:t>
        <w:tab/>
        <w:t>Regulation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6940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No real property subject to a Mortgage is a Flood Hazard Property unless the Administrative Agent (for further distribution to the Lenders) shall have received the following: (a) the applicable Loan Party’s written acknowledgment of receipt of written notification from the Administrative Agent (i) as to the fact that such real property subject to a Mortgage is a Flood Hazard Property and (ii) as to whether the community in which each such Flood Hazard Property is located is participating in the National Flood Insurance Program, (b) copies of insurance policies or certificates of insurance of the applicable Loan Party evidencing flood insurance reasonably satisfactory to the Administrative Agent and the Required Lenders and naming the Administrative Agent as loss payee on behalf of the Lenders and (c) such other flood hazard determination forms, notices and confirmations thereof as requested by the Administrative Agent (for further distribution to the Lenders). All flood hazard insurance policies required hereunder have been obtained and remain in full force and effect, and the premiums thereon have been paid in full.</w:t>
      </w:r>
    </w:p>
    <w:p>
      <w:pPr>
        <w:spacing w:after="0" w:line="17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6.27</w:t>
        <w:tab/>
        <w:t>Compliance with Privacy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814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14814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To the extent that any Loan Party or any Subsidiary has access to any Personal Information, the Loan Parties and their respective Subsidiaries are in material compliance with all applicable Privacy Laws, and maintain information security processes that (a) include commercially reasonable safeguards for the security, privacy, confidentiality, and integrity of transactions and confidential or proprietary data or Personal Information used, disclosed, or accessed by the Loan Parties and their respective Subsidiaries and (b) are designed to protect against unauthorized access to the Systems of the Loan Parties and their respective Subsidiaries. Neither any Loan Parties nor any Subsidiary has received any written communication from any Governmental Authority that alleges non-compliance with Privacy Laws.</w:t>
      </w:r>
    </w:p>
    <w:p>
      <w:pPr>
        <w:spacing w:after="0" w:line="173" w:lineRule="exact"/>
        <w:rPr>
          <w:sz w:val="20"/>
          <w:szCs w:val="20"/>
          <w:color w:val="auto"/>
        </w:rPr>
      </w:pPr>
    </w:p>
    <w:p>
      <w:pPr>
        <w:ind w:left="1240"/>
        <w:spacing w:after="0"/>
        <w:tabs>
          <w:tab w:leader="none" w:pos="1700" w:val="left"/>
        </w:tabs>
        <w:rPr>
          <w:sz w:val="20"/>
          <w:szCs w:val="20"/>
          <w:color w:val="auto"/>
        </w:rPr>
      </w:pPr>
      <w:r>
        <w:rPr>
          <w:rFonts w:ascii="Times New Roman" w:cs="Times New Roman" w:eastAsia="Times New Roman" w:hAnsi="Times New Roman"/>
          <w:sz w:val="17"/>
          <w:szCs w:val="17"/>
          <w:color w:val="auto"/>
        </w:rPr>
        <w:t>6.28</w:t>
        <w:tab/>
        <w:t>Representations as to Foreign Loan Parties. With respect to each Foreign Loan Party,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-6350</wp:posOffset>
            </wp:positionV>
            <wp:extent cx="4039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403987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63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Foreign Loan Party is subject to civil and commercial Laws with respect to its obligations under this Agreement and the other Loan Documents to which it is a party (collectively as to such Foreign Loan Party, the “</w:t>
      </w:r>
      <w:r>
        <w:rPr>
          <w:rFonts w:ascii="Times New Roman" w:cs="Times New Roman" w:eastAsia="Times New Roman" w:hAnsi="Times New Roman"/>
          <w:sz w:val="17"/>
          <w:szCs w:val="17"/>
          <w:u w:val="single" w:color="auto"/>
          <w:color w:val="auto"/>
        </w:rPr>
        <w:t>Applicable Foreign Loan Party Documents</w:t>
      </w:r>
      <w:r>
        <w:rPr>
          <w:rFonts w:ascii="Times New Roman" w:cs="Times New Roman" w:eastAsia="Times New Roman" w:hAnsi="Times New Roman"/>
          <w:sz w:val="17"/>
          <w:szCs w:val="17"/>
          <w:color w:val="auto"/>
        </w:rPr>
        <w:t>”), and the execution, delivery and performance by such Foreign Loan Party of the Applicable Foreign Loan Party Documents constitute and will constitute private and commercial acts and not public or governmental acts. Neither such Foreign Loan Party nor any of its property has any immunity from jurisdiction of any court or from any legal process (whether through service or notice, attachment prior to judgment, attachment in aid of execution, execution or otherwise) under the laws of the jurisdiction in which such Foreign Loan Party is organized and existing in respect of its obligations under the Applicable Foreign Loan Party Documents.</w:t>
      </w:r>
    </w:p>
    <w:p>
      <w:pPr>
        <w:spacing w:after="0" w:line="179" w:lineRule="exact"/>
        <w:rPr>
          <w:rFonts w:ascii="Times New Roman" w:cs="Times New Roman" w:eastAsia="Times New Roman" w:hAnsi="Times New Roman"/>
          <w:sz w:val="17"/>
          <w:szCs w:val="17"/>
          <w:color w:val="auto"/>
        </w:rPr>
      </w:pPr>
    </w:p>
    <w:p>
      <w:pPr>
        <w:jc w:val="both"/>
        <w:ind w:left="620" w:firstLine="621"/>
        <w:spacing w:after="0" w:line="257" w:lineRule="auto"/>
        <w:tabs>
          <w:tab w:leader="none" w:pos="166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Foreign Loan Party Documents are in proper legal form under the Laws of the jurisdiction in which such Foreign Loan Party is organized and existing for the enforcement thereof against such Foreign Loan Party under the Laws of such jurisdiction, and to ensure the legality, validity, enforceability, priority or admissibility in evidence of the Applicable Foreign Loan Party Documents. It is not necessary to ensure the legality, validity, enforceability, priority or admissibility in evidence of the Applicable Foreign Loan Party Documents that the Applicable Foreign Loan Party Documents be filed, registered or recorded with, or executed or notarized before, any court or other authority in the jurisdiction in which such Foreign Loan Party is organized and existing or that any registration charge or stamp or similar tax be paid on or in respect of the Applicable Foreign Loan Party Documents or any other document, except for (i) any such filing, registration, recording, execution or notarization as has been made or is not required to be made until the Applicable Foreign Loan Party Document or any other document is sought to be enforced and (ii) any charge or tax that has been timely paid.</w:t>
      </w:r>
    </w:p>
    <w:p>
      <w:pPr>
        <w:spacing w:after="0" w:line="178"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7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Tax imposed by any Governmental Authority in or of the jurisdiction in which such Foreign Loan Party is organized and existing either (i) on or by virtue of the execution or delivery of the Applicable Foreign Loan Party Documents or (ii) on any payment to be made by such Foreign Loan Party pursuant to the Applicable Foreign Loan Party Documents, except as has been disclosed to the Administrative Agent (for further disclosure to the Lenders).</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1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the Applicable Foreign Loan Party Documents executed by such Foreign Loan Party are, under applicable foreign exchange control regulations of the jurisdiction in which such Foreign Loan Party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any notification or authorization described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shall be made or obtained as soon as is reasonably practicable).</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2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Laws of the jurisdiction in which such Foreign Loan Party is incorporated it is not necessary that the Loan Documents be filed, recorded or enrolled with any court or other authority in that jurisdiction or that any stamp, registration or similar tax be paid on or in relation to the Loan Documents or the transactions contemplated by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AFFIRMATIVE COVENANTS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Until the Facility Termination Date, the Loan Parties shall and shall cause each Subsidiary to:</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7.01</w:t>
        <w:tab/>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210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Deliver to the Administrative Agent (for further distribution to the Lenders), in form and detail reasonably satisfactory to the Administrative Agent and the Required Lenders:</w:t>
      </w:r>
    </w:p>
    <w:p>
      <w:pPr>
        <w:spacing w:after="0" w:line="151" w:lineRule="exact"/>
        <w:rPr>
          <w:sz w:val="20"/>
          <w:szCs w:val="20"/>
          <w:color w:val="auto"/>
        </w:rPr>
      </w:pPr>
    </w:p>
    <w:p>
      <w:pPr>
        <w:jc w:val="both"/>
        <w:ind w:left="620" w:firstLine="621"/>
        <w:spacing w:after="0" w:line="256" w:lineRule="auto"/>
        <w:tabs>
          <w:tab w:leader="none" w:pos="160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and in any event within one hundred and five (105) days after the end of each fiscal year of the Borrower (or, if earlier, when required to be filed with the SEC), a consolidated balance sheet of the Borrower and its Subsidiaries as at the end of such fiscal year, and the related consolidated statements of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(it being understood and agreed that RSM US LLP and any “Big-4” accounting firm shall be satisfactory to the Required Lenders), which report and opinion shall be prepared in accordance with generally accepted auditing standards and shall not (i) be subject to any qualification or exception or any qualification or exception as to the scope of such audit (other than a “going concern” statement, explanatory note or like qualification or exception) or (ii) commencing with the financial statements for the fiscal year ended December 31, 2024, describe a material weakness in the Borrower’s internal controls over financial reporting, whether as described in the Material Weakness Restatement or in respect of any other material weakness (as defined and/or interpreted under GAAP) to the extent such material weakness precludes the Borrower from S-3 eligibility due to a failure to meet the SEC S-3 Eligibility Requirements; and</w:t>
      </w:r>
    </w:p>
    <w:p>
      <w:pPr>
        <w:spacing w:after="0" w:line="181"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3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and in any event within sixty (60) days after the end of each of the first three fiscal quarters of each fiscal year of the Borrower (or, if earlier, when required to be filed with the SEC), a consolidated balance sheet of the Borrower and its Subsidiaries as at the end of such fiscal quarter, and the related consolidated statements of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certified by a Responsible Financial Officer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7.02</w:t>
        <w:tab/>
        <w:t>Certificates;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662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Deliver to the Administrative Agent (for further distribution to the Lenders), in form and detail reasonably satisfactory to the Administrative Agent and the Required Lenders:</w:t>
      </w:r>
    </w:p>
    <w:p>
      <w:pPr>
        <w:spacing w:after="0" w:line="151" w:lineRule="exact"/>
        <w:rPr>
          <w:sz w:val="20"/>
          <w:szCs w:val="20"/>
          <w:color w:val="auto"/>
        </w:rPr>
      </w:pPr>
    </w:p>
    <w:p>
      <w:pPr>
        <w:ind w:left="620" w:right="160" w:firstLine="621"/>
        <w:spacing w:after="0" w:line="287" w:lineRule="auto"/>
        <w:tabs>
          <w:tab w:leader="none" w:pos="160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delivery of the financial statements referred to in </w:t>
      </w:r>
      <w:r>
        <w:rPr>
          <w:rFonts w:ascii="Times New Roman" w:cs="Times New Roman" w:eastAsia="Times New Roman" w:hAnsi="Times New Roman"/>
          <w:sz w:val="17"/>
          <w:szCs w:val="17"/>
          <w:u w:val="single" w:color="auto"/>
          <w:color w:val="auto"/>
        </w:rPr>
        <w:t>Sections 7.01(a)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 duly completed Compliance Certificate signed by a Responsible Financial Officer of the Borrower, certifying compliance with the covenants set forth in </w:t>
      </w:r>
      <w:r>
        <w:rPr>
          <w:rFonts w:ascii="Times New Roman" w:cs="Times New Roman" w:eastAsia="Times New Roman" w:hAnsi="Times New Roman"/>
          <w:sz w:val="17"/>
          <w:szCs w:val="17"/>
          <w:u w:val="single" w:color="auto"/>
          <w:color w:val="auto"/>
        </w:rPr>
        <w:t>Sections 8.16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8.17</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7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and in any event not later than sixty (60) days after the commencement of each fiscal year of the Borrower, an annual business plan and budget of the Loan Parties and their Subsidiaries for the then current fiscal year containing, among other things, projections for each quarter of such fiscal year, in form and substance reasonably satisfactory to the Administrative Agent and the Required Lenders;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3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same are available, copies of each annual report, proxy or financial statement or other report or communication sent to the equityholders (other than in their capacities as employees or members of the Board of Directors of any Loan Party) of any Loan Party, and copies of all annual, regular, periodic and special reports and registration statements which a Loan Party may file or be required to file with the SEC (or comparable national agency in any applicable non-U.S. jurisdiction) under Section 13 or 15(d) of the Securities Exchange Act of 1934 (or any foreign equivalent), and not otherwise required to be delivered to the Administrative Agent pursuant hereto;</w:t>
      </w:r>
    </w:p>
    <w:p>
      <w:pPr>
        <w:spacing w:after="0" w:line="174"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6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delivery of the financial statements referred to in </w:t>
      </w:r>
      <w:r>
        <w:rPr>
          <w:rFonts w:ascii="Times New Roman" w:cs="Times New Roman" w:eastAsia="Times New Roman" w:hAnsi="Times New Roman"/>
          <w:sz w:val="17"/>
          <w:szCs w:val="17"/>
          <w:u w:val="single" w:color="auto"/>
          <w:color w:val="auto"/>
        </w:rPr>
        <w:t>Sections 7.01(a)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 certificate of a Responsible Financial Officer of the Borrower containing information regarding the amount of all Dispositions, Involuntary Dispositions, Debt Issuances, Extraordinary Receipts and Acquisitions that occurred during the period covered by such financial statements (and in the case of any Disposition or series of related Dispositions, Involuntary Disposition or Extraordinary Receipt, solely to the extent generating Net Cash Proceeds in excess of $250,000);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713867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3" w:name="page104"/>
    <w:bookmarkEnd w:id="103"/>
    <w:p>
      <w:pPr>
        <w:jc w:val="both"/>
        <w:ind w:left="-500" w:firstLine="621"/>
        <w:spacing w:after="0" w:line="270" w:lineRule="auto"/>
        <w:tabs>
          <w:tab w:leader="none" w:pos="50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after receipt thereof by any Loan Party or any Subsidiary, copies of each written notice or other written correspondence received with respect to, or otherwise relating to, any actual or threatened material action, suit, proceeding, claim or dispute with respect to the Material Weakness Restatement;</w:t>
      </w:r>
    </w:p>
    <w:p>
      <w:pPr>
        <w:spacing w:after="0" w:line="165" w:lineRule="exact"/>
        <w:rPr>
          <w:rFonts w:ascii="Times New Roman" w:cs="Times New Roman" w:eastAsia="Times New Roman" w:hAnsi="Times New Roman"/>
          <w:sz w:val="17"/>
          <w:szCs w:val="17"/>
          <w:color w:val="auto"/>
        </w:rPr>
      </w:pPr>
    </w:p>
    <w:p>
      <w:pPr>
        <w:jc w:val="both"/>
        <w:ind w:left="-500" w:firstLine="621"/>
        <w:spacing w:after="0" w:line="270" w:lineRule="auto"/>
        <w:tabs>
          <w:tab w:leader="none" w:pos="48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the furnishing thereof, copies of any material statement or report furnished to any holder of Indebtedness of any Loan Party or any Subsidiary in excess of the Threshold Amount pursuant to the terms of any indenture, loan or credit or similar agreement and not otherwise required to be furnished to the Administrative Agent pursuant to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or any other clause of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jc w:val="both"/>
        <w:ind w:left="-500" w:firstLine="621"/>
        <w:spacing w:after="0" w:line="260" w:lineRule="auto"/>
        <w:tabs>
          <w:tab w:leader="none" w:pos="56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and in any event within five (5) Business Days after receipt thereof by any Loan Party or any Subsidiary, (i) copies of each written notice or other written correspondence received from the SEC (or comparable national agency in any applicable non-U.S. jurisdiction) concerning any material investigation or possible material investigation or other inquiry (it being understood that any investigation or possible investigation or other inquiry regarding the Material Weakness Restatement shall be deemed to be material for purposes of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by such agency regarding financial or other operational results of any Loan Party or any Subsidiary and (ii) copies of any material written correspondence or any other material written communication from the FDA or any other regulatory body;</w:t>
      </w:r>
    </w:p>
    <w:p>
      <w:pPr>
        <w:spacing w:after="0" w:line="173" w:lineRule="exact"/>
        <w:rPr>
          <w:rFonts w:ascii="Times New Roman" w:cs="Times New Roman" w:eastAsia="Times New Roman" w:hAnsi="Times New Roman"/>
          <w:sz w:val="17"/>
          <w:szCs w:val="17"/>
          <w:color w:val="auto"/>
        </w:rPr>
      </w:pPr>
    </w:p>
    <w:p>
      <w:pPr>
        <w:ind w:left="-500" w:firstLine="621"/>
        <w:spacing w:after="0" w:line="287" w:lineRule="auto"/>
        <w:tabs>
          <w:tab w:leader="none" w:pos="60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such additional information regarding the business, financial or corporate affairs of any Loan Party or any Subsidiary, or compliance with the terms of the Loan Documents, as the Administrative Agent or any Lender may from time to time reasonably request;</w:t>
      </w:r>
    </w:p>
    <w:p>
      <w:pPr>
        <w:spacing w:after="0" w:line="151" w:lineRule="exact"/>
        <w:rPr>
          <w:rFonts w:ascii="Times New Roman" w:cs="Times New Roman" w:eastAsia="Times New Roman" w:hAnsi="Times New Roman"/>
          <w:sz w:val="17"/>
          <w:szCs w:val="17"/>
          <w:color w:val="auto"/>
        </w:rPr>
      </w:pPr>
    </w:p>
    <w:p>
      <w:pPr>
        <w:jc w:val="both"/>
        <w:ind w:left="-500" w:firstLine="621"/>
        <w:spacing w:after="0" w:line="261"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delivery of the financial statements referred to in </w:t>
      </w:r>
      <w:r>
        <w:rPr>
          <w:rFonts w:ascii="Times New Roman" w:cs="Times New Roman" w:eastAsia="Times New Roman" w:hAnsi="Times New Roman"/>
          <w:sz w:val="17"/>
          <w:szCs w:val="17"/>
          <w:u w:val="single" w:color="auto"/>
          <w:color w:val="auto"/>
        </w:rPr>
        <w:t>Sections 7.01(a)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 certificate of a Responsible Officer of the Borrower (i) attaching a supplement to </w:t>
      </w:r>
      <w:r>
        <w:rPr>
          <w:rFonts w:ascii="Times New Roman" w:cs="Times New Roman" w:eastAsia="Times New Roman" w:hAnsi="Times New Roman"/>
          <w:sz w:val="17"/>
          <w:szCs w:val="17"/>
          <w:u w:val="single" w:color="auto"/>
          <w:color w:val="auto"/>
        </w:rPr>
        <w:t>Schedule 6.17(a)</w:t>
      </w:r>
      <w:r>
        <w:rPr>
          <w:rFonts w:ascii="Times New Roman" w:cs="Times New Roman" w:eastAsia="Times New Roman" w:hAnsi="Times New Roman"/>
          <w:sz w:val="17"/>
          <w:szCs w:val="17"/>
          <w:color w:val="auto"/>
        </w:rPr>
        <w:t xml:space="preserve"> as is necessary to cause such schedule to be true and complete in all material respects as of the date of such certificate and (ii) attaching the insurance binder or other evidence of insurance for any insurance coverage of any Loan Party or any Subsidiary that was renewed, replaced or modified during the period covered by such financial statements (to the extent not previously provided to the Administrative Agent);</w:t>
      </w:r>
    </w:p>
    <w:p>
      <w:pPr>
        <w:spacing w:after="0" w:line="174" w:lineRule="exact"/>
        <w:rPr>
          <w:rFonts w:ascii="Times New Roman" w:cs="Times New Roman" w:eastAsia="Times New Roman" w:hAnsi="Times New Roman"/>
          <w:sz w:val="17"/>
          <w:szCs w:val="17"/>
          <w:color w:val="auto"/>
        </w:rPr>
      </w:pPr>
    </w:p>
    <w:p>
      <w:pPr>
        <w:jc w:val="both"/>
        <w:ind w:left="-500" w:firstLine="621"/>
        <w:spacing w:after="0" w:line="264" w:lineRule="auto"/>
        <w:tabs>
          <w:tab w:leader="none" w:pos="45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and in any event prior to the Borrower or any Subsidiary manufacturing, selling, developing, testing or marketing any Product not then listed on </w:t>
      </w:r>
      <w:r>
        <w:rPr>
          <w:rFonts w:ascii="Times New Roman" w:cs="Times New Roman" w:eastAsia="Times New Roman" w:hAnsi="Times New Roman"/>
          <w:sz w:val="17"/>
          <w:szCs w:val="17"/>
          <w:u w:val="single" w:color="auto"/>
          <w:color w:val="auto"/>
        </w:rPr>
        <w:t>Schedule 1.01</w:t>
      </w:r>
      <w:r>
        <w:rPr>
          <w:rFonts w:ascii="Times New Roman" w:cs="Times New Roman" w:eastAsia="Times New Roman" w:hAnsi="Times New Roman"/>
          <w:sz w:val="17"/>
          <w:szCs w:val="17"/>
          <w:color w:val="auto"/>
        </w:rPr>
        <w:t xml:space="preserve">, the Loan Parties shall give written notice thereof to the Administrative Agent (which shall include a brief description of such Product, plus copies of all material Regulatory Authorizations relating to such new Product and/or the Borrower’s or such Subsidiary’s manufacture, sale, development, testing or marketing thereof issued or outstanding as of the date of such notice) along with a copy of an updated </w:t>
      </w:r>
      <w:r>
        <w:rPr>
          <w:rFonts w:ascii="Times New Roman" w:cs="Times New Roman" w:eastAsia="Times New Roman" w:hAnsi="Times New Roman"/>
          <w:sz w:val="17"/>
          <w:szCs w:val="17"/>
          <w:u w:val="single" w:color="auto"/>
          <w:color w:val="auto"/>
        </w:rPr>
        <w:t>Schedule 1.01</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jc w:val="both"/>
        <w:ind w:left="-500" w:firstLine="621"/>
        <w:spacing w:after="0" w:line="261" w:lineRule="auto"/>
        <w:tabs>
          <w:tab w:leader="none" w:pos="5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after any Loan Party or any Subsidiary or Product Distributor (as relating to Products) obtains any new or additional material Regulatory Authorizations from the FDA (or parallel state or local authorities), or foreign counterparts of the FDA (or parallel state or local authorities), with respect to any Product which has previously been disclosed to the Administrative Agent, the Loan Parties shall promptly give written notice to the Administrative Agent of such new or additional material Regulatory Authorizations along with a copy thereof; and</w:t>
      </w:r>
    </w:p>
    <w:p>
      <w:pPr>
        <w:spacing w:after="0" w:line="174" w:lineRule="exact"/>
        <w:rPr>
          <w:rFonts w:ascii="Times New Roman" w:cs="Times New Roman" w:eastAsia="Times New Roman" w:hAnsi="Times New Roman"/>
          <w:sz w:val="17"/>
          <w:szCs w:val="17"/>
          <w:color w:val="auto"/>
        </w:rPr>
      </w:pPr>
    </w:p>
    <w:p>
      <w:pPr>
        <w:jc w:val="both"/>
        <w:ind w:left="-500" w:firstLine="621"/>
        <w:spacing w:after="0" w:line="261" w:lineRule="auto"/>
        <w:tabs>
          <w:tab w:leader="none" w:pos="55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after receipt thereof by any Loan Party or any Subsidiary, (i) copies of all subpoenas and written requests for information and other written notices regarding any active or potential material investigation of, or material claim or material litigation against, any Loan Party or any Subsidiary or Product Distributor (with respect to any Material Product) by any Governmental Authority, and (ii) the findings of any inspections of any manufacturing Facilities of any Loan Party, any Subsidiary or any Third Party suppliers or Product Distributors of any Loan Party or any Subsidiary by any Governmental Authority (including any Form 483s and warning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334010</wp:posOffset>
            </wp:positionV>
            <wp:extent cx="713867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561" w:right="339" w:bottom="1440" w:gutter="0" w:footer="0" w:header="0"/>
        </w:sectPr>
      </w:pPr>
    </w:p>
    <w:bookmarkStart w:id="104" w:name="page105"/>
    <w:bookmarkEnd w:id="104"/>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xml:space="preserve">, or (ii) on which such documents are posted on the Borrower’s behalf on an Internet or intranet website (including EDGAR), if any, to which each Lender and the Administrative Agent have access (whether a commercial, third-party website or whether sponsored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the Borrower shall deliver paper copies of such documents to the Administrative Agent or any Lender upon its request to the Borrower to deliver such paper copies until a written request to cease delivering paper copies is given by the Administrative Agent or such Lender and (B) the Borrower shall notify the Administrative Agent and each Lender (by facsimile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for delivery by a Lender, and each Lender shall be solely responsible for requesting delivery to it or maintaining its copies of such documents.</w:t>
      </w:r>
    </w:p>
    <w:p>
      <w:pPr>
        <w:spacing w:after="0" w:line="39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Borrower hereby acknowledges that certain of the Lenders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if requested by the Administrative Agent it will, (x) in good faith, identify that portion of the materials and/or information provided by, or to be provided by, or on behalf of the Borrower hereunder that does not constitute material non-public information with respect to the Borrower or its Affiliates or their respective securities (the “</w:t>
      </w:r>
      <w:r>
        <w:rPr>
          <w:rFonts w:ascii="Times New Roman" w:cs="Times New Roman" w:eastAsia="Times New Roman" w:hAnsi="Times New Roman"/>
          <w:sz w:val="17"/>
          <w:szCs w:val="17"/>
          <w:u w:val="single" w:color="auto"/>
          <w:color w:val="auto"/>
        </w:rPr>
        <w:t>Public Borrower Materials</w:t>
      </w:r>
      <w:r>
        <w:rPr>
          <w:rFonts w:ascii="Times New Roman" w:cs="Times New Roman" w:eastAsia="Times New Roman" w:hAnsi="Times New Roman"/>
          <w:sz w:val="17"/>
          <w:szCs w:val="17"/>
          <w:color w:val="auto"/>
        </w:rPr>
        <w:t>”) and (y) clearly and conspicuously mark all Public Borrower Materials “PUBLIC” which, at a minimum, shall mean that the word “PUBLIC” shall appear prominently on the first page thereof (it being understood that by marking Public Borrower Materials “PUBLIC,” the Borrower shall be deemed to have authorized the Administrative Agent, any Affiliate thereof and the Lenders to treat such Public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to the extent such Public Borrower Materials constitute Information, they shall be treated as set forth in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7.03</w:t>
      </w:r>
      <w:r>
        <w:rPr>
          <w:sz w:val="20"/>
          <w:szCs w:val="20"/>
          <w:color w:val="auto"/>
        </w:rPr>
        <w:tab/>
      </w:r>
      <w:r>
        <w:rPr>
          <w:rFonts w:ascii="Times New Roman" w:cs="Times New Roman" w:eastAsia="Times New Roman" w:hAnsi="Times New Roman"/>
          <w:sz w:val="16"/>
          <w:szCs w:val="16"/>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442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442595" cy="8255"/>
                    </a:xfrm>
                    <a:prstGeom prst="rect">
                      <a:avLst/>
                    </a:prstGeom>
                    <a:noFill/>
                  </pic:spPr>
                </pic:pic>
              </a:graphicData>
            </a:graphic>
          </wp:anchor>
        </w:drawing>
      </w:r>
    </w:p>
    <w:p>
      <w:pPr>
        <w:spacing w:after="0" w:line="197" w:lineRule="exact"/>
        <w:rPr>
          <w:sz w:val="20"/>
          <w:szCs w:val="20"/>
          <w:color w:val="auto"/>
        </w:rPr>
      </w:pPr>
    </w:p>
    <w:p>
      <w:pPr>
        <w:ind w:left="1240"/>
        <w:spacing w:after="0"/>
        <w:tabs>
          <w:tab w:leader="none" w:pos="1580" w:val="left"/>
        </w:tabs>
        <w:rPr>
          <w:sz w:val="20"/>
          <w:szCs w:val="20"/>
          <w:color w:val="auto"/>
        </w:rPr>
      </w:pPr>
      <w:r>
        <w:rPr>
          <w:rFonts w:ascii="Times New Roman" w:cs="Times New Roman" w:eastAsia="Times New Roman" w:hAnsi="Times New Roman"/>
          <w:sz w:val="17"/>
          <w:szCs w:val="17"/>
          <w:color w:val="auto"/>
        </w:rPr>
        <w:t>(a)</w:t>
        <w:tab/>
        <w:t>Promptly (and in any event, within three (3) Business Days) notify the Administrative Agent and each Lender of the occurrence of any</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Default.</w:t>
      </w:r>
    </w:p>
    <w:p>
      <w:pPr>
        <w:spacing w:after="0" w:line="200" w:lineRule="exact"/>
        <w:rPr>
          <w:sz w:val="20"/>
          <w:szCs w:val="20"/>
          <w:color w:val="auto"/>
        </w:rPr>
      </w:pPr>
    </w:p>
    <w:p>
      <w:pPr>
        <w:ind w:left="620" w:firstLine="621"/>
        <w:spacing w:after="0" w:line="287" w:lineRule="auto"/>
        <w:tabs>
          <w:tab w:leader="none" w:pos="161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ten (10) Business Days) notify the Administrative Agent and each Lender of any matter that has resulted or could reasonably be expected to result in a Material Adverse Effect.</w:t>
      </w:r>
    </w:p>
    <w:p>
      <w:pPr>
        <w:spacing w:after="0" w:line="151" w:lineRule="exact"/>
        <w:rPr>
          <w:rFonts w:ascii="Times New Roman" w:cs="Times New Roman" w:eastAsia="Times New Roman" w:hAnsi="Times New Roman"/>
          <w:sz w:val="17"/>
          <w:szCs w:val="17"/>
          <w:color w:val="auto"/>
        </w:rPr>
      </w:pPr>
    </w:p>
    <w:p>
      <w:pPr>
        <w:ind w:left="620" w:right="420" w:firstLine="621"/>
        <w:spacing w:after="0" w:line="287" w:lineRule="auto"/>
        <w:tabs>
          <w:tab w:leader="none" w:pos="160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ten (10) Business Days) notify the Administrative Agent and each Lender of the occurrence of any ERISA Event that has resulted or could reasonably be expected to result in a Material Adverse Effect.</w:t>
      </w:r>
    </w:p>
    <w:p>
      <w:pPr>
        <w:spacing w:after="0" w:line="151" w:lineRule="exact"/>
        <w:rPr>
          <w:rFonts w:ascii="Times New Roman" w:cs="Times New Roman" w:eastAsia="Times New Roman" w:hAnsi="Times New Roman"/>
          <w:sz w:val="17"/>
          <w:szCs w:val="17"/>
          <w:color w:val="auto"/>
        </w:rPr>
      </w:pPr>
    </w:p>
    <w:p>
      <w:pPr>
        <w:ind w:left="620" w:right="340" w:firstLine="621"/>
        <w:spacing w:after="0" w:line="287" w:lineRule="auto"/>
        <w:tabs>
          <w:tab w:leader="none" w:pos="161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ten (10) Business Days) notify the Administrative Agent and each Lender of any material change in accounting policies or financial reporting practices by the Borrower or any Subsidiary.</w:t>
      </w:r>
    </w:p>
    <w:p>
      <w:pPr>
        <w:spacing w:after="0" w:line="151" w:lineRule="exact"/>
        <w:rPr>
          <w:rFonts w:ascii="Times New Roman" w:cs="Times New Roman" w:eastAsia="Times New Roman" w:hAnsi="Times New Roman"/>
          <w:sz w:val="17"/>
          <w:szCs w:val="17"/>
          <w:color w:val="auto"/>
        </w:rPr>
      </w:pPr>
    </w:p>
    <w:p>
      <w:pPr>
        <w:ind w:left="620" w:firstLine="621"/>
        <w:spacing w:after="0" w:line="261" w:lineRule="auto"/>
        <w:tabs>
          <w:tab w:leader="none" w:pos="160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ten (10) Business Days) notify the Administrative Agent and each Lender of any litigation, arbitration or governmental investigation or proceeding not previously disclosed by the Loan Parties which has been instituted (or, in each case, any material development with respect thereto) or, to the knowledge of the Loan Parties, is threatened in writing, with respect to any Product or against any Loan Party or any Subsidiary or to which any of the properties of any thereof is subject which could reasonably be expected to result in losses and/or expenses in excess of the Threshold Amount.</w:t>
      </w:r>
    </w:p>
    <w:p>
      <w:pPr>
        <w:spacing w:after="0" w:line="174" w:lineRule="exact"/>
        <w:rPr>
          <w:rFonts w:ascii="Times New Roman" w:cs="Times New Roman" w:eastAsia="Times New Roman" w:hAnsi="Times New Roman"/>
          <w:sz w:val="17"/>
          <w:szCs w:val="17"/>
          <w:color w:val="auto"/>
        </w:rPr>
      </w:pPr>
    </w:p>
    <w:p>
      <w:pPr>
        <w:ind w:left="620" w:right="100" w:firstLine="621"/>
        <w:spacing w:after="0" w:line="287" w:lineRule="auto"/>
        <w:tabs>
          <w:tab w:leader="none" w:pos="158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notify the Administrative Agent of any return, recovery, dispute or claim related to any Material Product that could reasonably be expected to result in liability in excess of $2,500,000.</w:t>
      </w:r>
    </w:p>
    <w:p>
      <w:pPr>
        <w:spacing w:after="0" w:line="151" w:lineRule="exact"/>
        <w:rPr>
          <w:rFonts w:ascii="Times New Roman" w:cs="Times New Roman" w:eastAsia="Times New Roman" w:hAnsi="Times New Roman"/>
          <w:sz w:val="17"/>
          <w:szCs w:val="17"/>
          <w:color w:val="auto"/>
        </w:rPr>
      </w:pPr>
    </w:p>
    <w:p>
      <w:pPr>
        <w:ind w:left="620" w:right="40" w:firstLine="621"/>
        <w:spacing w:after="0" w:line="287" w:lineRule="auto"/>
        <w:tabs>
          <w:tab w:leader="none" w:pos="161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notify the Administrative Agent (for further distribution to the Lenders) after (i) any Loan Party or any Subsidiary enters into a new Material Contract or (ii) an existing Material Contract is amended or terminated.</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Each notice pursuant to this </w:t>
      </w:r>
      <w:r>
        <w:rPr>
          <w:rFonts w:ascii="Times New Roman" w:cs="Times New Roman" w:eastAsia="Times New Roman" w:hAnsi="Times New Roman"/>
          <w:sz w:val="17"/>
          <w:szCs w:val="17"/>
          <w:u w:val="single" w:color="auto"/>
          <w:color w:val="auto"/>
        </w:rPr>
        <w:t>Section 7.03(a)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shall be accompanied by a statement of a Responsible Officer of the Borrower setting forth details of the occurrence referred to therein and stating what action the applicable Loan Party has taken and proposes to take with respect thereto. Each notice pursuant to </w:t>
      </w:r>
      <w:r>
        <w:rPr>
          <w:rFonts w:ascii="Times New Roman" w:cs="Times New Roman" w:eastAsia="Times New Roman" w:hAnsi="Times New Roman"/>
          <w:sz w:val="17"/>
          <w:szCs w:val="17"/>
          <w:u w:val="single" w:color="auto"/>
          <w:color w:val="auto"/>
        </w:rPr>
        <w:t>Section 7.03(a)</w:t>
      </w:r>
      <w:r>
        <w:rPr>
          <w:rFonts w:ascii="Times New Roman" w:cs="Times New Roman" w:eastAsia="Times New Roman" w:hAnsi="Times New Roman"/>
          <w:sz w:val="17"/>
          <w:szCs w:val="17"/>
          <w:color w:val="auto"/>
        </w:rPr>
        <w:t xml:space="preserve"> shall describe with particularity any and all provisions of this Agreement and any other Loan Document that have been breached.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5" w:name="page106"/>
    <w:bookmarkEnd w:id="105"/>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7.04</w:t>
        <w:tab/>
        <w:t>Payment of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455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Pay and discharge all its obligations and liabilities, including (a) prior to the date on which penalties attach thereto, all federal and state and other Tax liabilities, assessments and governmental charges or levies upon it or its properties or assets (including in its capacity as a Withholding Agent), unless the same are being contested in good faith by appropriate proceedings diligently conducted and adequate reserves in accordance with GAAP are being maintained by the Loan Party or such Subsidiary, except to the extent that the failure to do so could not reasonably be expected, individually or in the aggregate, to have a Material Adverse Effect, (b) as the same shall become due and payable, all lawful claims which, if unpaid, would by law become a Lien upon its property (other than Permitted Liens), and (c) prior to the date on which such Indebtedness shall become delinquent or in default, all material Indebtedness, but subject to any subordination provisions contained in any instrument or agreement evidencing such Indebtedness.</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7.05</w:t>
        <w:tab/>
        <w:t>Preservation of Existence,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236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97" w:lineRule="exact"/>
        <w:rPr>
          <w:sz w:val="20"/>
          <w:szCs w:val="20"/>
          <w:color w:val="auto"/>
        </w:rPr>
      </w:pPr>
    </w:p>
    <w:p>
      <w:pPr>
        <w:jc w:val="both"/>
        <w:ind w:left="620" w:right="320" w:firstLine="621"/>
        <w:spacing w:after="0" w:line="270" w:lineRule="auto"/>
        <w:tabs>
          <w:tab w:leader="none" w:pos="160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Preserve, renew and maintain in full force and effect its legal existence under the Laws of the jurisdiction of its organization except in a transaction permitted by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except (other than with respect to the Borrower) to the extent that the failure to do so could not, individually or in the aggregate, reasonably be expected to have a Material Adverse Effect.</w:t>
      </w:r>
    </w:p>
    <w:p>
      <w:pPr>
        <w:spacing w:after="0" w:line="165" w:lineRule="exact"/>
        <w:rPr>
          <w:rFonts w:ascii="Times New Roman" w:cs="Times New Roman" w:eastAsia="Times New Roman" w:hAnsi="Times New Roman"/>
          <w:sz w:val="17"/>
          <w:szCs w:val="17"/>
          <w:color w:val="auto"/>
        </w:rPr>
      </w:pPr>
    </w:p>
    <w:p>
      <w:pPr>
        <w:ind w:left="620" w:right="180" w:firstLine="621"/>
        <w:spacing w:after="0" w:line="287" w:lineRule="auto"/>
        <w:tabs>
          <w:tab w:leader="none" w:pos="161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151" w:lineRule="exact"/>
        <w:rPr>
          <w:rFonts w:ascii="Times New Roman" w:cs="Times New Roman" w:eastAsia="Times New Roman" w:hAnsi="Times New Roman"/>
          <w:sz w:val="17"/>
          <w:szCs w:val="17"/>
          <w:color w:val="auto"/>
        </w:rPr>
      </w:pPr>
    </w:p>
    <w:p>
      <w:pPr>
        <w:ind w:left="620" w:right="380" w:firstLine="621"/>
        <w:spacing w:after="0" w:line="287" w:lineRule="auto"/>
        <w:tabs>
          <w:tab w:leader="none" w:pos="159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commercially reasonable action to maintain all rights, privileges, permits, licenses and franchises necessary or desirable in the normal conduct of its business, except to the extent that the failure to do so could not reasonably be expected to have a Material Adverse Effect.</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7.06</w:t>
        <w:tab/>
        <w:t>Maintenance of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2604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97" w:lineRule="exact"/>
        <w:rPr>
          <w:sz w:val="20"/>
          <w:szCs w:val="20"/>
          <w:color w:val="auto"/>
        </w:rPr>
      </w:pPr>
    </w:p>
    <w:p>
      <w:pPr>
        <w:ind w:left="620" w:right="100" w:firstLine="621"/>
        <w:spacing w:after="0" w:line="270" w:lineRule="auto"/>
        <w:tabs>
          <w:tab w:leader="none" w:pos="160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preserve and protect all of its material properties and equipment necessary in the operation of its business in good working order and condition, ordinary wear and tear excepted, except where the failure to do so could not, individually or in the aggregate, reasonably be expected to have a Material Adverse Effect.</w:t>
      </w:r>
    </w:p>
    <w:p>
      <w:pPr>
        <w:spacing w:after="0" w:line="165" w:lineRule="exact"/>
        <w:rPr>
          <w:rFonts w:ascii="Times New Roman" w:cs="Times New Roman" w:eastAsia="Times New Roman" w:hAnsi="Times New Roman"/>
          <w:sz w:val="17"/>
          <w:szCs w:val="17"/>
          <w:color w:val="auto"/>
        </w:rPr>
      </w:pPr>
    </w:p>
    <w:p>
      <w:pPr>
        <w:ind w:left="620" w:right="560" w:firstLine="621"/>
        <w:spacing w:after="0" w:line="287" w:lineRule="auto"/>
        <w:tabs>
          <w:tab w:leader="none" w:pos="161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all necessary repairs thereto and renewals and replacements thereof, except where the failure to do so could not reasonably be expected to have a Material Adverse Effect.</w:t>
      </w:r>
    </w:p>
    <w:p>
      <w:pPr>
        <w:spacing w:after="0" w:line="15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the standard of care typical in the industry in the operation and maintenance of its Facilities.</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7.07</w:t>
        <w:tab/>
        <w:t>Maintenance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2420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70" w:lineRule="auto"/>
        <w:tabs>
          <w:tab w:leader="none" w:pos="163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4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reasonably required by the Administrative Agent or the Required Lenders,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74" w:lineRule="exact"/>
        <w:rPr>
          <w:rFonts w:ascii="Times New Roman" w:cs="Times New Roman" w:eastAsia="Times New Roman" w:hAnsi="Times New Roman"/>
          <w:sz w:val="17"/>
          <w:szCs w:val="17"/>
          <w:color w:val="auto"/>
        </w:rPr>
      </w:pPr>
    </w:p>
    <w:p>
      <w:pPr>
        <w:jc w:val="both"/>
        <w:ind w:left="620" w:firstLine="621"/>
        <w:spacing w:after="0" w:line="256" w:lineRule="auto"/>
        <w:tabs>
          <w:tab w:leader="none" w:pos="16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xml:space="preserve">, use commercially reasonable efforts to (i) cause the Administrative Agent and its successors and/or assigns to be named as lender’s loss payee or mortgagee as its interest may appear, and/or additional insured with respect to any such U.S. general liability or U.S. general property insurance held by a U.S. Loan Party that provides liability coverage or coverage in respect of any Collateral (which, for the avoidance of doubt, shall not include any directors and officers policies, workers compensation, business interruption policies or cyber policies) and (ii) cause each provider of any such insurance to agree, by endorsement upon the policy or policies issued by it or by independent instruments furnished to the Administrative Agent, that it will give the Administrative Agent thirty (30) days (or such lesser amount as the Required Lenders may agree) prior written notice before any such policy or policies shall be adversely altered or canceled (it being understood that the Loan Parties shall have forty-five (45) days (or such longer period as the Administrative Agent may agree in its reasonable discretion) after entering into any such insurance policy after the Closing Date to comply with this </w:t>
      </w:r>
      <w:r>
        <w:rPr>
          <w:rFonts w:ascii="Times New Roman" w:cs="Times New Roman" w:eastAsia="Times New Roman" w:hAnsi="Times New Roman"/>
          <w:sz w:val="17"/>
          <w:szCs w:val="17"/>
          <w:u w:val="single" w:color="auto"/>
          <w:color w:val="auto"/>
        </w:rPr>
        <w:t>Section 7.07(c)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unless an Event of Default shall have occurred and be continuing and the Administrative Agent shall have exercised its rights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of this Agreement, (A) all proceeds from insurance policies shall be paid to the Borrower or applicable Loan Party, (B) to the extent the Administrative Agent receives any proceeds under any insurance policy of the Borrower or any Subsidiary, the Administrative Agent shall promptly turn over to the Borrower any amounts received by it, and (C) the Administrative Agent and the Lenders agree that the Borrower and/or its Subsidiaries shall have the sole right to adjust or settle any claims under such insurance.</w:t>
      </w:r>
    </w:p>
    <w:p>
      <w:pPr>
        <w:spacing w:after="0" w:line="17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notify the Administrative Agent of any real property subject to a Mortgage that is, or becomes, a Flood Hazard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6" w:name="page107"/>
    <w:bookmarkEnd w:id="106"/>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7.08</w:t>
        <w:tab/>
        <w:t>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21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7.09</w:t>
        <w:tab/>
        <w:t>Books and Records,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391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197" w:lineRule="exact"/>
        <w:rPr>
          <w:sz w:val="20"/>
          <w:szCs w:val="20"/>
          <w:color w:val="auto"/>
        </w:rPr>
      </w:pPr>
    </w:p>
    <w:p>
      <w:pPr>
        <w:ind w:left="620" w:right="80" w:firstLine="621"/>
        <w:spacing w:after="0" w:line="287" w:lineRule="auto"/>
        <w:tabs>
          <w:tab w:leader="none" w:pos="160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51" w:lineRule="exact"/>
        <w:rPr>
          <w:rFonts w:ascii="Times New Roman" w:cs="Times New Roman" w:eastAsia="Times New Roman" w:hAnsi="Times New Roman"/>
          <w:sz w:val="17"/>
          <w:szCs w:val="17"/>
          <w:color w:val="auto"/>
        </w:rPr>
      </w:pPr>
    </w:p>
    <w:p>
      <w:pPr>
        <w:ind w:left="620" w:right="100" w:firstLine="621"/>
        <w:spacing w:after="0" w:line="287" w:lineRule="auto"/>
        <w:tabs>
          <w:tab w:leader="none" w:pos="161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3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(i) promptly (and in any event on or prior to the time of filing of the Borrower’s annual report on Form 10-K for the fiscal year ended December 31, 2024) institute (to the extent it has not already done so) and thereafter maintain policies and procedures reasonably designed to maintain effective control over the Borrower’s internal controls over financial reporting (as such term is used in Item 308 of Regulation S-K promulgated under the Securities Exchange Act of 1934), including the remediation of the material weakness that resulted in the Material Weakness Restatement, and (ii) no later than the time of filing of the Borrower’s annual report on Form 10-K for the fiscal year ended December 31, 2024, disclose the steps taken to successfully remediate the material weakness that resulted in the Material Weakness Restatement.</w:t>
      </w:r>
    </w:p>
    <w:p>
      <w:pPr>
        <w:spacing w:after="0" w:line="17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7.10</w:t>
        <w:tab/>
        <w:t>Inspection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8756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Permit representatives and independent contractors of the Administrative Agent and each Lender (assuming for the purposes of this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that each Lender and its Affiliates and Approved Funds collectively constitute one Lender) to visit, audit and inspect any of its properties, to examine its corporate, financial and operating records, and make copies thereof or abstracts therefrom, and to discuss its affairs, finances and accounts with its officers and independent public accountants, all at the expense of the Borrower and at such reasonable times during normal business hours and as often as may be desired, upon reasonable advance notice to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so long as no Event of Default exists, (x) without limitation of the foregoing, each Lender (together with its Affiliates) shall have the right to meet with officers of the Loan Parties and their respective Subsidiaries not more frequently than one (1) time per fiscal quarter and (y) the Borrower shall only be required to reimburse the Administrative Agent and the Lenders for one (1) such visit, audit and inspection (excluding any such visits, audits and inspections during the continuance of an Event of Default) by the Administrative Agent and one (1) such visit, audit and inspection (excluding any such visits, audits and inspections during the continuance of an Event of Default) by each Lender, in each case, in any fiscal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8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7.11</w:t>
        <w:tab/>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-6350</wp:posOffset>
            </wp:positionV>
            <wp:extent cx="8178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Use the proceeds of the Loans (a) to refinance existing Indebtedness of the Borrower and its Subsidiaries, (b) to pay fees and expenses in connection with this Agreement and the other Loan Documents, and (c) to fund the development and commercialization of Arimoclomol and Olpruva;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in no event shall the proceeds of such Loans be used in contravention of any Law or any Loan Document.</w:t>
      </w:r>
    </w:p>
    <w:p>
      <w:pPr>
        <w:spacing w:after="0" w:line="165"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7.12</w:t>
        <w:tab/>
        <w:t>Additional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1303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Within forty-five (45) days after the acquisition or formation of any Domestic Subsidiary, and within sixty (60) days after the acquisition or formation of any Foreign Subsidiary (in each case, or such longer period as may be agreed to by the Required Lenders in their sole discretion) (it being understood that any Excluded Subsidiary ceasing to be an Excluded Subsidiary but remaining a Subsidiary shall be deemed to be the acquisition of a Subsidiary for purposes of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20" w:right="100" w:firstLine="621"/>
        <w:spacing w:after="0" w:line="264" w:lineRule="auto"/>
        <w:tabs>
          <w:tab w:leader="none" w:pos="1601"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Administrative Agent thereof in writing, together with the (i) jurisdiction of organization, (ii) number of shares of each class of Equity Interests outstanding, (iii) number and percentage of outstanding shares of each class owned (directly or indirectly) by the Borrower or any Subsidiary and (iv) number and effect, if exercised, of all outstanding options, warrants, rights of conversion or purchase and all other similar rights with respect thereto; and</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1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 such Person (other than any Excluded Subsidiary) to (i) become a Guarantor by executing and delivering to the Administrative Agent a Joinder Agreement or such other documents as the Required Lenders shall reasonably request for such purpose, and (ii) deliver to the Administrative Agent documents of the types referred to in </w:t>
      </w:r>
      <w:r>
        <w:rPr>
          <w:rFonts w:ascii="Times New Roman" w:cs="Times New Roman" w:eastAsia="Times New Roman" w:hAnsi="Times New Roman"/>
          <w:sz w:val="17"/>
          <w:szCs w:val="17"/>
          <w:u w:val="single" w:color="auto"/>
          <w:color w:val="auto"/>
        </w:rPr>
        <w:t>Sections 5.01(f)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and, if requested by the Required Lenders, favorable opinions of counsel to such Person (which shall cover, among other things, the legality, validity, binding effect and enforceability of the documentation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all in form, content and scope reasonably satisfactory to the Required Lenders.</w:t>
      </w:r>
    </w:p>
    <w:p>
      <w:pPr>
        <w:spacing w:after="0" w:line="17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7.13</w:t>
        <w:tab/>
        <w:t>ERISA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9785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Do, and cause each of its ERISA Affiliates to do, each of the following: (a) maintain each Plan in compliance with the applicable provisions of ERISA, the Internal Revenue Code and other federal or state law, (b) cause each Plan that is qualified under Section 401(a) of the Internal Revenue Code to maintain such qualification, and (c) make all required contributions to any Plan subject to Section 412, Section 430 or Section 431 of the Internal Revenue Code, in each case, except as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713867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7" w:name="page108"/>
    <w:bookmarkEnd w:id="107"/>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7.14</w:t>
        <w:tab/>
        <w:t>Pledged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7727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6" w:lineRule="auto"/>
        <w:tabs>
          <w:tab w:leader="none" w:pos="1653"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Interests. Cause (i) 100% of the issued and outstanding Equity Interests of each Subsidiary (other than any Excluded Subsidiary) directly owned by a Loan Party and (ii) 65% (or such greater percentage that, due to a change in an applicable Law after the Closing Date, (A) could not reasonably be expected to cause any earnings of such Excluded Subsidiary as determined for United States federal income tax purposes to be treated as a deemed dividend to such Excluded Subsidiary’s United States parent and (B) could not reasonably be expected to cause any material adverse tax consequences) of the issued and outstanding Equity Interests entitled to vote (within the meaning of Treasury Regulations Section 1.956-2(c)(2)) and 100% of the issued and outstanding Equity Interests not entitled to vote (within the meaning of Treasury Regulations Section 1.956-2(c)(2)) in each Excluded Subsidiary, in each case, directly owned by a Loan Party, in each case, to be subject at all times to a first priority, perfected Lien in favor of the Administrative Agent, for the benefit of the Lenders, pursuant to the terms and conditions of the Collateral Documents, together with opinions of counsel and any filings and deliveries necessary in connection therewith to perfect the security interests therein, all in form and substance reasonably satisfactory to the Required Lenders (it being understood and agreed that no agreement or filing governed by the laws of any jurisdiction other than New York state shall be required in connection with the pledge of any Equity Interests of an Immaterial Foreign Subsidiary (other than any Danish Loan Party)).</w:t>
      </w:r>
    </w:p>
    <w:p>
      <w:pPr>
        <w:spacing w:after="0" w:line="181"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4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Property. Cause all property (other than Excluded Property) of each Loan Party to be subject at all times to first priority (subject to Permitted Liens), perfected and, in the case of owned real property, title insured Liens in favor of the Administrative Agent to secure the Obligations pursuant to the Collateral Documents or, with respect to any such property acquired subsequent to the Closing Date, such other additional security documents as the Required Lenders shall request and, in connection with the foregoing, deliver to the Administrative Agent (for further distribution to the Lenders) such other documentation as the Administrative Agent may request including filings and deliveries necessary to perfect such Liens, Organization Documents, resolutions, Real Property Security Documents, and favorable opinions of counsel to such Person, all in form, content and scope reasonably satisfactory to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-2388235</wp:posOffset>
            </wp:positionV>
            <wp:extent cx="837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-816610</wp:posOffset>
            </wp:positionV>
            <wp:extent cx="784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5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7.15</w:t>
        <w:tab/>
        <w:t>Compliance with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699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1699895" cy="8255"/>
                    </a:xfrm>
                    <a:prstGeom prst="rect">
                      <a:avLst/>
                    </a:prstGeom>
                    <a:noFill/>
                  </pic:spPr>
                </pic:pic>
              </a:graphicData>
            </a:graphic>
          </wp:anchor>
        </w:drawing>
      </w:r>
    </w:p>
    <w:p>
      <w:pPr>
        <w:spacing w:after="0" w:line="197" w:lineRule="exact"/>
        <w:rPr>
          <w:sz w:val="20"/>
          <w:szCs w:val="20"/>
          <w:color w:val="auto"/>
        </w:rPr>
      </w:pPr>
    </w:p>
    <w:p>
      <w:pPr>
        <w:ind w:left="620" w:right="60" w:firstLine="621"/>
        <w:spacing w:after="0" w:line="287" w:lineRule="auto"/>
        <w:tabs>
          <w:tab w:leader="none" w:pos="160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each Material Contract of such Person, except as could not, individually or in the aggregate, reasonably be expected to have a Material Adverse Effect.</w:t>
      </w:r>
    </w:p>
    <w:p>
      <w:pPr>
        <w:spacing w:after="0" w:line="151" w:lineRule="exact"/>
        <w:rPr>
          <w:rFonts w:ascii="Times New Roman" w:cs="Times New Roman" w:eastAsia="Times New Roman" w:hAnsi="Times New Roman"/>
          <w:sz w:val="17"/>
          <w:szCs w:val="17"/>
          <w:color w:val="auto"/>
        </w:rPr>
      </w:pPr>
    </w:p>
    <w:p>
      <w:pPr>
        <w:ind w:left="620" w:right="40" w:firstLine="621"/>
        <w:spacing w:after="0" w:line="287" w:lineRule="auto"/>
        <w:tabs>
          <w:tab w:leader="none" w:pos="160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forty-five (45) days following the written request of any Lender, use commercially reasonable efforts to conduct any audit expressly permitted by the Azstarys License Agreement.</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7.16</w:t>
        <w:tab/>
        <w:t>Deposit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8877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197" w:lineRule="exact"/>
        <w:rPr>
          <w:sz w:val="20"/>
          <w:szCs w:val="20"/>
          <w:color w:val="auto"/>
        </w:rPr>
      </w:pPr>
    </w:p>
    <w:p>
      <w:pPr>
        <w:ind w:left="620" w:right="100" w:firstLine="621"/>
        <w:spacing w:after="0" w:line="287" w:lineRule="auto"/>
        <w:tabs>
          <w:tab w:leader="none" w:pos="159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after the acquisition or establishment of any Deposit Account (other than an Excluded Account) by any Loan Party, provide written notice thereof to the Administrative Agent (for further distribution to the Lenders).</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70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xml:space="preserve">, cause all Deposit Accounts of the Loan Parties (other than Excluded Accounts) at all times to be subject to Account Control Agreements (or an equivalent agreement in any other relevant jurisdiction (to the extent available in such jurisdiction)) or the Danish Account Control Agreement, as the case may be, in each case in form and substance reasonably satisfactory to the Required Lenders (it being understood that the Loan Parties shall have sixty (60) days to comply with this </w:t>
      </w:r>
      <w:r>
        <w:rPr>
          <w:rFonts w:ascii="Times New Roman" w:cs="Times New Roman" w:eastAsia="Times New Roman" w:hAnsi="Times New Roman"/>
          <w:sz w:val="17"/>
          <w:szCs w:val="17"/>
          <w:u w:val="single" w:color="auto"/>
          <w:color w:val="auto"/>
        </w:rPr>
        <w:t>Section 7.16(b)</w:t>
      </w:r>
      <w:r>
        <w:rPr>
          <w:rFonts w:ascii="Times New Roman" w:cs="Times New Roman" w:eastAsia="Times New Roman" w:hAnsi="Times New Roman"/>
          <w:sz w:val="17"/>
          <w:szCs w:val="17"/>
          <w:color w:val="auto"/>
        </w:rPr>
        <w:t xml:space="preserve"> solely with respect to any Deposit Account acquired or established after the Closing Date (such period to be measured from the date of acquisition or establishment)).</w:t>
      </w:r>
    </w:p>
    <w:p>
      <w:pPr>
        <w:spacing w:after="0" w:line="174"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 the Administrative Agent and the Required Lenders with read only access (to the extent available after the Loan Parties shall have used commercially reasonable efforts to obtain the same) to any and all Deposit Accounts of the Loan Parties (other than Excluded Accounts) (it being understood that (i) the Loan Parties shall have the time period set forth on </w:t>
      </w:r>
      <w:r>
        <w:rPr>
          <w:rFonts w:ascii="Times New Roman" w:cs="Times New Roman" w:eastAsia="Times New Roman" w:hAnsi="Times New Roman"/>
          <w:sz w:val="17"/>
          <w:szCs w:val="17"/>
          <w:u w:val="single" w:color="auto"/>
          <w:color w:val="auto"/>
        </w:rPr>
        <w:t>Schedule 7.21</w:t>
      </w:r>
      <w:r>
        <w:rPr>
          <w:rFonts w:ascii="Times New Roman" w:cs="Times New Roman" w:eastAsia="Times New Roman" w:hAnsi="Times New Roman"/>
          <w:sz w:val="17"/>
          <w:szCs w:val="17"/>
          <w:color w:val="auto"/>
        </w:rPr>
        <w:t xml:space="preserve"> with respect thereto to comply with this </w:t>
      </w:r>
      <w:r>
        <w:rPr>
          <w:rFonts w:ascii="Times New Roman" w:cs="Times New Roman" w:eastAsia="Times New Roman" w:hAnsi="Times New Roman"/>
          <w:sz w:val="17"/>
          <w:szCs w:val="17"/>
          <w:u w:val="single" w:color="auto"/>
          <w:color w:val="auto"/>
        </w:rPr>
        <w:t>Section 7.16(c)</w:t>
      </w:r>
      <w:r>
        <w:rPr>
          <w:rFonts w:ascii="Times New Roman" w:cs="Times New Roman" w:eastAsia="Times New Roman" w:hAnsi="Times New Roman"/>
          <w:sz w:val="17"/>
          <w:szCs w:val="17"/>
          <w:color w:val="auto"/>
        </w:rPr>
        <w:t xml:space="preserve"> solely with respect to any Deposit Account acquired or established on or prior to the Closing Date and (ii) the Loan Parties shall have sixty (60) days to comply with this </w:t>
      </w:r>
      <w:r>
        <w:rPr>
          <w:rFonts w:ascii="Times New Roman" w:cs="Times New Roman" w:eastAsia="Times New Roman" w:hAnsi="Times New Roman"/>
          <w:sz w:val="17"/>
          <w:szCs w:val="17"/>
          <w:u w:val="single" w:color="auto"/>
          <w:color w:val="auto"/>
        </w:rPr>
        <w:t>Section 7.16(c)</w:t>
      </w:r>
      <w:r>
        <w:rPr>
          <w:rFonts w:ascii="Times New Roman" w:cs="Times New Roman" w:eastAsia="Times New Roman" w:hAnsi="Times New Roman"/>
          <w:sz w:val="17"/>
          <w:szCs w:val="17"/>
          <w:color w:val="auto"/>
        </w:rPr>
        <w:t xml:space="preserve"> solely with respect to any Deposit Account acquired or established after the Closing Date (such period to be measured from the date of acquisition or establishment)).</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6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fifteen (15) Business Days of receipt (into (x) a Deposit Account for which the Administrative Agent shall not have received an Account Control Agreement or (y) a Deposit Account that is not a Deposit Account in the United States) by any Loan Party or any Subsidiary of the proceeds of, or other amounts with respect to, a sale, lease, license, transfer or other disposition of a Priority Review Voucher (including with respect to Arimoclomol), cause all such proceeds and amounts to be transferred to a Deposit Account in the United States for which the Administrative Agent shall have received an Account Control Agreement.</w:t>
      </w:r>
    </w:p>
    <w:p>
      <w:pPr>
        <w:spacing w:after="0" w:line="174"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57"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Borrower or any Subsidiary shall have made any Redemption Payment, at all times thereafter until the Facility Termination Date, maintain Unrestricted Cash of the U.S. Loan Parties in Deposit Accounts for which the Administrative Agent shall have received an Account Control Agreement in the amount required by the defined term “Redemption Conditions”.</w:t>
      </w:r>
    </w:p>
    <w:p>
      <w:pPr>
        <w:spacing w:after="0" w:line="372"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7.17</w:t>
        <w:tab/>
        <w:t>Products and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36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Either directly or through its Product Distributors, as applicable, obtain, maintain and preserve, comply with in all material respects, and take all necessary action to timely renew all Permits and accreditations which are necessary or material with respect to any Product Development and Commercialization Activities associated with the Products of the Borrower and its Subsidiaries or to the conduct of the business of the Loan Parties and their Subsidiaries, and promptly provide evidence of the same to the Administrative Agent (for further distribution to the Lenders).</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7.18</w:t>
        <w:tab/>
        <w:t>Consent of Licensors.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-6350</wp:posOffset>
            </wp:positionV>
            <wp:extent cx="1036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8" w:name="page109"/>
    <w:bookmarkEnd w:id="108"/>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Promptly after entering into or becoming bound by any Material Contract after the Closing Date: (a) provide written notice to the Administrative Agent (for further distribution to the Lenders) of the material terms of such Material Contract with a description of its anticipated and projected impact on the business and financial condition of the Loan Parties and their Subsidiaries and (b) in good faith take such commercially reasonable actions as the Required Lenders may reasonably request to obtain the consent of, or waiver by, any Person whose consent or waiver is necessary for the Administrative Agent to be granted and perfect a valid security interest in such Material Contract and to fully exercise its rights under any of the Loan Documents with respect to such Material Contract, including in the event of a disposition or liquidation of the rights, assets or property that is the subject of such Material Contract.</w:t>
      </w:r>
    </w:p>
    <w:p>
      <w:pPr>
        <w:spacing w:after="0" w:line="17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7.19</w:t>
        <w:tab/>
        <w:t>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75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Conduct its business in compliance with the United States Foreign Corrupt Practices Act of 1977, the UK Bribery Act 2010 and other similar applicable anti-corruption legislation in other jurisdictions and maintain policies and procedures designed to promote and achieve compliance with such laws.</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7.20</w:t>
        <w:tab/>
        <w:t>Maintenance of Regulatory Authorizations, Contracts, Intellectual Property,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35921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359219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5" w:lineRule="auto"/>
        <w:tabs>
          <w:tab w:leader="none" w:pos="168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Products, (i) maintain, either directly or through its Product Distributors, as applicable, in full force and effect all Regulatory Authorizations, contract rights, authorizations or other rights necessary or material for the operations of the business of the Loan Parties and their Subsidiaries and relevant Product Distributors, and comply with the terms and conditions applicable to the foregoing, except where failure to do so could not reasonably be expected to have a material adverse effect on any Product Development and Commercialization Activities; (ii) promptly notify the Administrative Agent (for further distribution to the Lenders) of any Safety Notice conducted, to be undertaken or issued, by such Loan Party, its respective Subsidiaries or its respective Product Distributors or suppliers whether or not at the request, demand or order of any Governmental Authority or otherwise with respect to any Product or manufacturing Facility owned or operated by any Loan Party or their respective Subsidiaries or any Product Distributor (as relating to Products), or any basis for undertaking or issuing any such action or item, in each case, that could reasonably be expected to have a material adverse effect on any Product Development and Commercialization Activities; (iii) design, manufacture, store, transport, label, sell, market, and distribute all Products in compliance with applicable Laws, including without limitation, the FDCA and the Controlled Substances Act, except where the failure to do so could not reasonably be expected to have a material adverse effect on any Product Development and Commercialization Activities; (iv) conduct all studies, tests and preclinical and clinical trials relating to the Products in accordance with all cGCPs, and other applicable Laws, except where the failure to do so could not reasonably be expected to have a material effect on any Product Development and Commercialization Activities; and (v) operate all manufacturing Facilities in material compliance with applicable Laws, including without limitation, cGMPs, the Controlled Substances Act, except where the failure to do so could not reasonably be expected to have a material adverse effect on any Product Development and Commercialization Activities.</w:t>
      </w:r>
    </w:p>
    <w:p>
      <w:pPr>
        <w:spacing w:after="0" w:line="391" w:lineRule="exact"/>
        <w:rPr>
          <w:rFonts w:ascii="Times New Roman" w:cs="Times New Roman" w:eastAsia="Times New Roman" w:hAnsi="Times New Roman"/>
          <w:sz w:val="17"/>
          <w:szCs w:val="17"/>
          <w:color w:val="auto"/>
        </w:rPr>
      </w:pPr>
    </w:p>
    <w:p>
      <w:pPr>
        <w:jc w:val="both"/>
        <w:ind w:left="620" w:firstLine="621"/>
        <w:spacing w:after="0" w:line="255" w:lineRule="auto"/>
        <w:tabs>
          <w:tab w:leader="none" w:pos="162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Maintain in full force and effect or pursue the prosecution of, as the case may be, and pay all costs and expenses relating to, all Material Intellectual Property and all Material Contracts; (ii) promptly notify the Administrative Agent (for further distribution to the Lenders) of any Infringement or other violation by any Person of Material Intellectual Property owned or controlled by such Loan Party or its respective Subsidiaries that a Responsible Officer of a Loan Party is aware or becomes aware of; (iii) use commercially reasonable efforts to pursue, enforce, and maintain (including, where applicable, use commercially reasonable efforts to cause its licensees to pursue, enforce and maintain) in full force and effect legal protection for all Material Intellectual Property, including Patents, developed or controlled by such Loan Party or any of its respective Subsidiaries, including but not limited to: (x) filing and pursuing valid claims in Patents that, but for a Loan Party or any Subsidiary’s rights under such Patents, would be infringed by making, using, selling, offering for sale, importing, and otherwise commercializing the Products, (y) participating in and defending against any allegations or claims made by any third party regarding the enforceability or validity of any Patent that is Material Intellectual Property and that is owned by or licensed to any Loan Party or any Subsidiary, and (z) at the Loan Parties’ reasonable business judgment, pursuing any applicable patent term extensions (including patent term adjustment (PTA), patent term extension (PTE), and supplementary protection certificates (SPC)) for any Patent within the Material Intellectual Property to the extent provided for under applicable Law; and (iv) promptly notify the Administrative Agent (for further distribution to the Lenders) of any written claim by any Person that the conduct of such Loan Party’s or such Subsidiary’s business (including any research, development, manufacture, import, use, sale, storage, labeling, marketing, promotion, supply, distribution, testing, packaging, purchasing or other commercialization activities, receipt of payment in respect of any of the foregoing, or like activities the purpose of which is to develop or commercially exploit any Product) or the conduct of any Product Development and Commercialization Activities by any Product Distributor, Infringes any Intellectual Property of that Person and, if reasonably requested by the Administrative Agent, use commercially reasonable efforts to resolve such claim.</w:t>
      </w:r>
    </w:p>
    <w:p>
      <w:pPr>
        <w:spacing w:after="0" w:line="18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Administrative Agent (for further distribution to the Lenders) prompt written notice of the following:</w:t>
      </w:r>
    </w:p>
    <w:p>
      <w:pPr>
        <w:spacing w:after="0" w:line="217" w:lineRule="exact"/>
        <w:rPr>
          <w:rFonts w:ascii="Times New Roman" w:cs="Times New Roman" w:eastAsia="Times New Roman" w:hAnsi="Times New Roman"/>
          <w:sz w:val="17"/>
          <w:szCs w:val="17"/>
          <w:color w:val="auto"/>
        </w:rPr>
      </w:pPr>
    </w:p>
    <w:p>
      <w:pPr>
        <w:ind w:left="1240" w:right="380" w:firstLine="620"/>
        <w:spacing w:after="0" w:line="270" w:lineRule="auto"/>
        <w:tabs>
          <w:tab w:leader="none" w:pos="219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written notice that the FDA, the EMA or any other Governmental Authority is limiting, suspending or revoking any Regulatory Authorization applicable to any Product, changing the market classification or labeling of or otherwise materially restricting any Product or considering any of the foregoing;</w:t>
      </w:r>
    </w:p>
    <w:p>
      <w:pPr>
        <w:spacing w:after="0" w:line="165" w:lineRule="exact"/>
        <w:rPr>
          <w:rFonts w:ascii="Times New Roman" w:cs="Times New Roman" w:eastAsia="Times New Roman" w:hAnsi="Times New Roman"/>
          <w:sz w:val="17"/>
          <w:szCs w:val="17"/>
          <w:color w:val="auto"/>
        </w:rPr>
      </w:pPr>
    </w:p>
    <w:p>
      <w:pPr>
        <w:ind w:left="2240" w:hanging="380"/>
        <w:spacing w:after="0"/>
        <w:tabs>
          <w:tab w:leader="none" w:pos="22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Arimoclomol Complete Response Letter;</w:t>
      </w:r>
    </w:p>
    <w:p>
      <w:pPr>
        <w:spacing w:after="0" w:line="217" w:lineRule="exact"/>
        <w:rPr>
          <w:rFonts w:ascii="Times New Roman" w:cs="Times New Roman" w:eastAsia="Times New Roman" w:hAnsi="Times New Roman"/>
          <w:sz w:val="17"/>
          <w:szCs w:val="17"/>
          <w:color w:val="auto"/>
        </w:rPr>
      </w:pPr>
    </w:p>
    <w:p>
      <w:pPr>
        <w:jc w:val="both"/>
        <w:ind w:left="1240" w:firstLine="620"/>
        <w:spacing w:after="0" w:line="261" w:lineRule="auto"/>
        <w:tabs>
          <w:tab w:leader="none" w:pos="2311"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Loan Party or any Subsidiary becoming subject to any material and adverse administrative or regulatory action, any FDA or EMA inspection or any non-routine inspection by any other Person, receipt of inspectional observations (e.g., on FDA Form 483), warning letter, or notice of violation letter, or any Product being seized, withdrawn, recalled, detained, or subject to a suspension of manufacturing, or the commencement of any proceedings in the United States or any other jurisdiction seeking the withdrawal, recall, suspension, import detention, or seizure of any Product are pending or threatened against any Loan Party or any Subsidiary or any relevant Product Distributor;</w:t>
      </w:r>
    </w:p>
    <w:p>
      <w:pPr>
        <w:spacing w:after="0" w:line="174" w:lineRule="exact"/>
        <w:rPr>
          <w:rFonts w:ascii="Times New Roman" w:cs="Times New Roman" w:eastAsia="Times New Roman" w:hAnsi="Times New Roman"/>
          <w:sz w:val="17"/>
          <w:szCs w:val="17"/>
          <w:color w:val="auto"/>
        </w:rPr>
      </w:pPr>
    </w:p>
    <w:p>
      <w:pPr>
        <w:ind w:left="1240" w:right="160" w:firstLine="620"/>
        <w:spacing w:after="0" w:line="270" w:lineRule="auto"/>
        <w:tabs>
          <w:tab w:leader="none" w:pos="227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written recommendation (together with a copy thereof) from any Governmental Authority that any Loan Party or any Subsidiary, or any obligor to which any Loan Party or any Subsidiary provides Products or services, or any Product Distributor, should have its licensure, provider or supplier number, or accreditation suspended, revoked, or limited in any way, or any penalties or sanctions imposed; or</w:t>
      </w:r>
    </w:p>
    <w:p>
      <w:pPr>
        <w:spacing w:after="0" w:line="165" w:lineRule="exact"/>
        <w:rPr>
          <w:rFonts w:ascii="Times New Roman" w:cs="Times New Roman" w:eastAsia="Times New Roman" w:hAnsi="Times New Roman"/>
          <w:sz w:val="17"/>
          <w:szCs w:val="17"/>
          <w:color w:val="auto"/>
        </w:rPr>
      </w:pPr>
    </w:p>
    <w:p>
      <w:pPr>
        <w:ind w:left="1240" w:right="520" w:firstLine="620"/>
        <w:spacing w:after="0" w:line="287" w:lineRule="auto"/>
        <w:tabs>
          <w:tab w:leader="none" w:pos="2231"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relating to a Paragraph IV Certification concerning any product and asserting the non-infringement, invalidity or unenforceability of any Patent owned by or licensed to any Loan Party or any Subsidiary or any associated litigation.</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7.21</w:t>
        <w:tab/>
        <w:t>Post-Closing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2096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Within the time periods set forth on </w:t>
      </w:r>
      <w:r>
        <w:rPr>
          <w:rFonts w:ascii="Times New Roman" w:cs="Times New Roman" w:eastAsia="Times New Roman" w:hAnsi="Times New Roman"/>
          <w:sz w:val="17"/>
          <w:szCs w:val="17"/>
          <w:u w:val="single" w:color="auto"/>
          <w:color w:val="auto"/>
        </w:rPr>
        <w:t>Schedule 7.21</w:t>
      </w:r>
      <w:r>
        <w:rPr>
          <w:rFonts w:ascii="Times New Roman" w:cs="Times New Roman" w:eastAsia="Times New Roman" w:hAnsi="Times New Roman"/>
          <w:sz w:val="17"/>
          <w:szCs w:val="17"/>
          <w:color w:val="auto"/>
        </w:rPr>
        <w:t xml:space="preserve">, deliver to the Administrative Agent such documents, instruments, certificates or agreements as are listed on </w:t>
      </w:r>
      <w:r>
        <w:rPr>
          <w:rFonts w:ascii="Times New Roman" w:cs="Times New Roman" w:eastAsia="Times New Roman" w:hAnsi="Times New Roman"/>
          <w:sz w:val="17"/>
          <w:szCs w:val="17"/>
          <w:u w:val="single" w:color="auto"/>
          <w:color w:val="auto"/>
        </w:rPr>
        <w:t>Schedule 7.21</w:t>
      </w:r>
      <w:r>
        <w:rPr>
          <w:rFonts w:ascii="Times New Roman" w:cs="Times New Roman" w:eastAsia="Times New Roman" w:hAnsi="Times New Roman"/>
          <w:sz w:val="17"/>
          <w:szCs w:val="17"/>
          <w:color w:val="auto"/>
        </w:rPr>
        <w:t>, in each case in form and substance satisfactory to the Administrative Agent and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393"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NEGATIVE COVENANTS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Until the Facility Termination Date no Loan Party shall, nor shall it permit any Subsidiary to, directly or indirectly:</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8.01</w:t>
      </w:r>
      <w:r>
        <w:rPr>
          <w:sz w:val="20"/>
          <w:szCs w:val="20"/>
          <w:color w:val="auto"/>
        </w:rPr>
        <w:tab/>
      </w:r>
      <w:r>
        <w:rPr>
          <w:rFonts w:ascii="Times New Roman" w:cs="Times New Roman" w:eastAsia="Times New Roman" w:hAnsi="Times New Roman"/>
          <w:sz w:val="16"/>
          <w:szCs w:val="16"/>
          <w:color w:val="auto"/>
        </w:rPr>
        <w:t>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3517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19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Create, incur, assume or suffer to exist any Lien upon any of its property, assets or revenues, whether now owned or hereafter acquired, other than the following:</w:t>
      </w:r>
    </w:p>
    <w:p>
      <w:pPr>
        <w:spacing w:after="0" w:line="151" w:lineRule="exact"/>
        <w:rPr>
          <w:sz w:val="20"/>
          <w:szCs w:val="20"/>
          <w:color w:val="auto"/>
        </w:rPr>
      </w:pPr>
    </w:p>
    <w:p>
      <w:pPr>
        <w:ind w:left="1600" w:hanging="359"/>
        <w:spacing w:after="0"/>
        <w:tabs>
          <w:tab w:leader="none" w:pos="1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pursuant to any Loan Document;</w:t>
      </w:r>
    </w:p>
    <w:p>
      <w:pPr>
        <w:spacing w:after="0" w:line="217"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67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existing on the Closing Date and listed on </w:t>
      </w:r>
      <w:r>
        <w:rPr>
          <w:rFonts w:ascii="Times New Roman" w:cs="Times New Roman" w:eastAsia="Times New Roman" w:hAnsi="Times New Roman"/>
          <w:sz w:val="17"/>
          <w:szCs w:val="17"/>
          <w:u w:val="single" w:color="auto"/>
          <w:color w:val="auto"/>
        </w:rPr>
        <w:t>Schedule 8.01</w:t>
      </w:r>
      <w:r>
        <w:rPr>
          <w:rFonts w:ascii="Times New Roman" w:cs="Times New Roman" w:eastAsia="Times New Roman" w:hAnsi="Times New Roman"/>
          <w:sz w:val="17"/>
          <w:szCs w:val="17"/>
          <w:color w:val="auto"/>
        </w:rPr>
        <w:t xml:space="preserve"> and any renewals or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 the property covered thereby is not changed, (ii) the amount secured or benefited thereby is not increased except as contemplated by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(iii) the direct or any contingent obligor with respect thereto is not changed and (iv) any renewal or extension of the obligations secured or benefited thereby is a Permitted Refinancing permitted by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4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(other than Liens imposed under ERISA) for taxes, assessments or governmental charges or levies not yet delinquent or which are being contested in good faith and by appropriate proceedings diligently conducted, if adequate reserves with respect thereto are maintained on the books of the applicable Person in accordance with GAAP;</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66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respect of property imposed by requirements of Law, which were incurred in the ordinary course of business and do not secure Indebtedness for borrowed money, such as, without limitation, carriers’, warehousemen’s, materialmen’s, landlords’, workmen’s, suppliers’, repairmen’s and mechanics’ Liens and other similar Liens arising in the ordinary course of business that are securing obligations (i) not then due, (ii) if due, not yet overdue by more than thirty (30) days, (iii) that if overdue by more than thirty (30) days, are being contested in good faith by appropriate proceedings for which adequate reserves have been established in accordance with GAAP or (iv) with respect to which the failure to make payment could not, individually or in the aggregate, reasonably be expected to have a Material Adverse Effect;</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0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or deposits in the ordinary course of business in connection with workers’ compensation, unemployment insurance and other social security legislation, other than any Lien imposed by ERISA which has resulted or could reasonably be expected to result in liability, together with any other Lien imposed by ERISA, in an aggregate amount in excess of the Threshold Amount;</w:t>
      </w:r>
    </w:p>
    <w:p>
      <w:pPr>
        <w:spacing w:after="0" w:line="165" w:lineRule="exact"/>
        <w:rPr>
          <w:rFonts w:ascii="Times New Roman" w:cs="Times New Roman" w:eastAsia="Times New Roman" w:hAnsi="Times New Roman"/>
          <w:sz w:val="17"/>
          <w:szCs w:val="17"/>
          <w:color w:val="auto"/>
        </w:rPr>
      </w:pPr>
    </w:p>
    <w:p>
      <w:pPr>
        <w:ind w:left="620" w:right="340" w:firstLine="621"/>
        <w:spacing w:after="0" w:line="287" w:lineRule="auto"/>
        <w:tabs>
          <w:tab w:leader="none" w:pos="1582"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to secure the performance of bids, trade contracts and leases (other than Indebtedness), statutory obligations, surety and appeal bonds, indemnity and performance bonds and other obligations of a like nature incurred in the ordinary course of business;</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32"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rights-of-way, restrictions and other similar encumbrances and title deficiencies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65" w:lineRule="exact"/>
        <w:rPr>
          <w:rFonts w:ascii="Times New Roman" w:cs="Times New Roman" w:eastAsia="Times New Roman" w:hAnsi="Times New Roman"/>
          <w:sz w:val="17"/>
          <w:szCs w:val="17"/>
          <w:color w:val="auto"/>
        </w:rPr>
      </w:pPr>
    </w:p>
    <w:p>
      <w:pPr>
        <w:ind w:left="620" w:right="120" w:firstLine="621"/>
        <w:spacing w:after="0" w:line="287" w:lineRule="auto"/>
        <w:tabs>
          <w:tab w:leader="none" w:pos="161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17"/>
          <w:szCs w:val="17"/>
          <w:u w:val="single" w:color="auto"/>
          <w:color w:val="auto"/>
        </w:rPr>
        <w:t>Section 9.01(h)</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58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u w:val="single" w:color="auto"/>
          <w:color w:val="auto"/>
        </w:rPr>
        <w:t>Section 8.03(e)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such Liens do not at any time encumber any property other than the property financed by such Indebtedness, (ii) the Indebtedness secured thereby does not exceed the cost (negotiated on an arm’s length basis) or fair market value, whichever is lower, of the property being acquired on the date of acquisition and (iii) such Liens attach to such property concurrently with or within one hundred and eighty (180) days after the acquisition thereof;</w:t>
      </w:r>
    </w:p>
    <w:p>
      <w:pPr>
        <w:spacing w:after="0" w:line="171" w:lineRule="exact"/>
        <w:rPr>
          <w:rFonts w:ascii="Times New Roman" w:cs="Times New Roman" w:eastAsia="Times New Roman" w:hAnsi="Times New Roman"/>
          <w:sz w:val="17"/>
          <w:szCs w:val="17"/>
          <w:color w:val="auto"/>
        </w:rPr>
      </w:pPr>
    </w:p>
    <w:p>
      <w:pPr>
        <w:ind w:left="620" w:right="80" w:firstLine="621"/>
        <w:spacing w:after="0" w:line="287" w:lineRule="auto"/>
        <w:tabs>
          <w:tab w:leader="none" w:pos="157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licenses, sublicenses, leases or subleases (other than relating to Intellectual Property) granted to others in the ordinary course of business not interfering in any material respect with the business of any Loan Party or any Subsidiary and (ii) Permitted Licenses;</w:t>
      </w:r>
    </w:p>
    <w:p>
      <w:pPr>
        <w:spacing w:after="0" w:line="151" w:lineRule="exact"/>
        <w:rPr>
          <w:rFonts w:ascii="Times New Roman" w:cs="Times New Roman" w:eastAsia="Times New Roman" w:hAnsi="Times New Roman"/>
          <w:sz w:val="17"/>
          <w:szCs w:val="17"/>
          <w:color w:val="auto"/>
        </w:rPr>
      </w:pPr>
    </w:p>
    <w:p>
      <w:pPr>
        <w:ind w:left="620" w:right="600" w:firstLine="621"/>
        <w:spacing w:after="0" w:line="287" w:lineRule="auto"/>
        <w:tabs>
          <w:tab w:leader="none" w:pos="161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of title of a lessor under, and Liens arising from Uniform Commercial Code financing statements (or equivalent filings, registrations or agreements in foreign jurisdictions) relating to, leases permitted by this Agreement;</w:t>
      </w:r>
    </w:p>
    <w:p>
      <w:pPr>
        <w:spacing w:after="0" w:line="151" w:lineRule="exact"/>
        <w:rPr>
          <w:rFonts w:ascii="Times New Roman" w:cs="Times New Roman" w:eastAsia="Times New Roman" w:hAnsi="Times New Roman"/>
          <w:sz w:val="17"/>
          <w:szCs w:val="17"/>
          <w:color w:val="auto"/>
        </w:rPr>
      </w:pPr>
    </w:p>
    <w:p>
      <w:pPr>
        <w:ind w:left="620" w:right="120" w:firstLine="621"/>
        <w:spacing w:after="0" w:line="270" w:lineRule="auto"/>
        <w:tabs>
          <w:tab w:leader="none" w:pos="157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in the ordinary course of business by virtue of any contractual, statutory or common law provision relating to banker’s Liens, rights of set off or similar rights and remedies covering deposit or securities accounts (including funds or other assets credited thereto) or other funds maintained with a depository institution or securities intermediary, in each case incurred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10" w:name="page111"/>
    <w:bookmarkEnd w:id="110"/>
    <w:p>
      <w:pPr>
        <w:ind w:left="1040" w:hanging="419"/>
        <w:spacing w:after="0"/>
        <w:tabs>
          <w:tab w:leader="none" w:pos="10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a collection bank arising under Section 4-210 of the Uniform Commercial Code on items in the course of collection;</w:t>
      </w:r>
    </w:p>
    <w:p>
      <w:pPr>
        <w:spacing w:after="0" w:line="217" w:lineRule="exact"/>
        <w:rPr>
          <w:rFonts w:ascii="Times New Roman" w:cs="Times New Roman" w:eastAsia="Times New Roman" w:hAnsi="Times New Roman"/>
          <w:sz w:val="17"/>
          <w:szCs w:val="17"/>
          <w:color w:val="auto"/>
        </w:rPr>
      </w:pPr>
    </w:p>
    <w:p>
      <w:pPr>
        <w:jc w:val="both"/>
        <w:ind w:firstLine="621"/>
        <w:spacing w:after="0" w:line="264" w:lineRule="auto"/>
        <w:tabs>
          <w:tab w:leader="none" w:pos="99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of sellers of goods to the Borrower and any of its Subsidiaries arising under Article 2 of the Uniform Commercial Code or similar provisions of applicable law in the ordinary course of business, covering only the goods sold and securing only the unpaid purchase price for such goods and related expenses and (ii) the filing of UCC financing statements solely as a precautionary measure in connection with operating leases or consignment of goods;</w:t>
      </w:r>
    </w:p>
    <w:p>
      <w:pPr>
        <w:spacing w:after="0" w:line="171" w:lineRule="exact"/>
        <w:rPr>
          <w:rFonts w:ascii="Times New Roman" w:cs="Times New Roman" w:eastAsia="Times New Roman" w:hAnsi="Times New Roman"/>
          <w:sz w:val="17"/>
          <w:szCs w:val="17"/>
          <w:color w:val="auto"/>
        </w:rPr>
      </w:pPr>
    </w:p>
    <w:p>
      <w:pPr>
        <w:ind w:right="540" w:firstLine="621"/>
        <w:spacing w:after="0" w:line="287" w:lineRule="auto"/>
        <w:tabs>
          <w:tab w:leader="none" w:pos="99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customs and revenue authorities arising as a matter of law, in the ordinary course of business, to secure payment of customs duties in connection with the importation of goods;</w:t>
      </w:r>
    </w:p>
    <w:p>
      <w:pPr>
        <w:spacing w:after="0" w:line="151" w:lineRule="exact"/>
        <w:rPr>
          <w:rFonts w:ascii="Times New Roman" w:cs="Times New Roman" w:eastAsia="Times New Roman" w:hAnsi="Times New Roman"/>
          <w:sz w:val="17"/>
          <w:szCs w:val="17"/>
          <w:color w:val="auto"/>
        </w:rPr>
      </w:pPr>
    </w:p>
    <w:p>
      <w:pPr>
        <w:ind w:right="60" w:firstLine="621"/>
        <w:spacing w:after="0" w:line="287" w:lineRule="auto"/>
        <w:tabs>
          <w:tab w:leader="none" w:pos="99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liability for reimbursement or indemnification obligations of the Borrower or any Subsidiary to insurance carriers providing insurance to the Borrower or any Subsidiary arising by virtue of deposits made in the ordinary course of business;</w:t>
      </w:r>
    </w:p>
    <w:p>
      <w:pPr>
        <w:spacing w:after="0" w:line="151" w:lineRule="exact"/>
        <w:rPr>
          <w:rFonts w:ascii="Times New Roman" w:cs="Times New Roman" w:eastAsia="Times New Roman" w:hAnsi="Times New Roman"/>
          <w:sz w:val="17"/>
          <w:szCs w:val="17"/>
          <w:color w:val="auto"/>
        </w:rPr>
      </w:pPr>
    </w:p>
    <w:p>
      <w:pPr>
        <w:jc w:val="both"/>
        <w:ind w:right="160" w:firstLine="621"/>
        <w:spacing w:after="0" w:line="270" w:lineRule="auto"/>
        <w:tabs>
          <w:tab w:leader="none" w:pos="99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pursuant to </w:t>
      </w:r>
      <w:r>
        <w:rPr>
          <w:rFonts w:ascii="Times New Roman" w:cs="Times New Roman" w:eastAsia="Times New Roman" w:hAnsi="Times New Roman"/>
          <w:sz w:val="17"/>
          <w:szCs w:val="17"/>
          <w:u w:val="single" w:color="auto"/>
          <w:color w:val="auto"/>
        </w:rPr>
        <w:t>Section 8.03(i)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such Liens are not incurred in connection with, or in contemplation or anticipation of, the applicable Permitted Acquisition and do not attach to any other asset of the Borrower or any Subsidiary (other than improvements thereon) and (ii) such Liens secure only those obligations secured on the date of the applicable Permitted Acquisition;</w:t>
      </w:r>
    </w:p>
    <w:p>
      <w:pPr>
        <w:spacing w:after="0" w:line="165" w:lineRule="exact"/>
        <w:rPr>
          <w:rFonts w:ascii="Times New Roman" w:cs="Times New Roman" w:eastAsia="Times New Roman" w:hAnsi="Times New Roman"/>
          <w:sz w:val="17"/>
          <w:szCs w:val="17"/>
          <w:color w:val="auto"/>
        </w:rPr>
      </w:pPr>
    </w:p>
    <w:p>
      <w:pPr>
        <w:ind w:right="160" w:firstLine="621"/>
        <w:spacing w:after="0" w:line="287" w:lineRule="auto"/>
        <w:tabs>
          <w:tab w:leader="none" w:pos="962"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solely on any cash earnest money deposits made by the Borrower or any of its Subsidiaries in connection with any letter of intent or purchase agreement permitted hereunder;</w:t>
      </w:r>
    </w:p>
    <w:p>
      <w:pPr>
        <w:spacing w:after="0" w:line="151" w:lineRule="exact"/>
        <w:rPr>
          <w:rFonts w:ascii="Times New Roman" w:cs="Times New Roman" w:eastAsia="Times New Roman" w:hAnsi="Times New Roman"/>
          <w:sz w:val="17"/>
          <w:szCs w:val="17"/>
          <w:color w:val="auto"/>
        </w:rPr>
      </w:pPr>
    </w:p>
    <w:p>
      <w:pPr>
        <w:ind w:right="80" w:firstLine="621"/>
        <w:spacing w:after="0" w:line="287" w:lineRule="auto"/>
        <w:tabs>
          <w:tab w:leader="none" w:pos="972"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that are contractual rights of setoff relating to purchase orders entered into with customers, vendors or suppliers of such Person in the ordinary course of business;</w:t>
      </w:r>
    </w:p>
    <w:p>
      <w:pPr>
        <w:spacing w:after="0" w:line="151" w:lineRule="exact"/>
        <w:rPr>
          <w:rFonts w:ascii="Times New Roman" w:cs="Times New Roman" w:eastAsia="Times New Roman" w:hAnsi="Times New Roman"/>
          <w:sz w:val="17"/>
          <w:szCs w:val="17"/>
          <w:color w:val="auto"/>
        </w:rPr>
      </w:pPr>
    </w:p>
    <w:p>
      <w:pPr>
        <w:ind w:left="960" w:hanging="339"/>
        <w:spacing w:after="0"/>
        <w:tabs>
          <w:tab w:leader="none" w:pos="9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zoning or similar law or right reserved to or vested in any governmental office or agency to control or regulate the use of any real</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w:t>
      </w:r>
    </w:p>
    <w:p>
      <w:pPr>
        <w:spacing w:after="0" w:line="200"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cash deposits securing Indebtedness permitted under </w:t>
      </w:r>
      <w:r>
        <w:rPr>
          <w:rFonts w:ascii="Times New Roman" w:cs="Times New Roman" w:eastAsia="Times New Roman" w:hAnsi="Times New Roman"/>
          <w:sz w:val="17"/>
          <w:szCs w:val="17"/>
          <w:u w:val="single" w:color="auto"/>
          <w:color w:val="auto"/>
        </w:rPr>
        <w:t>Sections 8.03(g)(iii)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8.03(h)</w:t>
      </w:r>
      <w:r>
        <w:rPr>
          <w:rFonts w:ascii="Times New Roman" w:cs="Times New Roman" w:eastAsia="Times New Roman" w:hAnsi="Times New Roman"/>
          <w:sz w:val="17"/>
          <w:szCs w:val="17"/>
          <w:color w:val="auto"/>
        </w:rPr>
        <w:t>; and</w:t>
      </w:r>
    </w:p>
    <w:p>
      <w:pPr>
        <w:spacing w:after="0" w:line="217"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Liens securing other obligations permitted hereunder in an aggregate amount at any time outstanding not to exceed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361315</wp:posOffset>
            </wp:positionV>
            <wp:extent cx="713867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111" w:name="page112"/>
    <w:bookmarkEnd w:id="111"/>
    <w:p>
      <w:pPr>
        <w:spacing w:after="0"/>
        <w:tabs>
          <w:tab w:leader="none" w:pos="460" w:val="left"/>
        </w:tabs>
        <w:rPr>
          <w:sz w:val="20"/>
          <w:szCs w:val="20"/>
          <w:color w:val="auto"/>
        </w:rPr>
      </w:pPr>
      <w:r>
        <w:rPr>
          <w:rFonts w:ascii="Times New Roman" w:cs="Times New Roman" w:eastAsia="Times New Roman" w:hAnsi="Times New Roman"/>
          <w:sz w:val="17"/>
          <w:szCs w:val="17"/>
          <w:color w:val="auto"/>
        </w:rPr>
        <w:t>8.02</w:t>
      </w:r>
      <w:r>
        <w:rPr>
          <w:sz w:val="20"/>
          <w:szCs w:val="20"/>
          <w:color w:val="auto"/>
        </w:rPr>
        <w:tab/>
      </w:r>
      <w:r>
        <w:rPr>
          <w:rFonts w:ascii="Times New Roman" w:cs="Times New Roman" w:eastAsia="Times New Roman" w:hAnsi="Times New Roman"/>
          <w:sz w:val="16"/>
          <w:szCs w:val="16"/>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6362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Make any Investments, except:</w:t>
      </w:r>
    </w:p>
    <w:p>
      <w:pPr>
        <w:spacing w:after="0" w:line="217" w:lineRule="exact"/>
        <w:rPr>
          <w:sz w:val="20"/>
          <w:szCs w:val="20"/>
          <w:color w:val="auto"/>
        </w:rPr>
      </w:pPr>
    </w:p>
    <w:p>
      <w:pPr>
        <w:ind w:left="980" w:hanging="359"/>
        <w:spacing w:after="0"/>
        <w:tabs>
          <w:tab w:leader="none" w:pos="9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held by the Borrower or any Subsidiary in the form of cash or Cash Equivalents;</w:t>
      </w:r>
    </w:p>
    <w:p>
      <w:pPr>
        <w:spacing w:after="0" w:line="217"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existing as of the Closing Date and set forth in </w:t>
      </w:r>
      <w:r>
        <w:rPr>
          <w:rFonts w:ascii="Times New Roman" w:cs="Times New Roman" w:eastAsia="Times New Roman" w:hAnsi="Times New Roman"/>
          <w:sz w:val="17"/>
          <w:szCs w:val="17"/>
          <w:u w:val="single" w:color="auto"/>
          <w:color w:val="auto"/>
        </w:rPr>
        <w:t>Schedule 8.02</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621"/>
        <w:spacing w:after="0" w:line="261" w:lineRule="auto"/>
        <w:tabs>
          <w:tab w:leader="none" w:pos="109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Investments by the Borrower and its Subsidiaries consisting of the ownership of Equity Interests in their respective Subsidiaries outstanding on the Closing Date; (ii) Investments in any Person that is a Loan Party (other than a Danish Loan Party), (iii) Investments by Loan Parties in Danish Loan Parties in an aggregate amount not to exceed $2,000,000 at any one time outstanding, (iv) Investments by any Subsidiary that is not a Loan Party in (A) any other Subsidiary that is not a Loan Party or (B) any Danish Loan Party, and (v) Investments by Loan Parties in Subsidiaries that are not Loan Parties, in an aggregate amount not to exceed $2,000,000 at any one time outstanding;</w:t>
      </w:r>
    </w:p>
    <w:p>
      <w:pPr>
        <w:spacing w:after="0" w:line="174"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Acquisitions;</w:t>
      </w:r>
    </w:p>
    <w:p>
      <w:pPr>
        <w:spacing w:after="0" w:line="217" w:lineRule="exact"/>
        <w:rPr>
          <w:rFonts w:ascii="Times New Roman" w:cs="Times New Roman" w:eastAsia="Times New Roman" w:hAnsi="Times New Roman"/>
          <w:sz w:val="17"/>
          <w:szCs w:val="17"/>
          <w:color w:val="auto"/>
        </w:rPr>
      </w:pPr>
    </w:p>
    <w:p>
      <w:pPr>
        <w:jc w:val="both"/>
        <w:ind w:firstLine="621"/>
        <w:spacing w:after="0" w:line="270" w:lineRule="auto"/>
        <w:tabs>
          <w:tab w:leader="none" w:pos="1002"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65" w:lineRule="exact"/>
        <w:rPr>
          <w:rFonts w:ascii="Times New Roman" w:cs="Times New Roman" w:eastAsia="Times New Roman" w:hAnsi="Times New Roman"/>
          <w:sz w:val="17"/>
          <w:szCs w:val="17"/>
          <w:color w:val="auto"/>
        </w:rPr>
      </w:pPr>
    </w:p>
    <w:p>
      <w:pPr>
        <w:jc w:val="both"/>
        <w:ind w:firstLine="621"/>
        <w:spacing w:after="0" w:line="264" w:lineRule="auto"/>
        <w:tabs>
          <w:tab w:leader="none" w:pos="98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(i) travel advances and employee relocation loans and other employee loans and advances in the ordinary course of business and (ii) loans to employees, officers or directors relating to the purchase of Qualified Capital Stock of the Borrower pursuant to employee stock purchase plans approved by the Borrower’s Board of Directors, in an aggregate amount for all such Investments made in reliance of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not to exceed $500,000 at any one time outstanding;</w:t>
      </w:r>
    </w:p>
    <w:p>
      <w:pPr>
        <w:spacing w:after="0" w:line="171" w:lineRule="exact"/>
        <w:rPr>
          <w:rFonts w:ascii="Times New Roman" w:cs="Times New Roman" w:eastAsia="Times New Roman" w:hAnsi="Times New Roman"/>
          <w:sz w:val="17"/>
          <w:szCs w:val="17"/>
          <w:color w:val="auto"/>
        </w:rPr>
      </w:pPr>
    </w:p>
    <w:p>
      <w:pPr>
        <w:jc w:val="both"/>
        <w:ind w:firstLine="621"/>
        <w:spacing w:after="0" w:line="264" w:lineRule="auto"/>
        <w:tabs>
          <w:tab w:leader="none" w:pos="103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(i) obligations of any Loan Party or any Subsidiary under Swap Contracts permitted under </w:t>
      </w:r>
      <w:r>
        <w:rPr>
          <w:rFonts w:ascii="Times New Roman" w:cs="Times New Roman" w:eastAsia="Times New Roman" w:hAnsi="Times New Roman"/>
          <w:sz w:val="17"/>
          <w:szCs w:val="17"/>
          <w:u w:val="single" w:color="auto"/>
          <w:color w:val="auto"/>
        </w:rPr>
        <w:t>Section 8.03(d)</w:t>
      </w:r>
      <w:r>
        <w:rPr>
          <w:rFonts w:ascii="Times New Roman" w:cs="Times New Roman" w:eastAsia="Times New Roman" w:hAnsi="Times New Roman"/>
          <w:sz w:val="17"/>
          <w:szCs w:val="17"/>
          <w:color w:val="auto"/>
        </w:rPr>
        <w:t xml:space="preserve"> that are incurred for non-speculative purposes in the ordinary course of business, (ii) negotiable instruments held for collection in the ordinary course of business, (ii) lease, utility and other similar deposits in the ordinary course of business or (iii) Restricted Payments permitted by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(other than by reference to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(or any sub-clause hereof));</w:t>
      </w:r>
    </w:p>
    <w:p>
      <w:pPr>
        <w:spacing w:after="0" w:line="171" w:lineRule="exact"/>
        <w:rPr>
          <w:rFonts w:ascii="Times New Roman" w:cs="Times New Roman" w:eastAsia="Times New Roman" w:hAnsi="Times New Roman"/>
          <w:sz w:val="17"/>
          <w:szCs w:val="17"/>
          <w:color w:val="auto"/>
        </w:rPr>
      </w:pPr>
    </w:p>
    <w:p>
      <w:pPr>
        <w:ind w:right="360" w:firstLine="621"/>
        <w:spacing w:after="0" w:line="287" w:lineRule="auto"/>
        <w:tabs>
          <w:tab w:leader="none" w:pos="99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51" w:lineRule="exact"/>
        <w:rPr>
          <w:rFonts w:ascii="Times New Roman" w:cs="Times New Roman" w:eastAsia="Times New Roman" w:hAnsi="Times New Roman"/>
          <w:sz w:val="17"/>
          <w:szCs w:val="17"/>
          <w:color w:val="auto"/>
        </w:rPr>
      </w:pPr>
    </w:p>
    <w:p>
      <w:pPr>
        <w:ind w:right="200" w:firstLine="621"/>
        <w:spacing w:after="0" w:line="287" w:lineRule="auto"/>
        <w:tabs>
          <w:tab w:leader="none" w:pos="9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promissory notes and other non-cash consideration that is permitted to be received in connection with Permitted Transfers or Dispositions permitted by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621"/>
        <w:spacing w:after="0" w:line="264" w:lineRule="auto"/>
        <w:tabs>
          <w:tab w:leader="none" w:pos="10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joint ventures or strategic alliances in the ordinary course of the Borrower’s business consisting of the licensing or development of technology (it being understood that for purposes of this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no Material Product or any Intellectual Property associated therewith shall be considered “technology” (unless such license is a Permitted License)) or the providing of technological support;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cash Investments made by the Borrower and its Subsidiaries pursuant to this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do not exceed $2,000,000 in the aggregate at any one time outstanding;</w:t>
      </w:r>
    </w:p>
    <w:p>
      <w:pPr>
        <w:spacing w:after="0" w:line="171" w:lineRule="exact"/>
        <w:rPr>
          <w:rFonts w:ascii="Times New Roman" w:cs="Times New Roman" w:eastAsia="Times New Roman" w:hAnsi="Times New Roman"/>
          <w:sz w:val="17"/>
          <w:szCs w:val="17"/>
          <w:color w:val="auto"/>
        </w:rPr>
      </w:pPr>
    </w:p>
    <w:p>
      <w:pPr>
        <w:ind w:right="260" w:firstLine="621"/>
        <w:spacing w:after="0" w:line="287" w:lineRule="auto"/>
        <w:tabs>
          <w:tab w:leader="none" w:pos="99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Investments, advances in respect of transfer pricing, cost-sharing arrangements (i.e., “cost-plus” arrangements) and associated “true-up” payments that are in the ordinary course of business;</w:t>
      </w:r>
    </w:p>
    <w:p>
      <w:pPr>
        <w:spacing w:after="0" w:line="151" w:lineRule="exact"/>
        <w:rPr>
          <w:rFonts w:ascii="Times New Roman" w:cs="Times New Roman" w:eastAsia="Times New Roman" w:hAnsi="Times New Roman"/>
          <w:sz w:val="17"/>
          <w:szCs w:val="17"/>
          <w:color w:val="auto"/>
        </w:rPr>
      </w:pPr>
    </w:p>
    <w:p>
      <w:pPr>
        <w:ind w:right="100" w:firstLine="621"/>
        <w:spacing w:after="0" w:line="287" w:lineRule="auto"/>
        <w:tabs>
          <w:tab w:leader="none" w:pos="9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Investments, Investments in the form of Permitted Bond Hedge Transactions and Permitted Warrant Transactions, in each case, entered into in connection with Permitted Convertible Bond Indebtedness; and</w:t>
      </w:r>
    </w:p>
    <w:p>
      <w:pPr>
        <w:spacing w:after="0" w:line="151"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not exceeding $5,000,000 in the aggregate at any one time outstanding.</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Agreement or any other Loan Document, in no event shall any Loan Party (x) Dispose of any Material Product (or any Intellectual Property associated therewith), any royalty (or any portion thereof) pursuant to the Azstarys License Agreement or any Material Intellectual Property, in each case, to (A) any Person that is not a Loan Party or (B) any Danish Loan Party or (y) contribute or otherwise invest any Material Product (or any Intellectual Property associated therewith), any royalty (or any portion thereof) pursuant to the Azstarys License Agreement or any Material Intellectual Property, in each case, to (A) any Person that is not a Loan Party or (B) any Danish Loan Party (in each case of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other than pursuant to a Permitted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333375</wp:posOffset>
            </wp:positionV>
            <wp:extent cx="713867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112" w:name="page113"/>
    <w:bookmarkEnd w:id="112"/>
    <w:p>
      <w:pPr>
        <w:spacing w:after="0"/>
        <w:tabs>
          <w:tab w:leader="none" w:pos="460" w:val="left"/>
        </w:tabs>
        <w:rPr>
          <w:sz w:val="20"/>
          <w:szCs w:val="20"/>
          <w:color w:val="auto"/>
        </w:rPr>
      </w:pPr>
      <w:r>
        <w:rPr>
          <w:rFonts w:ascii="Times New Roman" w:cs="Times New Roman" w:eastAsia="Times New Roman" w:hAnsi="Times New Roman"/>
          <w:sz w:val="17"/>
          <w:szCs w:val="17"/>
          <w:color w:val="auto"/>
        </w:rPr>
        <w:t>8.03</w:t>
        <w:tab/>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6788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Create, incur, assume or suffer to exist any Indebtedness, except:</w:t>
      </w:r>
    </w:p>
    <w:p>
      <w:pPr>
        <w:spacing w:after="0" w:line="217" w:lineRule="exact"/>
        <w:rPr>
          <w:sz w:val="20"/>
          <w:szCs w:val="20"/>
          <w:color w:val="auto"/>
        </w:rPr>
      </w:pPr>
    </w:p>
    <w:p>
      <w:pPr>
        <w:ind w:left="980" w:hanging="359"/>
        <w:spacing w:after="0"/>
        <w:tabs>
          <w:tab w:leader="none" w:pos="9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under the Loan Documents;</w:t>
      </w:r>
    </w:p>
    <w:p>
      <w:pPr>
        <w:spacing w:after="0" w:line="217" w:lineRule="exact"/>
        <w:rPr>
          <w:rFonts w:ascii="Times New Roman" w:cs="Times New Roman" w:eastAsia="Times New Roman" w:hAnsi="Times New Roman"/>
          <w:sz w:val="17"/>
          <w:szCs w:val="17"/>
          <w:color w:val="auto"/>
        </w:rPr>
      </w:pPr>
    </w:p>
    <w:p>
      <w:pPr>
        <w:ind w:right="640" w:firstLine="621"/>
        <w:spacing w:after="0" w:line="287" w:lineRule="auto"/>
        <w:tabs>
          <w:tab w:leader="none" w:pos="99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Borrower and its Subsidiaries existing on the Closing Date and described on </w:t>
      </w:r>
      <w:r>
        <w:rPr>
          <w:rFonts w:ascii="Times New Roman" w:cs="Times New Roman" w:eastAsia="Times New Roman" w:hAnsi="Times New Roman"/>
          <w:sz w:val="17"/>
          <w:szCs w:val="17"/>
          <w:u w:val="single" w:color="auto"/>
          <w:color w:val="auto"/>
        </w:rPr>
        <w:t>Schedule 8.03</w:t>
      </w:r>
      <w:r>
        <w:rPr>
          <w:rFonts w:ascii="Times New Roman" w:cs="Times New Roman" w:eastAsia="Times New Roman" w:hAnsi="Times New Roman"/>
          <w:sz w:val="17"/>
          <w:szCs w:val="17"/>
          <w:color w:val="auto"/>
        </w:rPr>
        <w:t xml:space="preserve"> (and any Permitted Refinancing thereof);</w:t>
      </w:r>
    </w:p>
    <w:p>
      <w:pPr>
        <w:spacing w:after="0" w:line="151" w:lineRule="exact"/>
        <w:rPr>
          <w:rFonts w:ascii="Times New Roman" w:cs="Times New Roman" w:eastAsia="Times New Roman" w:hAnsi="Times New Roman"/>
          <w:sz w:val="17"/>
          <w:szCs w:val="17"/>
          <w:color w:val="auto"/>
        </w:rPr>
      </w:pPr>
    </w:p>
    <w:p>
      <w:pPr>
        <w:ind w:left="980" w:hanging="359"/>
        <w:spacing w:after="0"/>
        <w:tabs>
          <w:tab w:leader="none" w:pos="9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intercompany Indebtedness permitted under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(other than by reference to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(or any sub-clause hereof));</w:t>
      </w:r>
    </w:p>
    <w:p>
      <w:pPr>
        <w:spacing w:after="0" w:line="217" w:lineRule="exact"/>
        <w:rPr>
          <w:rFonts w:ascii="Times New Roman" w:cs="Times New Roman" w:eastAsia="Times New Roman" w:hAnsi="Times New Roman"/>
          <w:sz w:val="17"/>
          <w:szCs w:val="17"/>
          <w:color w:val="auto"/>
        </w:rPr>
      </w:pPr>
    </w:p>
    <w:p>
      <w:pPr>
        <w:jc w:val="both"/>
        <w:ind w:firstLine="621"/>
        <w:spacing w:after="0" w:line="261" w:lineRule="auto"/>
        <w:tabs>
          <w:tab w:leader="none" w:pos="104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obligations (contingent or otherwise) of the Borrower or any Subsidiary existing or arising under any Swap Contract;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74" w:lineRule="exact"/>
        <w:rPr>
          <w:rFonts w:ascii="Times New Roman" w:cs="Times New Roman" w:eastAsia="Times New Roman" w:hAnsi="Times New Roman"/>
          <w:sz w:val="17"/>
          <w:szCs w:val="17"/>
          <w:color w:val="auto"/>
        </w:rPr>
      </w:pPr>
    </w:p>
    <w:p>
      <w:pPr>
        <w:jc w:val="both"/>
        <w:ind w:firstLine="621"/>
        <w:spacing w:after="0" w:line="261" w:lineRule="auto"/>
        <w:tabs>
          <w:tab w:leader="none" w:pos="98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 money Indebtedness (including obligations in respect of Capital Leases or Synthetic Leases) hereafter incurred by the Borrower or any Subsidiary to finance the purchase of fixed assets, and renewals, refinancings and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the total of all such Indebtedness for all such Persons taken together shall not exceed an aggregate principal amount of $2,500,000 at any one time outstanding,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174" w:lineRule="exact"/>
        <w:rPr>
          <w:rFonts w:ascii="Times New Roman" w:cs="Times New Roman" w:eastAsia="Times New Roman" w:hAnsi="Times New Roman"/>
          <w:sz w:val="17"/>
          <w:szCs w:val="17"/>
          <w:color w:val="auto"/>
        </w:rPr>
      </w:pPr>
    </w:p>
    <w:p>
      <w:pPr>
        <w:ind w:left="960" w:hanging="339"/>
        <w:spacing w:after="0"/>
        <w:tabs>
          <w:tab w:leader="none" w:pos="9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Guarantees permitted by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(other than by reference to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(or any sub-clause hereof));</w:t>
      </w:r>
    </w:p>
    <w:p>
      <w:pPr>
        <w:spacing w:after="0" w:line="217" w:lineRule="exact"/>
        <w:rPr>
          <w:rFonts w:ascii="Times New Roman" w:cs="Times New Roman" w:eastAsia="Times New Roman" w:hAnsi="Times New Roman"/>
          <w:sz w:val="17"/>
          <w:szCs w:val="17"/>
          <w:color w:val="auto"/>
        </w:rPr>
      </w:pPr>
    </w:p>
    <w:p>
      <w:pPr>
        <w:jc w:val="both"/>
        <w:ind w:firstLine="621"/>
        <w:spacing w:after="0" w:line="260" w:lineRule="auto"/>
        <w:tabs>
          <w:tab w:leader="none" w:pos="105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 respect of (i) surety and appeal bonds, performance bonds, bid bonds, appeal bonds, completion guarantees and similar obligations, (ii) customary indemnification obligations to purchasers in connection with Dispositions permitted by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and (iii) letters of credit (including reimbursement obligations thereunder) issued in the ordinary course of business with respect to the leasing of real property, construction-related activities or other business transactions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aggregate outstanding amount of such letters of credit incurred pursuant to this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plus the aggregate outstanding amount of Indebtedness incurred in reliance on </w:t>
      </w:r>
      <w:r>
        <w:rPr>
          <w:rFonts w:ascii="Times New Roman" w:cs="Times New Roman" w:eastAsia="Times New Roman" w:hAnsi="Times New Roman"/>
          <w:sz w:val="17"/>
          <w:szCs w:val="17"/>
          <w:u w:val="single" w:color="auto"/>
          <w:color w:val="auto"/>
        </w:rPr>
        <w:t>Section 8.03(h)</w:t>
      </w:r>
      <w:r>
        <w:rPr>
          <w:rFonts w:ascii="Times New Roman" w:cs="Times New Roman" w:eastAsia="Times New Roman" w:hAnsi="Times New Roman"/>
          <w:sz w:val="17"/>
          <w:szCs w:val="17"/>
          <w:color w:val="auto"/>
        </w:rPr>
        <w:t>, shall not exceed $4,000,000 at any time outstanding;</w:t>
      </w:r>
    </w:p>
    <w:p>
      <w:pPr>
        <w:spacing w:after="0" w:line="173" w:lineRule="exact"/>
        <w:rPr>
          <w:rFonts w:ascii="Times New Roman" w:cs="Times New Roman" w:eastAsia="Times New Roman" w:hAnsi="Times New Roman"/>
          <w:sz w:val="17"/>
          <w:szCs w:val="17"/>
          <w:color w:val="auto"/>
        </w:rPr>
      </w:pPr>
    </w:p>
    <w:p>
      <w:pPr>
        <w:ind w:right="20" w:firstLine="621"/>
        <w:spacing w:after="0" w:line="261" w:lineRule="auto"/>
        <w:tabs>
          <w:tab w:leader="none" w:pos="99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incurred in the ordinary course of business in respect of credit cards, credit processing services, debit cards, stored value cards and purchase cards (including so-called “procurement cards” or “P-cards”) or other cash management services or any automated clearing house transfers of funds, netting services, overdraft protections and otherwise in connection with deposit, securities, and commodities accounts arising in the ordinary course of business and not constituting Indebtedness for borrowed money;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aggregate outstanding amount of such Indebtedness, plus the aggregate outstanding amount of Indebtedness, incurred in reliance on </w:t>
      </w:r>
      <w:r>
        <w:rPr>
          <w:rFonts w:ascii="Times New Roman" w:cs="Times New Roman" w:eastAsia="Times New Roman" w:hAnsi="Times New Roman"/>
          <w:sz w:val="17"/>
          <w:szCs w:val="17"/>
          <w:u w:val="single" w:color="auto"/>
          <w:color w:val="auto"/>
        </w:rPr>
        <w:t>Section 8.03(g)(iii)</w:t>
      </w:r>
      <w:r>
        <w:rPr>
          <w:rFonts w:ascii="Times New Roman" w:cs="Times New Roman" w:eastAsia="Times New Roman" w:hAnsi="Times New Roman"/>
          <w:sz w:val="17"/>
          <w:szCs w:val="17"/>
          <w:color w:val="auto"/>
        </w:rPr>
        <w:t>, shall not exceed $4,000,000 at any one time outstanding;</w:t>
      </w:r>
    </w:p>
    <w:p>
      <w:pPr>
        <w:spacing w:after="0" w:line="174" w:lineRule="exact"/>
        <w:rPr>
          <w:rFonts w:ascii="Times New Roman" w:cs="Times New Roman" w:eastAsia="Times New Roman" w:hAnsi="Times New Roman"/>
          <w:sz w:val="17"/>
          <w:szCs w:val="17"/>
          <w:color w:val="auto"/>
        </w:rPr>
      </w:pPr>
    </w:p>
    <w:p>
      <w:pPr>
        <w:jc w:val="both"/>
        <w:ind w:firstLine="621"/>
        <w:spacing w:after="0" w:line="261" w:lineRule="auto"/>
        <w:tabs>
          <w:tab w:leader="none" w:pos="101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a Subsidiary acquired pursuant to a Permitted Acquisition (or Indebtedness assumed by the Borrower or any Subsidiary pursuant to a Permitted Acquisition as a result of (i) a merger or consolidation or (ii) the acquisition of an asset securing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 such Indebtedness was not incurred in connection with, or in anticipation or contemplation of, such Permitted Acquisition and such Indebtedness existed immediately prior to such Permitted Acquisition and (B) the aggregate outstanding amount of all such Indebtedness shall not exceed $2,500,000 at any one time outstanding;</w:t>
      </w:r>
    </w:p>
    <w:p>
      <w:pPr>
        <w:spacing w:after="0" w:line="174" w:lineRule="exact"/>
        <w:rPr>
          <w:rFonts w:ascii="Times New Roman" w:cs="Times New Roman" w:eastAsia="Times New Roman" w:hAnsi="Times New Roman"/>
          <w:sz w:val="17"/>
          <w:szCs w:val="17"/>
          <w:color w:val="auto"/>
        </w:rPr>
      </w:pPr>
    </w:p>
    <w:p>
      <w:pPr>
        <w:ind w:right="20" w:firstLine="621"/>
        <w:spacing w:after="0" w:line="270" w:lineRule="auto"/>
        <w:tabs>
          <w:tab w:leader="none" w:pos="95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65"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Convertible Bond Indebtedness (and any Permitted Refinancings thereof); and</w:t>
      </w:r>
    </w:p>
    <w:p>
      <w:pPr>
        <w:spacing w:after="0" w:line="217" w:lineRule="exact"/>
        <w:rPr>
          <w:rFonts w:ascii="Times New Roman" w:cs="Times New Roman" w:eastAsia="Times New Roman" w:hAnsi="Times New Roman"/>
          <w:sz w:val="17"/>
          <w:szCs w:val="17"/>
          <w:color w:val="auto"/>
        </w:rPr>
      </w:pPr>
    </w:p>
    <w:p>
      <w:pPr>
        <w:ind w:right="480" w:firstLine="621"/>
        <w:spacing w:after="0" w:line="287" w:lineRule="auto"/>
        <w:tabs>
          <w:tab w:leader="none" w:pos="95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unsecured Indebtedness not otherwise permitted by the foregoing clauses of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in an aggregate principal amount not to exceed $2,500,000 at any one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319405</wp:posOffset>
            </wp:positionV>
            <wp:extent cx="7138670"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113" w:name="page114"/>
    <w:bookmarkEnd w:id="113"/>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8.04</w:t>
        <w:tab/>
        <w:t>Fundamental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820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notwithstanding the foregoing provisions of this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but subject to the terms of </w:t>
      </w:r>
      <w:r>
        <w:rPr>
          <w:rFonts w:ascii="Times New Roman" w:cs="Times New Roman" w:eastAsia="Times New Roman" w:hAnsi="Times New Roman"/>
          <w:sz w:val="17"/>
          <w:szCs w:val="17"/>
          <w:u w:val="single" w:color="auto"/>
          <w:color w:val="auto"/>
        </w:rPr>
        <w:t>Sections 7.12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7.14</w:t>
      </w:r>
      <w:r>
        <w:rPr>
          <w:rFonts w:ascii="Times New Roman" w:cs="Times New Roman" w:eastAsia="Times New Roman" w:hAnsi="Times New Roman"/>
          <w:sz w:val="17"/>
          <w:szCs w:val="17"/>
          <w:color w:val="auto"/>
        </w:rPr>
        <w:t xml:space="preserve">, (a) the Borrower may merge or consolidate with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Borrower shall be the continuing or surviving corporation, (b) any Loan Party (other than the Borrower or any Danish Loan Party) may merge or consolidate with any other Loan Party (other than the Borrower or any Danish Loan Party), (c) any Danish Loan Party may be merged or consolidated with or into any Loan Party that is not a Danish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Loan Party that is not a Danish Loan Party shall be the continuing or surviving corporation, (d) any Subsidiary that is not a Loan Party may be merged or consolidated with or into any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Loan Party shall be the continuing or surviving corporation, (e) any Subsidiary that is not a Loan Party may be merged or consolidated with or into any other Subsidiary that is not a Loan Party and (f) any Subsidiary may dissolve, liquidate or wind up its affairs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dissolution, liquidation or winding up could not reasonably be expected to have a Material Adverse Effect and all of its assets and business are transferred to a Loan Party prior to or concurrently with such dissolution, liquidation or winding up.</w:t>
      </w:r>
    </w:p>
    <w:p>
      <w:pPr>
        <w:spacing w:after="0" w:line="39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8.05</w:t>
        <w:tab/>
        <w:t>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6546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Make any Disposition unless (a) the consideration paid in connection therewith shall be cash or Cash Equivalents paid contemporaneous with consummation of the transaction and shall be in an amount not less than the fair market value of the property disposed of, (b) no Event of Default shall have occurred and be continuing both immediately prior to and after giving effect to such Disposition, (c) such transaction does not involve the sale or other disposition of a minority equity interest in any Subsidiary, and (d) the aggregate fair market value of all of the assets sold or otherwise disposed of in such Disposition together with the aggregate fair market value of all assets sold or otherwise disposed of by the Borrower and its Subsidiaries in all such transactions occurring during the term of this Agreement does not exceed $1,000,000 in a fiscal year.</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Agreement or any other Loan Document, in no event shall any Loan Party (x) Dispose of any Material Product (or any Intellectual Property associated therewith), any royalty (or any portion thereof) pursuant to the Azstarys License Agreement or any Material Intellectual Property, in each case, to (A) any Person that is not a Loan Party or (B) any Danish Loan Party or (y) contribute or otherwise invest any Material Product (or any Intellectual Property associated therewith), any royalty (or any portion thereof) pursuant to the Azstarys License Agreement or any Material Intellectual Property, in each case, to (A) any Person that is not a Loan Party or (B) any Danish Loan Party (in each case of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other than pursuant to a Permitted License).</w:t>
      </w:r>
    </w:p>
    <w:p>
      <w:pPr>
        <w:spacing w:after="0" w:line="17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8.06</w:t>
        <w:tab/>
        <w:t>Restricted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026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Declare or make, directly or indirectly, any Restricted Payment, or incur any obligation (contingent or otherwise) to do so, except that:</w:t>
      </w:r>
    </w:p>
    <w:p>
      <w:pPr>
        <w:spacing w:after="0" w:line="217" w:lineRule="exact"/>
        <w:rPr>
          <w:sz w:val="20"/>
          <w:szCs w:val="20"/>
          <w:color w:val="auto"/>
        </w:rPr>
      </w:pPr>
    </w:p>
    <w:p>
      <w:pPr>
        <w:ind w:left="1600" w:hanging="359"/>
        <w:spacing w:after="0"/>
        <w:tabs>
          <w:tab w:leader="none" w:pos="16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may make Restricted Payments to any Loan Party;</w:t>
      </w:r>
    </w:p>
    <w:p>
      <w:pPr>
        <w:spacing w:after="0" w:line="217" w:lineRule="exact"/>
        <w:rPr>
          <w:rFonts w:ascii="Times New Roman" w:cs="Times New Roman" w:eastAsia="Times New Roman" w:hAnsi="Times New Roman"/>
          <w:sz w:val="17"/>
          <w:szCs w:val="17"/>
          <w:color w:val="auto"/>
        </w:rPr>
      </w:pPr>
    </w:p>
    <w:p>
      <w:pPr>
        <w:ind w:left="620" w:right="180" w:firstLine="621"/>
        <w:spacing w:after="0" w:line="287" w:lineRule="auto"/>
        <w:tabs>
          <w:tab w:leader="none" w:pos="161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each Subsidiary may declare and make dividend payments or other distributions payable solely in the Qualified Capital Stock of such Person;</w:t>
      </w:r>
    </w:p>
    <w:p>
      <w:pPr>
        <w:spacing w:after="0" w:line="151" w:lineRule="exact"/>
        <w:rPr>
          <w:rFonts w:ascii="Times New Roman" w:cs="Times New Roman" w:eastAsia="Times New Roman" w:hAnsi="Times New Roman"/>
          <w:sz w:val="17"/>
          <w:szCs w:val="17"/>
          <w:color w:val="auto"/>
        </w:rPr>
      </w:pPr>
    </w:p>
    <w:p>
      <w:pPr>
        <w:jc w:val="both"/>
        <w:ind w:left="620" w:right="220" w:firstLine="621"/>
        <w:spacing w:after="0" w:line="263" w:lineRule="auto"/>
        <w:tabs>
          <w:tab w:leader="none" w:pos="160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the issuance of Qualified Capital Stock of the Borrower upon the exercise of any warrants, options or rights to acquire such Qualified Capital Stock, including upon conversion of any Indebtedness that is convertible into or exchangeable for Qualified Capital Stock of the Borrower, and</w:t>
      </w:r>
    </w:p>
    <w:p>
      <w:pPr>
        <w:ind w:left="620" w:right="160" w:firstLine="2"/>
        <w:spacing w:after="0" w:line="266" w:lineRule="auto"/>
        <w:tabs>
          <w:tab w:leader="none" w:pos="86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payments in lieu of issuing fractional shares in connection with the exercise of warrants, options or other securities convertible or exchangeable into Qualified Capital Stock of the Borrower;</w:t>
      </w:r>
    </w:p>
    <w:p>
      <w:pPr>
        <w:spacing w:after="0" w:line="168" w:lineRule="exact"/>
        <w:rPr>
          <w:rFonts w:ascii="Times New Roman" w:cs="Times New Roman" w:eastAsia="Times New Roman" w:hAnsi="Times New Roman"/>
          <w:sz w:val="17"/>
          <w:szCs w:val="17"/>
          <w:color w:val="auto"/>
        </w:rPr>
      </w:pPr>
    </w:p>
    <w:p>
      <w:pPr>
        <w:ind w:left="620" w:right="360" w:firstLine="621"/>
        <w:spacing w:after="0" w:line="287" w:lineRule="auto"/>
        <w:tabs>
          <w:tab w:leader="none" w:pos="161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any payment of premium to a counterparty under a Permitted Bond Hedge Transaction in accordance with the definition thereof; and</w:t>
      </w:r>
    </w:p>
    <w:p>
      <w:pPr>
        <w:spacing w:after="0" w:line="151" w:lineRule="exact"/>
        <w:rPr>
          <w:rFonts w:ascii="Times New Roman" w:cs="Times New Roman" w:eastAsia="Times New Roman" w:hAnsi="Times New Roman"/>
          <w:sz w:val="17"/>
          <w:szCs w:val="17"/>
          <w:color w:val="auto"/>
        </w:rPr>
      </w:pPr>
    </w:p>
    <w:p>
      <w:pPr>
        <w:ind w:left="620" w:right="300" w:firstLine="621"/>
        <w:spacing w:after="0" w:line="270" w:lineRule="auto"/>
        <w:tabs>
          <w:tab w:leader="none" w:pos="160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any payment in connection with a Permitted Warrant Transaction by (i) delivery of shares of the Borrower’s common stock upon net share settlement thereof or (ii) set-off and/or payment of an early termination payment or similar payment thereunder, in each case, in the Borrower’s common stock upon any early termination thereof.</w:t>
      </w:r>
    </w:p>
    <w:p>
      <w:pPr>
        <w:spacing w:after="0" w:line="16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Bond Indebtedness upon satisfaction of a condition related to the stock price of the common stock of the Borrower),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Bond Indebtedness shall not be prohibited by this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(x) any Redemption Payment shall only be permitted if the Redemption Conditions are satisfied in respect thereof at such time and, with respect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“Redemption Conditions”, satisfied at all times thereafter until the Facility Termination Date and (y) nothing in the foregoing terms and provisions of this paragraph shall permit any voluntary or optional cash payment or prepayment by the Borrower or any Subsidiary with respect to any Permitted Convertible Bond Indebtedness (other than (A) payments of cash interest, (B) cash in lieu of fractional shares and (C) solely to the extent such settlement constitutes a Redemption Payment that complies with the conditions set forth in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xml:space="preserve"> of this proviso, any cash settlement upon conversion).</w:t>
      </w:r>
    </w:p>
    <w:p>
      <w:pPr>
        <w:spacing w:after="0" w:line="1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Notwithstanding the foregoing, this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shall not prohibit the repurchase, exchange or inducement of the conversion of Permitted Convertible Bond Indebtedness to the extent consummated by delivery of Qualified Capital Stock of the Borrower and/or a different series of Permitted Convertible Bond Indebtedness and/or by payment of cash (in an amount that does not exceed the proceeds received by the Borrower from the substantially concurrent issuance of Qualified Capital Stock of the Borrower and/or a different series of Permitted Convertible Bond Indebtedness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the net cost of any Permitted Bond Hedge Transaction and/or any Permitted Warrant Transactions, in each case, in connection therewith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net cash proceeds, if any, received by the Borrower pursuant to the related exercise or early unwind or termination of the related Permitted Bond Hedge Transactions and/or Permitted Warrant Transactions, if any (so long as the Borrower shall have delivered a certificate of a Responsible Officer of the Borrower, in form and substance reasonably satisfactory to the Required Lenders, to the Administrative Agent (for further distribution to the Lenders) certifying as to (x) the receipt of such proceeds and their use to repurchase then existing Permitted Convertible Bond Indebtedness and (y) a reasonably detailed calculation of the amount and sources of such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713867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833" w:gutter="0" w:footer="0" w:header="0"/>
        </w:sectPr>
      </w:pPr>
    </w:p>
    <w:bookmarkStart w:id="114" w:name="page115"/>
    <w:bookmarkEnd w:id="114"/>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8.07</w:t>
        <w:tab/>
        <w:t>Change in Nature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122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Engage in any material line of business substantially different from those lines of business conducted by the Borrower and its Subsidiaries on the Closing Date or any business reasonably related or incidental thereto or a reasonable extension or expansion thereof.</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8.08</w:t>
        <w:tab/>
        <w:t>Transactions with Affiliates and Insiders.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8770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Enter into or permit to exist any transaction or series of transactions with any officer, director or Affiliate of such Person other than (a) advances of working capital to any Loan Party, (b) transfers of cash and assets to any Loan Party, (c) intercompany transactions not prohibited by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(in each case, other than by reference to this </w:t>
      </w:r>
      <w:r>
        <w:rPr>
          <w:rFonts w:ascii="Times New Roman" w:cs="Times New Roman" w:eastAsia="Times New Roman" w:hAnsi="Times New Roman"/>
          <w:sz w:val="17"/>
          <w:szCs w:val="17"/>
          <w:u w:val="single" w:color="auto"/>
          <w:color w:val="auto"/>
        </w:rPr>
        <w:t>Section 8.08</w:t>
      </w:r>
      <w:r>
        <w:rPr>
          <w:rFonts w:ascii="Times New Roman" w:cs="Times New Roman" w:eastAsia="Times New Roman" w:hAnsi="Times New Roman"/>
          <w:sz w:val="17"/>
          <w:szCs w:val="17"/>
          <w:color w:val="auto"/>
        </w:rPr>
        <w:t xml:space="preserve"> (or any sub-clause hereof)), (d) normal and reasonable compensation, indemnification and reimbursement of expenses of officers and directors in the ordinary course of business or otherwise approved by the Board of Directors of the Borrower, (e) transactions existing on the Closing Date and set forth on </w:t>
      </w:r>
      <w:r>
        <w:rPr>
          <w:rFonts w:ascii="Times New Roman" w:cs="Times New Roman" w:eastAsia="Times New Roman" w:hAnsi="Times New Roman"/>
          <w:sz w:val="17"/>
          <w:szCs w:val="17"/>
          <w:u w:val="single" w:color="auto"/>
          <w:color w:val="auto"/>
        </w:rPr>
        <w:t>Schedule 8.08</w:t>
      </w:r>
      <w:r>
        <w:rPr>
          <w:rFonts w:ascii="Times New Roman" w:cs="Times New Roman" w:eastAsia="Times New Roman" w:hAnsi="Times New Roman"/>
          <w:sz w:val="17"/>
          <w:szCs w:val="17"/>
          <w:color w:val="auto"/>
        </w:rPr>
        <w:t xml:space="preserve"> and (f)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8.09</w:t>
        <w:tab/>
        <w:t>Burdensome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2147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Enter into, or permit to exist, any Contractual Obligation that (a) encumbers or restricts the ability of any such Person to (i) make Restricted Payments to any Loan Party, (ii) pay any Indebtedness or other obligations owed to any Loan Party, (iii) make loans or advances to any Loan Party, (iv) transfer any of its property to any Loan Party, (v) pledge its property pursuant to the Loan Documents or any renewals, refinancings, exchanges, refundings or extension thereof or</w:t>
      </w:r>
    </w:p>
    <w:p>
      <w:pPr>
        <w:jc w:val="both"/>
        <w:ind w:firstLine="3"/>
        <w:spacing w:after="0" w:line="254" w:lineRule="auto"/>
        <w:tabs>
          <w:tab w:leader="none" w:pos="29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act as a Loan Party pursuant to the Loan Documents or any renewals, refinancings, exchanges, refundings or extension thereof, except (in respect of any of the matters referred to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above) for (A) this Agreement and the other Loan Documents, (B) any document or instrument governing Indebtedness incurred pursuant to </w:t>
      </w:r>
      <w:r>
        <w:rPr>
          <w:rFonts w:ascii="Times New Roman" w:cs="Times New Roman" w:eastAsia="Times New Roman" w:hAnsi="Times New Roman"/>
          <w:sz w:val="17"/>
          <w:szCs w:val="17"/>
          <w:u w:val="single" w:color="auto"/>
          <w:color w:val="auto"/>
        </w:rPr>
        <w:t>Section 8.03(e)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such restriction contained therein relates only to the asset or assets constructed or acquired in connection therewith, (C) any Permitted Lien or any document or instrument governing any Permitted Lien;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such restriction contained therein relates only to the asset or assets subject to such Permitted Lien, (D) customary restrictions and conditions contained in any agreement relating to the sale of any property permitted under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or any Permitted Transfer pending the consummation of such sale, (E) restrictions that are binding on a Subsidiary at the time such Subsidiary becomes a Subsidiary, so long as such restrictions (x) were not entered into in contemplation of such Person becoming a Subsidiary and (y) only apply to such Subsidiary and not to any other Loan Party or Subsidiary, and (F) customary provisions regarding confidentiality or restricting assignment, pledges or transfer of any agreement entered into by the Borrower or any Subsidiary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such agreement is a Material Contract, the Loan Parties and their Subsidiaries have complied with </w:t>
      </w:r>
      <w:r>
        <w:rPr>
          <w:rFonts w:ascii="Times New Roman" w:cs="Times New Roman" w:eastAsia="Times New Roman" w:hAnsi="Times New Roman"/>
          <w:sz w:val="17"/>
          <w:szCs w:val="17"/>
          <w:u w:val="single" w:color="auto"/>
          <w:color w:val="auto"/>
        </w:rPr>
        <w:t>Section 7.18</w:t>
      </w:r>
      <w:r>
        <w:rPr>
          <w:rFonts w:ascii="Times New Roman" w:cs="Times New Roman" w:eastAsia="Times New Roman" w:hAnsi="Times New Roman"/>
          <w:sz w:val="17"/>
          <w:szCs w:val="17"/>
          <w:color w:val="auto"/>
        </w:rPr>
        <w:t xml:space="preserve"> or (b) requires the grant of any security for any obligation if such property is given as security for the Obligations.</w:t>
      </w:r>
    </w:p>
    <w:p>
      <w:pPr>
        <w:spacing w:after="0" w:line="18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8.10</w:t>
        <w:tab/>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8178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65"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8.11</w:t>
        <w:tab/>
        <w:t>Prepayment of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-6350</wp:posOffset>
            </wp:positionV>
            <wp:extent cx="16211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162115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60" w:lineRule="auto"/>
        <w:tabs>
          <w:tab w:leader="none" w:pos="1626"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(or give any notice with respect thereto) any voluntary or optional payment or prepayment or redemption or acquisition for value of (including without limitation, by way of depositing money or securities with the trustee with respect thereto before due for the purpose of paying when due), refund, refinance or exchange of any principal of Indebtedness of any Loan Party or any Subsidiary prior to its scheduled maturity, other than</w:t>
      </w:r>
    </w:p>
    <w:p>
      <w:pPr>
        <w:jc w:val="both"/>
        <w:ind w:left="620" w:firstLine="2"/>
        <w:spacing w:after="0" w:line="256" w:lineRule="auto"/>
        <w:tabs>
          <w:tab w:leader="none" w:pos="85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arising under the Loan Documents, (b) Indebtedness secured by a Permitted Lien if the asset securing such Indebtedness has been sold or otherwise disposed pursuant to a Permitted Transfer or Disposition permitted by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(c) converting (or exchanging) any Indebtedness to (or for) Qualified Capital Stock of the Borrower, (d) Indebtedness to the extent consummated solely with the proceeds of Permitted Refinancings of such specific Indebtedness being prepaid, redeemed, refunded, refinanced or exchanged as permitted hereunder and (e) Indebtedness of the type permitted by </w:t>
      </w:r>
      <w:r>
        <w:rPr>
          <w:rFonts w:ascii="Times New Roman" w:cs="Times New Roman" w:eastAsia="Times New Roman" w:hAnsi="Times New Roman"/>
          <w:sz w:val="17"/>
          <w:szCs w:val="17"/>
          <w:u w:val="single" w:color="auto"/>
          <w:color w:val="auto"/>
        </w:rPr>
        <w:t>Sections 8.03(e)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w:t>
      </w:r>
    </w:p>
    <w:p>
      <w:pPr>
        <w:spacing w:after="0" w:line="178" w:lineRule="exact"/>
        <w:rPr>
          <w:rFonts w:ascii="Times New Roman" w:cs="Times New Roman" w:eastAsia="Times New Roman" w:hAnsi="Times New Roman"/>
          <w:sz w:val="17"/>
          <w:szCs w:val="17"/>
          <w:color w:val="auto"/>
        </w:rPr>
      </w:pPr>
    </w:p>
    <w:p>
      <w:pPr>
        <w:ind w:left="620" w:firstLine="621"/>
        <w:spacing w:after="0" w:line="287" w:lineRule="auto"/>
        <w:tabs>
          <w:tab w:leader="none" w:pos="1611"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(or give any notice with respect thereto) any Redemption Payment prior to the scheduled maturity of any Permitted Convertible Bond Indebtedness (other than (i) any interest due thereon and any fees due thereunder and (ii) cash in lieu of fractional shares).</w:t>
      </w:r>
    </w:p>
    <w:p>
      <w:pPr>
        <w:spacing w:after="0" w:line="15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Bond Indebtedness upon satisfaction of a condition related to the stock price of the common stock of the Borrower),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Bond Indebtedness shall not be prohibited by this </w:t>
      </w:r>
      <w:r>
        <w:rPr>
          <w:rFonts w:ascii="Times New Roman" w:cs="Times New Roman" w:eastAsia="Times New Roman" w:hAnsi="Times New Roman"/>
          <w:sz w:val="17"/>
          <w:szCs w:val="17"/>
          <w:u w:val="single" w:color="auto"/>
          <w:color w:val="auto"/>
        </w:rPr>
        <w:t>Section 8.11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(x) any Redemption Payment in respect thereof shall only be permitted if the Redemption Conditions are satisfied in respect of such Redemption Payment at such time and, with respect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“Redemption Conditions”, satisfied at all times thereafter until the Facility Termination Date and (y) nothing in the foregoing terms and provisions of this paragraph shall permit any voluntary or optional cash payment or prepayment by the Borrower or any Subsidiary with respect to any Permitted Convertible Bond Indebtedness (other than (A) payments of cash interest, (B) cash in lieu of fractional shares and (C) solely to the extent such settlement constitutes a Redemption Payment that complies with the conditions set forth in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xml:space="preserve"> of this proviso, any cash settlement upon conversion).</w:t>
      </w:r>
    </w:p>
    <w:p>
      <w:pPr>
        <w:spacing w:after="0" w:line="1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Notwithstanding the foregoing, this </w:t>
      </w:r>
      <w:r>
        <w:rPr>
          <w:rFonts w:ascii="Times New Roman" w:cs="Times New Roman" w:eastAsia="Times New Roman" w:hAnsi="Times New Roman"/>
          <w:sz w:val="17"/>
          <w:szCs w:val="17"/>
          <w:u w:val="single" w:color="auto"/>
          <w:color w:val="auto"/>
        </w:rPr>
        <w:t>Section 8.11</w:t>
      </w:r>
      <w:r>
        <w:rPr>
          <w:rFonts w:ascii="Times New Roman" w:cs="Times New Roman" w:eastAsia="Times New Roman" w:hAnsi="Times New Roman"/>
          <w:sz w:val="17"/>
          <w:szCs w:val="17"/>
          <w:color w:val="auto"/>
        </w:rPr>
        <w:t xml:space="preserve"> shall not prohibit the repurchase, exchange or inducement of the conversion of Permitted Convertible Bond Indebtedness to the extent consummated by delivery of Qualified Capital Stock of the Borrower and/or a different series of Permitted Convertible Bond Indebtedness and/or by payment of cash (in an amount that does not exceed the proceeds received by the Borrower from the substantially concurrent issuance of Qualified Capital Stock of the Borrower and/or a different series of Permitted Convertible Bond Indebtedness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the net cost of any Permitted Bond Hedge Transaction and/or any Permitted Warrant Transactions, in each case, in connection therewith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net cash proceeds, if any, received by the Borrower pursuant to the related exercise or early unwind or termination of the related Permitted Bond Hedge Transactions and/or Permitted Warrant Transactions, if any (so long as the Borrower shall have delivered a certificate of a Responsible Officer of the Borrower, in form and substance reasonably satisfactory to the Required Lenders, to the Administrative Agent (for further distribution to the Lenders) certifying as to (x) the receipt of such proceeds and their use to repurchase then existing Permitted Convertible Bond Indebtedness and (y) a reasonably detailed calculation of the amount and sources of such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713867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627" w:gutter="0" w:footer="0" w:header="0"/>
        </w:sectPr>
      </w:pPr>
    </w:p>
    <w:bookmarkStart w:id="115" w:name="page116"/>
    <w:bookmarkEnd w:id="115"/>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8.12</w:t>
        <w:tab/>
        <w:t>Organization Documents; Fiscal Year; Legal Name, Jurisdiction of Organization and Form of Organization; Certain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7677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5767705" cy="8255"/>
                    </a:xfrm>
                    <a:prstGeom prst="rect">
                      <a:avLst/>
                    </a:prstGeom>
                    <a:noFill/>
                  </pic:spPr>
                </pic:pic>
              </a:graphicData>
            </a:graphic>
          </wp:anchor>
        </w:drawing>
      </w:r>
    </w:p>
    <w:p>
      <w:pPr>
        <w:spacing w:after="0" w:line="197" w:lineRule="exact"/>
        <w:rPr>
          <w:sz w:val="20"/>
          <w:szCs w:val="20"/>
          <w:color w:val="auto"/>
        </w:rPr>
      </w:pPr>
    </w:p>
    <w:p>
      <w:pPr>
        <w:ind w:left="1600" w:hanging="359"/>
        <w:spacing w:after="0"/>
        <w:tabs>
          <w:tab w:leader="none" w:pos="160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or change its Organization Documents in a manner materially adverse to the Administrative Agent or any Lender.</w:t>
      </w:r>
    </w:p>
    <w:p>
      <w:pPr>
        <w:spacing w:after="0" w:line="21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fiscal year.</w:t>
      </w:r>
    </w:p>
    <w:p>
      <w:pPr>
        <w:spacing w:after="0" w:line="217"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providing ten (10) days prior written notice to the Administrative Agent, change its name, jurisdiction of organization or form of</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w:t>
      </w:r>
    </w:p>
    <w:p>
      <w:pPr>
        <w:spacing w:after="0" w:line="200" w:lineRule="exact"/>
        <w:rPr>
          <w:rFonts w:ascii="Times New Roman" w:cs="Times New Roman" w:eastAsia="Times New Roman" w:hAnsi="Times New Roman"/>
          <w:sz w:val="17"/>
          <w:szCs w:val="17"/>
          <w:color w:val="auto"/>
        </w:rPr>
      </w:pPr>
    </w:p>
    <w:p>
      <w:pPr>
        <w:jc w:val="both"/>
        <w:ind w:firstLine="3"/>
        <w:spacing w:after="0" w:line="270" w:lineRule="auto"/>
        <w:tabs>
          <w:tab w:leader="none" w:pos="45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change, supplement, waive or otherwise modify (or permit the amendment, change, supplement, waiver or modification of), or enter into any forbearance from exercising any rights with respect to, any Material Contract or any document or other agreement evidencing Indebtedness in excess of the Threshold Amount, in each case, in any manner materially adverse to the Administrative Agent or any Lender, in their respective capacities as such.</w:t>
      </w:r>
    </w:p>
    <w:p>
      <w:pPr>
        <w:spacing w:after="0" w:line="16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8.13</w:t>
        <w:tab/>
        <w:t>Ownership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2668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Notwithstanding any other provisions of this Agreement to the contrary, (a) permit any Person (other than any Loan Party or any Wholly Owned Subsidiary) to own any Equity Interests of any Subsidiary, except to qualify directors where required by applicable law or to satisfy other requirements of applicable law with respect to the ownership of Equity Interests of Foreign Subsidiaries, (b) permit any Loan Party or any Subsidiary to issue or have outstanding any shares of Disqualified Capital Stock or (c) create, incur, assume or suffer to exist any Lien on any Equity Interests of any Subsidiary, except for Permitted Liens.</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8.14</w:t>
      </w:r>
      <w:r>
        <w:rPr>
          <w:sz w:val="20"/>
          <w:szCs w:val="20"/>
          <w:color w:val="auto"/>
        </w:rPr>
        <w:tab/>
      </w:r>
      <w:r>
        <w:rPr>
          <w:rFonts w:ascii="Times New Roman" w:cs="Times New Roman" w:eastAsia="Times New Roman" w:hAnsi="Times New Roman"/>
          <w:sz w:val="16"/>
          <w:szCs w:val="16"/>
          <w:color w:val="auto"/>
        </w:rPr>
        <w:t>Sale Leasebacks.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8267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Enter into any Sale and Leaseback Transaction.</w:t>
      </w:r>
    </w:p>
    <w:p>
      <w:pPr>
        <w:spacing w:after="0" w:line="21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8.15</w:t>
        <w:tab/>
        <w:t>Sanctions;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5640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1564005" cy="8255"/>
                    </a:xfrm>
                    <a:prstGeom prst="rect">
                      <a:avLst/>
                    </a:prstGeom>
                    <a:noFill/>
                  </pic:spPr>
                </pic:pic>
              </a:graphicData>
            </a:graphic>
          </wp:anchor>
        </w:drawing>
      </w:r>
    </w:p>
    <w:p>
      <w:pPr>
        <w:spacing w:after="0" w:line="197" w:lineRule="exact"/>
        <w:rPr>
          <w:sz w:val="20"/>
          <w:szCs w:val="20"/>
          <w:color w:val="auto"/>
        </w:rPr>
      </w:pPr>
    </w:p>
    <w:p>
      <w:pPr>
        <w:ind w:left="620" w:right="100" w:firstLine="621"/>
        <w:spacing w:after="0" w:line="264" w:lineRule="auto"/>
        <w:tabs>
          <w:tab w:leader="none" w:pos="160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or, to the extent there is knowledge or reason to know, indirectly, use the proceeds of any Loan, or lend, contribute or otherwise make available such proceeds of any Loan to any Person, (i) to fund any activities of or business with any Person, that, at the time of such funding, is the subject of Sanctions, except to the extent permissible for a Person required to comply with Sanctions, or (ii) in any other manner that will result in a violation by any Person participating in the transaction, whether as Lender, Administrative Agent or otherwise, of Sanctions</w:t>
      </w:r>
    </w:p>
    <w:p>
      <w:pPr>
        <w:spacing w:after="0" w:line="171" w:lineRule="exact"/>
        <w:rPr>
          <w:rFonts w:ascii="Times New Roman" w:cs="Times New Roman" w:eastAsia="Times New Roman" w:hAnsi="Times New Roman"/>
          <w:sz w:val="17"/>
          <w:szCs w:val="17"/>
          <w:color w:val="auto"/>
        </w:rPr>
      </w:pPr>
    </w:p>
    <w:p>
      <w:pPr>
        <w:ind w:left="620" w:right="20" w:firstLine="621"/>
        <w:spacing w:after="0" w:line="287" w:lineRule="auto"/>
        <w:tabs>
          <w:tab w:leader="none" w:pos="161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or indirectly, use the proceeds of any Loan for any purpose which would breach the United States Foreign Corrupt Practices Act of 1977, the UK Bribery Act 2010 and other similar applicable anti-corruption legislation in other jurisdictions.</w:t>
      </w:r>
    </w:p>
    <w:p>
      <w:pPr>
        <w:spacing w:after="0" w:line="15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8.16</w:t>
        <w:tab/>
        <w:t>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5149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Permit the sum of (a) the amount of Unrestricted Cash of the U.S. Loan Parties held in Deposit Accounts for which the Administrative Agent shall have received an Account Control Agreement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an amount equal to [***] percent ([***]%) of the amount of Unrestricted Cash of the Danish Loan Parties held in Deposit Accounts for which the Administrative Agent shall have received the Danish Account Control Agreement, as of the last day of any fiscal quarter of the Borrower, to be less than $[***];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not less than $[***] of such $[***] shall be Unrestricted Cash of the U.S. Loan Parties held in Deposit Accounts for which the Administrative Agent shall have received an Account Control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solely during the applicable period(s) therefor set forth in </w:t>
      </w:r>
      <w:r>
        <w:rPr>
          <w:rFonts w:ascii="Times New Roman" w:cs="Times New Roman" w:eastAsia="Times New Roman" w:hAnsi="Times New Roman"/>
          <w:sz w:val="17"/>
          <w:szCs w:val="17"/>
          <w:u w:val="single" w:color="auto"/>
          <w:color w:val="auto"/>
        </w:rPr>
        <w:t>Schedule 7.21</w:t>
      </w:r>
      <w:r>
        <w:rPr>
          <w:rFonts w:ascii="Times New Roman" w:cs="Times New Roman" w:eastAsia="Times New Roman" w:hAnsi="Times New Roman"/>
          <w:sz w:val="17"/>
          <w:szCs w:val="17"/>
          <w:color w:val="auto"/>
        </w:rPr>
        <w:t xml:space="preserve">, the Administrative Agent shall be deemed to have received an Account Control Agreement for each Deposit Account described on such </w:t>
      </w:r>
      <w:r>
        <w:rPr>
          <w:rFonts w:ascii="Times New Roman" w:cs="Times New Roman" w:eastAsia="Times New Roman" w:hAnsi="Times New Roman"/>
          <w:sz w:val="17"/>
          <w:szCs w:val="17"/>
          <w:u w:val="single" w:color="auto"/>
          <w:color w:val="auto"/>
        </w:rPr>
        <w:t>Schedule 7.21</w:t>
      </w:r>
      <w:r>
        <w:rPr>
          <w:rFonts w:ascii="Times New Roman" w:cs="Times New Roman" w:eastAsia="Times New Roman" w:hAnsi="Times New Roman"/>
          <w:sz w:val="17"/>
          <w:szCs w:val="17"/>
          <w:color w:val="auto"/>
        </w:rPr>
        <w:t xml:space="preserve"> that will be subject to an Account Control Agreement, notwithstanding the fact that such Deposit Account may not during such applicable period be subject to an Account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138670"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16" w:name="page117"/>
    <w:bookmarkEnd w:id="116"/>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auto"/>
        </w:rPr>
        <w:t>8.17</w:t>
        <w:tab/>
        <w:t>Consolidated Net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4941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Permit Consolidated Net Product Sales, for any four (4) consecutive fiscal quarter period, commencing with the four (4) consecutive fiscal quarter period ending March 31, 2025, to be less than the applicable amount set forth in the table below for any such period:</w:t>
      </w:r>
    </w:p>
    <w:p>
      <w:pPr>
        <w:spacing w:after="0" w:line="140" w:lineRule="exact"/>
        <w:rPr>
          <w:sz w:val="20"/>
          <w:szCs w:val="20"/>
          <w:color w:val="auto"/>
        </w:rPr>
      </w:pPr>
    </w:p>
    <w:tbl>
      <w:tblPr>
        <w:tblLayout w:type="fixed"/>
        <w:tblInd w:w="288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0" w:type="dxa"/>
            <w:vAlign w:val="bottom"/>
            <w:gridSpan w:val="4"/>
          </w:tcPr>
          <w:p>
            <w:pPr>
              <w:jc w:val="center"/>
              <w:ind w:right="1480"/>
              <w:spacing w:after="0"/>
              <w:rPr>
                <w:sz w:val="20"/>
                <w:szCs w:val="20"/>
                <w:color w:val="auto"/>
              </w:rPr>
            </w:pPr>
            <w:r>
              <w:rPr>
                <w:rFonts w:ascii="Times New Roman" w:cs="Times New Roman" w:eastAsia="Times New Roman" w:hAnsi="Times New Roman"/>
                <w:sz w:val="17"/>
                <w:szCs w:val="17"/>
                <w:color w:val="auto"/>
              </w:rPr>
              <w:t>Four (4) Consecutive Fiscal</w:t>
            </w:r>
          </w:p>
        </w:tc>
        <w:tc>
          <w:tcPr>
            <w:tcW w:w="11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20" w:type="dxa"/>
            <w:vAlign w:val="bottom"/>
            <w:tcBorders>
              <w:top w:val="single" w:sz="8" w:color="auto"/>
            </w:tcBorders>
            <w:gridSpan w:val="3"/>
            <w:vMerge w:val="restart"/>
          </w:tcPr>
          <w:p>
            <w:pPr>
              <w:jc w:val="center"/>
              <w:spacing w:after="0" w:line="186" w:lineRule="exact"/>
              <w:rPr>
                <w:sz w:val="20"/>
                <w:szCs w:val="20"/>
                <w:color w:val="auto"/>
              </w:rPr>
            </w:pPr>
            <w:r>
              <w:rPr>
                <w:rFonts w:ascii="Times New Roman" w:cs="Times New Roman" w:eastAsia="Times New Roman" w:hAnsi="Times New Roman"/>
                <w:sz w:val="17"/>
                <w:szCs w:val="17"/>
                <w:color w:val="auto"/>
              </w:rPr>
              <w:t>Quarter Period Ending:</w:t>
            </w:r>
          </w:p>
        </w:tc>
        <w:tc>
          <w:tcPr>
            <w:tcW w:w="1480" w:type="dxa"/>
            <w:vAlign w:val="bottom"/>
            <w:vMerge w:val="restart"/>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20" w:type="dxa"/>
            <w:vAlign w:val="bottom"/>
            <w:tcBorders>
              <w:top w:val="single" w:sz="8" w:color="auto"/>
            </w:tcBorders>
            <w:gridSpan w:val="3"/>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auto"/>
            </w:tcBorders>
            <w:vMerge w:val="continue"/>
          </w:tcPr>
          <w:p>
            <w:pPr>
              <w:spacing w:after="0"/>
              <w:rPr>
                <w:sz w:val="17"/>
                <w:szCs w:val="17"/>
                <w:color w:val="auto"/>
              </w:rPr>
            </w:pPr>
          </w:p>
        </w:tc>
        <w:tc>
          <w:tcPr>
            <w:tcW w:w="4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March 31, 2025: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2027:</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2027:</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2027:</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2027:</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2028:</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2028:</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2028:</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2028:</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color w:val="auto"/>
              </w:rPr>
              <w:t>March 31, 2029 and each fiscal period ending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3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auto"/>
              </w:rPr>
              <w:t>thereafter:</w:t>
            </w: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360" w:type="dxa"/>
            <w:vAlign w:val="bottom"/>
            <w:tcBorders>
              <w:bottom w:val="single" w:sz="8" w:color="auto"/>
            </w:tcBorders>
            <w:gridSpan w:val="6"/>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from and after the occurrence of the Arimoclomol FDA Approval, the Loan Parties and their respective Subsidiaries shall not permit Consolidated Net Product Sales, for any four (4) consecutive fiscal quarter period to be less than the applicable amount set forth in the table below for any such period:</w:t>
      </w:r>
    </w:p>
    <w:p>
      <w:pPr>
        <w:spacing w:after="0" w:line="200" w:lineRule="exact"/>
        <w:rPr>
          <w:sz w:val="20"/>
          <w:szCs w:val="20"/>
          <w:color w:val="auto"/>
        </w:rPr>
      </w:pPr>
    </w:p>
    <w:p>
      <w:pPr>
        <w:spacing w:after="0" w:line="366" w:lineRule="exact"/>
        <w:rPr>
          <w:sz w:val="20"/>
          <w:szCs w:val="20"/>
          <w:color w:val="auto"/>
        </w:rPr>
      </w:pPr>
    </w:p>
    <w:tbl>
      <w:tblPr>
        <w:tblLayout w:type="fixed"/>
        <w:tblInd w:w="28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0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color w:val="auto"/>
              </w:rPr>
              <w:t>Four (4) Consecutive Fiscal</w:t>
            </w:r>
          </w:p>
        </w:tc>
        <w:tc>
          <w:tcPr>
            <w:tcW w:w="13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760" w:type="dxa"/>
            <w:vAlign w:val="bottom"/>
            <w:tcBorders>
              <w:top w:val="single" w:sz="8" w:color="auto"/>
            </w:tcBorders>
            <w:gridSpan w:val="2"/>
            <w:vMerge w:val="restart"/>
          </w:tcPr>
          <w:p>
            <w:pPr>
              <w:jc w:val="center"/>
              <w:ind w:right="140"/>
              <w:spacing w:after="0" w:line="186" w:lineRule="exact"/>
              <w:rPr>
                <w:sz w:val="20"/>
                <w:szCs w:val="20"/>
                <w:color w:val="auto"/>
              </w:rPr>
            </w:pPr>
            <w:r>
              <w:rPr>
                <w:rFonts w:ascii="Times New Roman" w:cs="Times New Roman" w:eastAsia="Times New Roman" w:hAnsi="Times New Roman"/>
                <w:sz w:val="17"/>
                <w:szCs w:val="17"/>
                <w:color w:val="auto"/>
              </w:rPr>
              <w:t>Quarter Period Ending:</w:t>
            </w:r>
          </w:p>
        </w:tc>
        <w:tc>
          <w:tcPr>
            <w:tcW w:w="1240" w:type="dxa"/>
            <w:vAlign w:val="bottom"/>
            <w:vMerge w:val="restart"/>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60" w:type="dxa"/>
            <w:vAlign w:val="bottom"/>
            <w:tcBorders>
              <w:top w:val="single" w:sz="8" w:color="auto"/>
            </w:tcBorders>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auto"/>
            </w:tcBorders>
            <w:vMerge w:val="continue"/>
          </w:tcPr>
          <w:p>
            <w:pPr>
              <w:spacing w:after="0"/>
              <w:rPr>
                <w:sz w:val="17"/>
                <w:szCs w:val="17"/>
                <w:color w:val="auto"/>
              </w:rPr>
            </w:pPr>
          </w:p>
        </w:tc>
        <w:tc>
          <w:tcPr>
            <w:tcW w:w="4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March 31, 2025:</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2025:</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2025:</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2026:</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2026:</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2026:</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2027:</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2027:</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2027:</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2027:</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2028:</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June 30, 2028:</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2028:</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December 31, 2028:</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March 31, 2029 and each fiscal period ending thereafter:</w:t>
            </w:r>
          </w:p>
        </w:tc>
        <w:tc>
          <w:tcPr>
            <w:tcW w:w="92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upon the occurrence of a Consolidated Net Product Sales Financial Covenant Fall Away Event (together with delivery by the Borrower to the Administrative Agent (for further distribution to the Lenders) of a Consolidated Net Product Sales Financial Covenant Fall Away Event Certificate), the Borrower and its Subsidiaries shall no longer be required to comply with this </w:t>
      </w:r>
      <w:r>
        <w:rPr>
          <w:rFonts w:ascii="Times New Roman" w:cs="Times New Roman" w:eastAsia="Times New Roman" w:hAnsi="Times New Roman"/>
          <w:sz w:val="17"/>
          <w:szCs w:val="17"/>
          <w:u w:val="single" w:color="auto"/>
          <w:color w:val="auto"/>
        </w:rPr>
        <w:t>Section 8.17</w:t>
      </w:r>
      <w:r>
        <w:rPr>
          <w:rFonts w:ascii="Times New Roman" w:cs="Times New Roman" w:eastAsia="Times New Roman" w:hAnsi="Times New Roman"/>
          <w:sz w:val="17"/>
          <w:szCs w:val="17"/>
          <w:color w:val="auto"/>
        </w:rPr>
        <w:t xml:space="preserve"> (it being understood that the occurrence of a Consolidated Net Product Sales Financial Covenant Fall Away Event shall not, for the avoidance of doubt, cure or be deemed to waive any Event of Default then existing as a result of the Borrower’s failure to comply with this </w:t>
      </w:r>
      <w:r>
        <w:rPr>
          <w:rFonts w:ascii="Times New Roman" w:cs="Times New Roman" w:eastAsia="Times New Roman" w:hAnsi="Times New Roman"/>
          <w:sz w:val="17"/>
          <w:szCs w:val="17"/>
          <w:u w:val="single" w:color="auto"/>
          <w:color w:val="auto"/>
        </w:rPr>
        <w:t>Section 8.17</w:t>
      </w:r>
      <w:r>
        <w:rPr>
          <w:rFonts w:ascii="Times New Roman" w:cs="Times New Roman" w:eastAsia="Times New Roman" w:hAnsi="Times New Roman"/>
          <w:sz w:val="17"/>
          <w:szCs w:val="17"/>
          <w:color w:val="auto"/>
        </w:rPr>
        <w:t xml:space="preserve"> with respect to a previous period) unless and until a Consolidated Net Product Sales Financial Covenant Trigger shall have occurred;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the avoidance of doubt, upon the occurrence of a Consolidated Net Product Sales Financial Covenant Trigger Event, commencing with the four (4) consecutive fiscal quarter period with respect to which the Consolidated Net Product Sales Financial Covenant Trigger Event shall have occurred, the Borrower and its Subsidiaries shall thereafter be required to comply with this </w:t>
      </w:r>
      <w:r>
        <w:rPr>
          <w:rFonts w:ascii="Times New Roman" w:cs="Times New Roman" w:eastAsia="Times New Roman" w:hAnsi="Times New Roman"/>
          <w:sz w:val="17"/>
          <w:szCs w:val="17"/>
          <w:u w:val="single" w:color="auto"/>
          <w:color w:val="auto"/>
        </w:rPr>
        <w:t>Section 8.17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13867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17" w:name="page118"/>
    <w:bookmarkEnd w:id="117"/>
    <w:p>
      <w:pPr>
        <w:jc w:val="center"/>
        <w:ind w:right="620"/>
        <w:spacing w:after="0"/>
        <w:rPr>
          <w:sz w:val="20"/>
          <w:szCs w:val="20"/>
          <w:color w:val="auto"/>
        </w:rPr>
      </w:pPr>
      <w:r>
        <w:rPr>
          <w:rFonts w:ascii="Times New Roman" w:cs="Times New Roman" w:eastAsia="Times New Roman" w:hAnsi="Times New Roman"/>
          <w:sz w:val="17"/>
          <w:szCs w:val="17"/>
          <w:color w:val="auto"/>
        </w:rPr>
        <w:t>ARTICLE IX</w:t>
      </w:r>
    </w:p>
    <w:p>
      <w:pPr>
        <w:spacing w:after="0" w:line="2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EVENTS OF DEFAULT AND REMEDIES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9.01</w:t>
      </w:r>
      <w:r>
        <w:rPr>
          <w:sz w:val="20"/>
          <w:szCs w:val="20"/>
          <w:color w:val="auto"/>
        </w:rPr>
        <w:tab/>
      </w:r>
      <w:r>
        <w:rPr>
          <w:rFonts w:ascii="Times New Roman" w:cs="Times New Roman" w:eastAsia="Times New Roman" w:hAnsi="Times New Roman"/>
          <w:sz w:val="16"/>
          <w:szCs w:val="16"/>
          <w:color w:val="auto"/>
        </w:rPr>
        <w:t>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-6350</wp:posOffset>
            </wp:positionV>
            <wp:extent cx="8788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following shall constitute an Event of Default:</w:t>
      </w:r>
    </w:p>
    <w:p>
      <w:pPr>
        <w:spacing w:after="0" w:line="217" w:lineRule="exact"/>
        <w:rPr>
          <w:sz w:val="20"/>
          <w:szCs w:val="20"/>
          <w:color w:val="auto"/>
        </w:rPr>
      </w:pPr>
    </w:p>
    <w:p>
      <w:pPr>
        <w:ind w:right="40" w:firstLine="621"/>
        <w:spacing w:after="0" w:line="263" w:lineRule="auto"/>
        <w:tabs>
          <w:tab w:leader="none" w:pos="981"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Non-Payment. The Borrower or any other Loan Party fails to pay (i) when and as required to be paid herein, any amount of principal of any Loan, or (ii) within three (3) Business Days after the same becomes due, any interest on any Loan, or any repayment premium or fee due hereunder, or</w:t>
      </w:r>
    </w:p>
    <w:p>
      <w:pPr>
        <w:ind w:left="300" w:hanging="298"/>
        <w:spacing w:after="0"/>
        <w:tabs>
          <w:tab w:leader="none" w:pos="3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(5) Business Days after the same becomes due, any other amount payable hereunder or under any other Loan Document; or</w:t>
      </w:r>
    </w:p>
    <w:p>
      <w:pPr>
        <w:spacing w:after="0" w:line="200"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Specific Covenants. Any Loan Party fails to perform or observe any term, covenant or agreement contained in any of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-530860</wp:posOffset>
            </wp:positionV>
            <wp:extent cx="7150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501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-6350</wp:posOffset>
            </wp:positionV>
            <wp:extent cx="9544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7.03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7.20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or</w:t>
      </w:r>
    </w:p>
    <w:p>
      <w:pPr>
        <w:spacing w:after="0" w:line="200" w:lineRule="exact"/>
        <w:rPr>
          <w:sz w:val="20"/>
          <w:szCs w:val="20"/>
          <w:color w:val="auto"/>
        </w:rPr>
      </w:pPr>
    </w:p>
    <w:p>
      <w:pPr>
        <w:ind w:right="100" w:firstLine="621"/>
        <w:spacing w:after="0" w:line="264" w:lineRule="auto"/>
        <w:tabs>
          <w:tab w:leader="none" w:pos="98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Defaults. Any Loan Party fails to perform or observe any other covenant or agreement (not specified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contained in any Loan Document on its part to be performed or observed and such failure continues for thirty (30) days after the earlier of the date on which (i) a Responsible Officer of any Loan Party becomes aware of such failure and (ii) written notice thereof shall have been given to the Borrower by the Administrative Agent or any Lender; or</w:t>
      </w:r>
    </w:p>
    <w:p>
      <w:pPr>
        <w:spacing w:after="0" w:line="171" w:lineRule="exact"/>
        <w:rPr>
          <w:rFonts w:ascii="Times New Roman" w:cs="Times New Roman" w:eastAsia="Times New Roman" w:hAnsi="Times New Roman"/>
          <w:sz w:val="17"/>
          <w:szCs w:val="17"/>
          <w:color w:val="auto"/>
        </w:rPr>
      </w:pPr>
    </w:p>
    <w:p>
      <w:pPr>
        <w:ind w:right="220" w:firstLine="621"/>
        <w:spacing w:after="0" w:line="270" w:lineRule="auto"/>
        <w:tabs>
          <w:tab w:leader="none" w:pos="99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Representations and Warranties. Any representation, warranty, certification or statement of fact made or deemed made by or on behalf of the Borrower or any other Loan Party herein, in any other Loan Document, or in any document delivered in connection herewith or therewith shall be materially incorrect or materially misleading when made or deemed made; or</w:t>
      </w:r>
    </w:p>
    <w:p>
      <w:pPr>
        <w:spacing w:after="0" w:line="165" w:lineRule="exact"/>
        <w:rPr>
          <w:rFonts w:ascii="Times New Roman" w:cs="Times New Roman" w:eastAsia="Times New Roman" w:hAnsi="Times New Roman"/>
          <w:sz w:val="17"/>
          <w:szCs w:val="17"/>
          <w:color w:val="auto"/>
        </w:rPr>
      </w:pPr>
    </w:p>
    <w:p>
      <w:pPr>
        <w:jc w:val="both"/>
        <w:ind w:firstLine="621"/>
        <w:spacing w:after="0" w:line="255" w:lineRule="auto"/>
        <w:tabs>
          <w:tab w:leader="none" w:pos="1033"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Cross-Default. (i) Any Loan Party or any Subsidiary (A) fails to make any payment when due (whether by scheduled maturity, required prepayment, acceleration, demand, or otherwise), but only after the expiration of any grace period applicable thereto, in respect of any Indebtedness or Guarantee (other than Indebtedness hereunder and Indebtedness under Swap Contracts) having an aggregate outstanding principal amount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and/or the expiration of any grace period applicable thereto,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any Loan Party or any Subsidiary is the Defaulting Party (as defined in such Swap Contract) or (B) any Termination Event (as so defined) under such Swap Contract as to which any Loan Party or any Subsidiary is an Affected Party (as so defined) and, in either event, the Swap Termination Value owed by such Loan Party or such Subsidiary as a result thereof is greater than the Threshold Amount or (iii) any early payment by the Borrower is required or unwinding or termination occurs with respect to any Permitted Bond Hedge Transaction or Permitted Warrant Transaction, or any condition giving rise to the foregoing is met, in each case, with respect to which any Loan Party or Subsidiary is the “defaulting party” under the terms of such Permitted Bond Hedge Transaction or Permitted Warrant Transaction, if such payment, unwinding or termination would require any Loan Party to pay an amount of cash in excess of the Threshold Amount; or</w:t>
      </w:r>
    </w:p>
    <w:p>
      <w:pPr>
        <w:spacing w:after="0" w:line="180" w:lineRule="exact"/>
        <w:rPr>
          <w:rFonts w:ascii="Times New Roman" w:cs="Times New Roman" w:eastAsia="Times New Roman" w:hAnsi="Times New Roman"/>
          <w:sz w:val="17"/>
          <w:szCs w:val="17"/>
          <w:color w:val="auto"/>
        </w:rPr>
      </w:pPr>
    </w:p>
    <w:p>
      <w:pPr>
        <w:jc w:val="both"/>
        <w:ind w:firstLine="621"/>
        <w:spacing w:after="0" w:line="258" w:lineRule="auto"/>
        <w:tabs>
          <w:tab w:leader="none" w:pos="97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Insolvency Proceedings, Etc. Any Loan Party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79" w:lineRule="exact"/>
        <w:rPr>
          <w:rFonts w:ascii="Times New Roman" w:cs="Times New Roman" w:eastAsia="Times New Roman" w:hAnsi="Times New Roman"/>
          <w:sz w:val="17"/>
          <w:szCs w:val="17"/>
          <w:color w:val="auto"/>
        </w:rPr>
      </w:pPr>
    </w:p>
    <w:p>
      <w:pPr>
        <w:ind w:right="20" w:firstLine="621"/>
        <w:spacing w:after="0" w:line="270" w:lineRule="auto"/>
        <w:tabs>
          <w:tab w:leader="none" w:pos="99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Pay Debts; Attachment. (i) Any Loan Party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65" w:lineRule="exact"/>
        <w:rPr>
          <w:rFonts w:ascii="Times New Roman" w:cs="Times New Roman" w:eastAsia="Times New Roman" w:hAnsi="Times New Roman"/>
          <w:sz w:val="17"/>
          <w:szCs w:val="17"/>
          <w:color w:val="auto"/>
        </w:rPr>
      </w:pPr>
    </w:p>
    <w:p>
      <w:pPr>
        <w:jc w:val="both"/>
        <w:ind w:firstLine="621"/>
        <w:spacing w:after="0" w:line="260" w:lineRule="auto"/>
        <w:tabs>
          <w:tab w:leader="none" w:pos="1017"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Judgments. There is entered against any Loan Party or any Subsidiary one or more final judgments or orders for the payment of money in an aggregate amount exceeding the Threshold Amount (to the extent not covered by independent third-party insurance as to which the insurer does not dispute coverage) or any one or more non-monetary final judgments that have, or could reasonably be expected to have, individually or in the aggregate, a Material Adverse Effect and, in either case, (i) enforcement proceedings are commenced by any creditor upon such judgment or order or (ii) there is a period of thirty (30) consecutive days during which a stay of enforcement of such judgment, by reason of a pending appeal or otherwise, is not in effect; or</w:t>
      </w:r>
    </w:p>
    <w:p>
      <w:pPr>
        <w:spacing w:after="0" w:line="385" w:lineRule="exact"/>
        <w:rPr>
          <w:rFonts w:ascii="Times New Roman" w:cs="Times New Roman" w:eastAsia="Times New Roman" w:hAnsi="Times New Roman"/>
          <w:sz w:val="17"/>
          <w:szCs w:val="17"/>
          <w:color w:val="auto"/>
        </w:rPr>
      </w:pPr>
    </w:p>
    <w:p>
      <w:pPr>
        <w:jc w:val="both"/>
        <w:ind w:firstLine="621"/>
        <w:spacing w:after="0" w:line="261" w:lineRule="auto"/>
        <w:tabs>
          <w:tab w:leader="none" w:pos="103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ERISA.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334010</wp:posOffset>
            </wp:positionV>
            <wp:extent cx="713867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-6713855</wp:posOffset>
            </wp:positionV>
            <wp:extent cx="7543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-6058535</wp:posOffset>
            </wp:positionV>
            <wp:extent cx="14878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1487805" cy="8255"/>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-5534660</wp:posOffset>
            </wp:positionV>
            <wp:extent cx="7537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5374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-3046095</wp:posOffset>
            </wp:positionV>
            <wp:extent cx="13836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138366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-1998345</wp:posOffset>
            </wp:positionV>
            <wp:extent cx="16300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163004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-1474470</wp:posOffset>
            </wp:positionV>
            <wp:extent cx="5918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591820"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-557530</wp:posOffset>
            </wp:positionV>
            <wp:extent cx="4737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118" w:name="page119"/>
    <w:bookmarkEnd w:id="118"/>
    <w:p>
      <w:pPr>
        <w:jc w:val="both"/>
        <w:ind w:firstLine="621"/>
        <w:spacing w:after="0" w:line="264" w:lineRule="auto"/>
        <w:tabs>
          <w:tab w:leader="none" w:pos="96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Invalidity of Loan Documents. Any Loan Document, at any time after its execution and delivery and for any reason other than as expressly permitted hereunder or thereunder or satisfaction in full of all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171" w:lineRule="exact"/>
        <w:rPr>
          <w:rFonts w:ascii="Times New Roman" w:cs="Times New Roman" w:eastAsia="Times New Roman" w:hAnsi="Times New Roman"/>
          <w:sz w:val="17"/>
          <w:szCs w:val="17"/>
          <w:color w:val="auto"/>
        </w:rPr>
      </w:pPr>
    </w:p>
    <w:p>
      <w:pPr>
        <w:ind w:right="220" w:firstLine="621"/>
        <w:spacing w:after="0" w:line="287" w:lineRule="auto"/>
        <w:tabs>
          <w:tab w:leader="none" w:pos="99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Adverse Effect. There occurs any circumstance or circumstances that could reasonably be expected, either individually or in the aggregate, to have a Material Adverse Effect; or</w:t>
      </w:r>
    </w:p>
    <w:p>
      <w:pPr>
        <w:spacing w:after="0" w:line="151" w:lineRule="exact"/>
        <w:rPr>
          <w:rFonts w:ascii="Times New Roman" w:cs="Times New Roman" w:eastAsia="Times New Roman" w:hAnsi="Times New Roman"/>
          <w:sz w:val="17"/>
          <w:szCs w:val="17"/>
          <w:color w:val="auto"/>
        </w:rPr>
      </w:pPr>
    </w:p>
    <w:p>
      <w:pPr>
        <w:ind w:left="960" w:hanging="339"/>
        <w:spacing w:after="0"/>
        <w:tabs>
          <w:tab w:leader="none" w:pos="9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There occurs any Change of Control; or</w:t>
      </w:r>
    </w:p>
    <w:p>
      <w:pPr>
        <w:spacing w:after="0" w:line="217" w:lineRule="exact"/>
        <w:rPr>
          <w:rFonts w:ascii="Times New Roman" w:cs="Times New Roman" w:eastAsia="Times New Roman" w:hAnsi="Times New Roman"/>
          <w:sz w:val="17"/>
          <w:szCs w:val="17"/>
          <w:color w:val="auto"/>
        </w:rPr>
      </w:pPr>
    </w:p>
    <w:p>
      <w:pPr>
        <w:jc w:val="both"/>
        <w:ind w:firstLine="621"/>
        <w:spacing w:after="0" w:line="261" w:lineRule="auto"/>
        <w:tabs>
          <w:tab w:leader="none" w:pos="115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Invalidity of Subordination Provisions. Any subordination provision in any document or instrument governing Indebtedness that is purported to be subordinated to the Obligations or any subordination provision in any subordination agreement that relates to any Indebtedness that is to be subordinated to the Obligations, or any subordination provision in any guaranty by any Loan Party of any such Indebtedness, shall cease to be in full force and effect, or any Person (including the holder of any such Indebtedness) shall contest in any manner the validity, binding nature or enforceability of any such provision; or</w:t>
      </w:r>
    </w:p>
    <w:p>
      <w:pPr>
        <w:spacing w:after="0" w:line="174"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 Any court order enjoins, restrains, or prevents any Loan Party from conducting any material part of its business; or</w:t>
      </w:r>
    </w:p>
    <w:p>
      <w:pPr>
        <w:spacing w:after="0" w:line="217" w:lineRule="exact"/>
        <w:rPr>
          <w:rFonts w:ascii="Times New Roman" w:cs="Times New Roman" w:eastAsia="Times New Roman" w:hAnsi="Times New Roman"/>
          <w:sz w:val="17"/>
          <w:szCs w:val="17"/>
          <w:color w:val="auto"/>
        </w:rPr>
      </w:pPr>
    </w:p>
    <w:p>
      <w:pPr>
        <w:jc w:val="both"/>
        <w:ind w:firstLine="621"/>
        <w:spacing w:after="0" w:line="255" w:lineRule="auto"/>
        <w:tabs>
          <w:tab w:leader="none" w:pos="105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Products. (i) The FDA shall revoke, withdraw, suspend, cancel, materially limit, terminate or materially adversely modify any approved Key Permit related to any Material Product; or (ii) any Governmental Authority (other than the FDA) shall revoke, withdraw, suspend, cancel, materially limit, terminate or materially modify any approved Key Permit related to any Material Product (in each case, a “</w:t>
      </w:r>
      <w:r>
        <w:rPr>
          <w:rFonts w:ascii="Times New Roman" w:cs="Times New Roman" w:eastAsia="Times New Roman" w:hAnsi="Times New Roman"/>
          <w:sz w:val="17"/>
          <w:szCs w:val="17"/>
          <w:u w:val="single" w:color="auto"/>
          <w:color w:val="auto"/>
        </w:rPr>
        <w:t>Non-FDA Governmental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and, in any such case, Consolidated Revenues shall decrease by greater than twenty-five percent (25%), as assessed as at the end of each of the four fiscal quarters immediately following such Non-FDA Governmental Action by comparing Consolidated Revenues for the four fiscal quarter period most recently ended prior to such Non-FDA Governmental Action for which the Loan Parties were required to deliver financial statements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against Consolidated Revenues for the four fiscal quarter period ending on the applicable date of assessment; or (iii) any Safety Notice is issued or initiated in connection with any Material Product after approval by the FDA or any other Governmental Authority and Consolidated Revenues shall decrease by greater than twenty-five percent (25%), as assessed as at the end of each of the four fiscal quarters immediately following the issuance or initiation of such Safety Notice by comparing Consolidated Revenues for the four fiscal quarter period most recently ended prior to the issuance or initiation of such Safety Notice for which the Loan Parties were required to deliver financial statements pursuant to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against Consolidated Revenues for the four fiscal quarter period ending on the applicable date of assessment;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event, occurrence, fact, condition or change, directly or indirectly, arising out of or attributable to the KP1077 Phase 2 Trial or the non-occurrence of the Arimoclomol FDA Approval, in each case, shall not give rise to an Event of Default under this </w:t>
      </w:r>
      <w:r>
        <w:rPr>
          <w:rFonts w:ascii="Times New Roman" w:cs="Times New Roman" w:eastAsia="Times New Roman" w:hAnsi="Times New Roman"/>
          <w:sz w:val="17"/>
          <w:szCs w:val="17"/>
          <w:u w:val="single" w:color="auto"/>
          <w:color w:val="auto"/>
        </w:rPr>
        <w:t>Section 9.01(o)</w:t>
      </w:r>
      <w:r>
        <w:rPr>
          <w:rFonts w:ascii="Times New Roman" w:cs="Times New Roman" w:eastAsia="Times New Roman" w:hAnsi="Times New Roman"/>
          <w:sz w:val="17"/>
          <w:szCs w:val="17"/>
          <w:color w:val="auto"/>
        </w:rPr>
        <w:t>; or</w:t>
      </w:r>
    </w:p>
    <w:p>
      <w:pPr>
        <w:spacing w:after="0" w:line="186" w:lineRule="exact"/>
        <w:rPr>
          <w:rFonts w:ascii="Times New Roman" w:cs="Times New Roman" w:eastAsia="Times New Roman" w:hAnsi="Times New Roman"/>
          <w:sz w:val="17"/>
          <w:szCs w:val="17"/>
          <w:color w:val="auto"/>
        </w:rPr>
      </w:pPr>
    </w:p>
    <w:p>
      <w:pPr>
        <w:jc w:val="both"/>
        <w:ind w:firstLine="621"/>
        <w:spacing w:after="0" w:line="258" w:lineRule="auto"/>
        <w:tabs>
          <w:tab w:leader="none" w:pos="100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Regulatory Matters. If any of the following occurs: (i) the FDA, CMS, EMA, DEA, or any other Governmental Authority issues a letter or other communication asserting that any Material Product lacks a required Regulatory Authorization or does not comply with applicable Law; (ii) any involuntary or voluntary recall of any Material Product or any part thereof occurs which could reasonably be expected, either individually or in the aggregate, to result in losses and/or expenses in excess of $1,000,000; or (iii) any Loan Party or any Subsidiary or any Product Distributor (as relating to Material Products) enters into a settlement agreement with the FDA, CMS, EMA, DEA, or any other Governmental Authority that results in aggregate liability as to any single or related series of transactions, incidents or conditions in excess of $1,000,000;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event, occurrence, fact, condition or change, directly or indirectly, arising out of or attributable to the KP1077 Phase 2 Trial or the non-occurrence of the Arimoclomol FDA Approval, in each case, shall not give rise to an Event of Default under this </w:t>
      </w:r>
      <w:r>
        <w:rPr>
          <w:rFonts w:ascii="Times New Roman" w:cs="Times New Roman" w:eastAsia="Times New Roman" w:hAnsi="Times New Roman"/>
          <w:sz w:val="17"/>
          <w:szCs w:val="17"/>
          <w:u w:val="single" w:color="auto"/>
          <w:color w:val="auto"/>
        </w:rPr>
        <w:t>Section 9.01(p)</w:t>
      </w:r>
      <w:r>
        <w:rPr>
          <w:rFonts w:ascii="Times New Roman" w:cs="Times New Roman" w:eastAsia="Times New Roman" w:hAnsi="Times New Roman"/>
          <w:sz w:val="17"/>
          <w:szCs w:val="17"/>
          <w:color w:val="auto"/>
        </w:rPr>
        <w:t>; or</w:t>
      </w:r>
    </w:p>
    <w:p>
      <w:pPr>
        <w:spacing w:after="0" w:line="175" w:lineRule="exact"/>
        <w:rPr>
          <w:rFonts w:ascii="Times New Roman" w:cs="Times New Roman" w:eastAsia="Times New Roman" w:hAnsi="Times New Roman"/>
          <w:sz w:val="17"/>
          <w:szCs w:val="17"/>
          <w:color w:val="auto"/>
        </w:rPr>
      </w:pPr>
    </w:p>
    <w:p>
      <w:pPr>
        <w:ind w:right="240" w:firstLine="621"/>
        <w:spacing w:after="0" w:line="270" w:lineRule="auto"/>
        <w:tabs>
          <w:tab w:leader="none" w:pos="99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Delisting. The shares of common stock of the Borrower are delisted from the Nasdaq Capital Market because of failure to comply with continued listing standards thereof or due to a voluntary delisting which results in such shares not being listed on any other nationally recognized stock exchange in the United States; or</w:t>
      </w:r>
    </w:p>
    <w:p>
      <w:pPr>
        <w:spacing w:after="0" w:line="165" w:lineRule="exact"/>
        <w:rPr>
          <w:rFonts w:ascii="Times New Roman" w:cs="Times New Roman" w:eastAsia="Times New Roman" w:hAnsi="Times New Roman"/>
          <w:sz w:val="17"/>
          <w:szCs w:val="17"/>
          <w:color w:val="auto"/>
        </w:rPr>
      </w:pPr>
    </w:p>
    <w:p>
      <w:pPr>
        <w:jc w:val="both"/>
        <w:ind w:firstLine="621"/>
        <w:spacing w:after="0" w:line="261" w:lineRule="auto"/>
        <w:tabs>
          <w:tab w:leader="none" w:pos="102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Bond Hedge Transactions and Permitted Warrant Transactions. There occurs under any Permitted Bond Hedge Transaction or Permitted Warrant Transaction an Early Termination Date (as defined therein) resulting from any event of default or termination event thereunder as to which the Borrower or any Subsidiary is the Defaulting Party (as defined therein) or the Affected Party (as defined therein) and the termination value owed by the Borrower or such Subsidiary as a result thereof, taken together, is greater than the Threshold Amount, and such termination value is required to be paid in cash and may not be settled by the delivery of common stock of the Borrower.</w:t>
      </w:r>
    </w:p>
    <w:p>
      <w:pPr>
        <w:spacing w:after="0" w:line="174" w:lineRule="exact"/>
        <w:rPr>
          <w:rFonts w:ascii="Times New Roman" w:cs="Times New Roman" w:eastAsia="Times New Roman" w:hAnsi="Times New Roman"/>
          <w:sz w:val="17"/>
          <w:szCs w:val="17"/>
          <w:color w:val="auto"/>
        </w:rPr>
      </w:pPr>
    </w:p>
    <w:p>
      <w:pPr>
        <w:jc w:val="both"/>
        <w:ind w:firstLine="621"/>
        <w:spacing w:after="0" w:line="270" w:lineRule="auto"/>
        <w:tabs>
          <w:tab w:leader="none" w:pos="100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Filings. Any circumstance or circumstances occur which preclude the Borrower from S-3 eligibility due to a failure to meet the SEC S-3 Eligibility Requirements (other than, for the avoidance of doubt and solely with respect to fiscal periods ending prior to December 31, 2024, the Material Weakness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-7112635</wp:posOffset>
            </wp:positionV>
            <wp:extent cx="14433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-6457315</wp:posOffset>
            </wp:positionV>
            <wp:extent cx="11614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-6064885</wp:posOffset>
            </wp:positionV>
            <wp:extent cx="9213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92138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-5802630</wp:posOffset>
            </wp:positionV>
            <wp:extent cx="19157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191579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-5016500</wp:posOffset>
            </wp:positionV>
            <wp:extent cx="5575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-4754880</wp:posOffset>
            </wp:positionV>
            <wp:extent cx="9372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93726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-2790190</wp:posOffset>
            </wp:positionV>
            <wp:extent cx="9626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96266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-1610995</wp:posOffset>
            </wp:positionV>
            <wp:extent cx="5092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50927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-1087120</wp:posOffset>
            </wp:positionV>
            <wp:extent cx="33896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338963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-301625</wp:posOffset>
            </wp:positionV>
            <wp:extent cx="6642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4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9.02</w:t>
        <w:tab/>
        <w:t>Remedies Upon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361315</wp:posOffset>
            </wp:positionV>
            <wp:extent cx="7138670"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-6350</wp:posOffset>
            </wp:positionV>
            <wp:extent cx="15633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ectPr>
          <w:pgSz w:w="11900" w:h="16838" w:orient="portrait"/>
          <w:cols w:equalWidth="0" w:num="1">
            <w:col w:w="10620"/>
          </w:cols>
          <w:pgMar w:left="940" w:top="561" w:right="339" w:bottom="1440" w:gutter="0" w:footer="0" w:header="0"/>
        </w:sectPr>
      </w:pPr>
    </w:p>
    <w:bookmarkStart w:id="119" w:name="page120"/>
    <w:bookmarkEnd w:id="119"/>
    <w:p>
      <w:pPr>
        <w:ind w:firstLine="619"/>
        <w:spacing w:after="0" w:line="287" w:lineRule="auto"/>
        <w:rPr>
          <w:sz w:val="20"/>
          <w:szCs w:val="20"/>
          <w:color w:val="auto"/>
        </w:rPr>
      </w:pPr>
      <w:r>
        <w:rPr>
          <w:rFonts w:ascii="Times New Roman" w:cs="Times New Roman" w:eastAsia="Times New Roman" w:hAnsi="Times New Roman"/>
          <w:sz w:val="17"/>
          <w:szCs w:val="17"/>
          <w:color w:val="auto"/>
        </w:rPr>
        <w:t>If any Event of Default occurs and is continuing, the Administrative Agent shall, at the request of, or may, with the consent of, the Required Lenders, take any or all of the following actions:</w:t>
      </w:r>
    </w:p>
    <w:p>
      <w:pPr>
        <w:spacing w:after="0" w:line="151" w:lineRule="exact"/>
        <w:rPr>
          <w:sz w:val="20"/>
          <w:szCs w:val="20"/>
          <w:color w:val="auto"/>
        </w:rPr>
      </w:pPr>
    </w:p>
    <w:p>
      <w:pPr>
        <w:ind w:left="1600" w:hanging="359"/>
        <w:spacing w:after="0"/>
        <w:tabs>
          <w:tab w:leader="none" w:pos="16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the Commitment of each Lender to make Loans to be terminated, whereupon such Commitments and obligation shall be terminated;</w:t>
      </w:r>
    </w:p>
    <w:p>
      <w:pPr>
        <w:spacing w:after="0" w:line="217"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2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the unpaid principal amount of all outstanding Loans, all interest accrued and unpaid thereon, and all other amounts (including any repayment premium and the Final Payment Premium) owing or payable hereunder or under any other Loan Document to be immediately due and payable, without presentment, demand, protest or other notice of any kind, all of which are hereby expressly waived by the Borrower; and</w:t>
      </w:r>
    </w:p>
    <w:p>
      <w:pPr>
        <w:spacing w:after="0" w:line="165"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on behalf of itself and the Lenders all rights and remedies available to it and the Lenders under the Loan Documents;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upon the occurrence of an actual or deemed entry of an order for relief with respect to the Borrower under the Bankruptcy Code of the United States or under any other Debtor Relief Law, the obligation of each Lender to make Loans shall automatically terminate, the unpaid principal amount of all outstanding Loans and all interest and other amounts (including any repayment premium and the Final Payment Premium) as aforesaid shall automatically become due and payable, in each case without further act of the Administrative Agent or any Lender.</w:t>
      </w:r>
    </w:p>
    <w:p>
      <w:pPr>
        <w:spacing w:after="0" w:line="17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 xml:space="preserve">If the Obligations are accelerated for any reason,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the Final Payment Premium required by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2.07(b)</w:t>
      </w:r>
      <w:r>
        <w:rPr>
          <w:rFonts w:ascii="Times New Roman" w:cs="Times New Roman" w:eastAsia="Times New Roman" w:hAnsi="Times New Roman"/>
          <w:sz w:val="17"/>
          <w:szCs w:val="17"/>
          <w:color w:val="auto"/>
        </w:rPr>
        <w:t xml:space="preserve"> will also be due and payable as though such Obligations were voluntarily prepaid and any discount on the Loans shall be deemed earned in full and, in each case, shall constitute part of the Obligations, in view of the impracticability and extreme difficulty of ascertaining actual damages and by mutual agreement of the parties as to a reasonable calculation of each Lender’s lost profits as a result thereof. Any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payable pursuant to the preceding sentence shall be presumed to be the liquidated damages sustained by each Lender as the result of the early termination and the Borrower agrees that it is reasonable under the circumstances currently existing.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shall also be payable and any discount on the Loans shall be deemed earned in full, in each case, in the event that the Obligations (and/or this Agreement) are satisfied or released by foreclosure (whether by power of judicial proceeding), deed in lieu of foreclosure or by any other means. TO THE EXTENT PERMITTED BY APPLICABLE LAW, THE BORROWER AND THE OTHER LOAN PARTIES EXPRESSLY WAIVE THE PROVISIONS OF ANY PRESENT OR FUTURE STATUTE OR LAW THAT PROHIBITS OR MAY PROHIBIT THE COLLECTION OF THE FOREGOING REPAYMENT PREMIUM, FINAL PAYMENT PREMIUM AND ANY DISCOUNT ON THE LOANS IN CONNECTION WITH ANY SUCH ACCELERATION. The Borrower and the other Loan Parties expressly agree that (i)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any discount on the Loans provided for herein is reasonable and is the product of an arm’s length transaction between sophisticated business people, ably represented by counsel, (ii)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any discount on the Loans shall be payable notwithstanding the then prevailing market rates at the time payment is made, (iii) there has been a course of conduct between the Lenders and the Borrower and the other Loan Parties giving specific consideration in this transaction for such agreement to pay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any discount on the Loans, (iv) the Borrower and the other Loan Parties shall be estopped hereafter from claiming differently than as agreed to in this paragraph and</w:t>
      </w:r>
    </w:p>
    <w:p>
      <w:pPr>
        <w:spacing w:after="0" w:line="6" w:lineRule="exact"/>
        <w:rPr>
          <w:sz w:val="20"/>
          <w:szCs w:val="20"/>
          <w:color w:val="auto"/>
        </w:rPr>
      </w:pPr>
    </w:p>
    <w:p>
      <w:pPr>
        <w:jc w:val="both"/>
        <w:ind w:firstLine="3"/>
        <w:spacing w:after="0" w:line="256" w:lineRule="auto"/>
        <w:tabs>
          <w:tab w:leader="none" w:pos="25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any discount on the Loans represent a good faith, reasonable estimate and calculation of the lost profits or damages of the Lenders and that it would be impractical and extremely difficult to ascertain the actual amount of damages to the Lenders or profits lost by the Lenders as a result of any early termination. The Borrower and the other Loan Parties expressly acknowledge that their agreement to pay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and any discount on the Loans to the Lenders as herein described is a material inducement to the Lenders to make the Loans and establish the Commitments hereunder.</w:t>
      </w:r>
    </w:p>
    <w:p>
      <w:pPr>
        <w:spacing w:after="0" w:line="178"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9.03</w:t>
        <w:tab/>
        <w:t>Application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-6350</wp:posOffset>
            </wp:positionV>
            <wp:extent cx="10306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After the exercise of remedies provided for in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(or after the Loans have automatically become immediately due and payable as set forth in the proviso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any amounts received by any Lender or the Administrative Agent on account of the Obligations shall be applied by the Administrative Agent in the following order:</w:t>
      </w:r>
    </w:p>
    <w:p>
      <w:pPr>
        <w:spacing w:after="0" w:line="165" w:lineRule="exact"/>
        <w:rPr>
          <w:sz w:val="20"/>
          <w:szCs w:val="20"/>
          <w:color w:val="auto"/>
        </w:rPr>
      </w:pPr>
    </w:p>
    <w:p>
      <w:pPr>
        <w:jc w:val="both"/>
        <w:ind w:left="620"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payable to the Administrative Agent in its capacity as such;</w:t>
      </w:r>
    </w:p>
    <w:p>
      <w:pPr>
        <w:spacing w:after="0" w:line="151" w:lineRule="exact"/>
        <w:rPr>
          <w:sz w:val="20"/>
          <w:szCs w:val="20"/>
          <w:color w:val="auto"/>
        </w:rPr>
      </w:pPr>
    </w:p>
    <w:p>
      <w:pPr>
        <w:jc w:val="both"/>
        <w:ind w:left="620" w:firstLine="619"/>
        <w:spacing w:after="0" w:line="264"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payment of that portion of the Obligations constituting fees, indemnities and other amounts (other than principal, interest, repayment premium and Final Payment Premium) payable to the Lenders (including fees, charges and disbursements of counsel to the respective Lenders) arising under the Loan Documents and amounts payable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ratably among them in proportion to the respective amounts described in this clause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payable to them;</w:t>
      </w:r>
    </w:p>
    <w:p>
      <w:pPr>
        <w:spacing w:after="0" w:line="171" w:lineRule="exact"/>
        <w:rPr>
          <w:sz w:val="20"/>
          <w:szCs w:val="20"/>
          <w:color w:val="auto"/>
        </w:rPr>
      </w:pPr>
    </w:p>
    <w:p>
      <w:pPr>
        <w:jc w:val="both"/>
        <w:ind w:left="620"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payment of that portion of the Obligations constituting accrued and unpaid interest on, and repayment premium and Final Payment Premium with respect to, the Loans, ratably among the Lenders in proportion to the respective amounts described in this clause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held by them;</w:t>
      </w:r>
    </w:p>
    <w:p>
      <w:pPr>
        <w:spacing w:after="0" w:line="151" w:lineRule="exact"/>
        <w:rPr>
          <w:sz w:val="20"/>
          <w:szCs w:val="20"/>
          <w:color w:val="auto"/>
        </w:rPr>
      </w:pPr>
    </w:p>
    <w:p>
      <w:pPr>
        <w:jc w:val="both"/>
        <w:ind w:left="620"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payment of that portion of the Obligations constituting accrued and unpaid principal of the Loans, ratably among the Lenders in proportion to the respective amounts described in this clause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held by them; and</w:t>
      </w:r>
    </w:p>
    <w:p>
      <w:pPr>
        <w:spacing w:after="0" w:line="151" w:lineRule="exact"/>
        <w:rPr>
          <w:sz w:val="20"/>
          <w:szCs w:val="20"/>
          <w:color w:val="auto"/>
        </w:rPr>
      </w:pPr>
    </w:p>
    <w:p>
      <w:pPr>
        <w:jc w:val="both"/>
        <w:ind w:left="620" w:firstLine="619"/>
        <w:spacing w:after="0" w:line="287" w:lineRule="auto"/>
        <w:rPr>
          <w:sz w:val="20"/>
          <w:szCs w:val="20"/>
          <w:color w:val="auto"/>
        </w:rPr>
      </w:pPr>
      <w:r>
        <w:rPr>
          <w:rFonts w:ascii="Times New Roman" w:cs="Times New Roman" w:eastAsia="Times New Roman" w:hAnsi="Times New Roman"/>
          <w:sz w:val="17"/>
          <w:szCs w:val="17"/>
          <w:u w:val="single" w:color="auto"/>
          <w:color w:val="auto"/>
        </w:rPr>
        <w:t>Last</w:t>
      </w:r>
      <w:r>
        <w:rPr>
          <w:rFonts w:ascii="Times New Roman" w:cs="Times New Roman" w:eastAsia="Times New Roman" w:hAnsi="Times New Roman"/>
          <w:sz w:val="17"/>
          <w:szCs w:val="17"/>
          <w:color w:val="auto"/>
        </w:rPr>
        <w:t>, the balance, if any, after all of the Obligations have been paid in full in cash (other than contingent indemnification or expense reimbursement obligations for which no claim has been asserted), to the Borrower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ARTICLE X</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ADMINISTRATIVE AGENT</w:t>
      </w:r>
    </w:p>
    <w:p>
      <w:pPr>
        <w:spacing w:after="0" w:line="217"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10.01</w:t>
        <w:tab/>
        <w:t>Appointment and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3150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8" w:lineRule="auto"/>
        <w:tabs>
          <w:tab w:leader="none" w:pos="160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Lenders hereby irrevocably appoints ALTER DOMUS (US)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47"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as though such co-agents, sub-agents and attorneys-in-fact were the “collateral agent” under the Loan Documents) as if set forth in full herein with respect thereto.</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663"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Collateral governed by Danish law shall be granted in favour of the Administrative Agent as agent and representative (in Danish: </w:t>
      </w:r>
      <w:r>
        <w:rPr>
          <w:rFonts w:ascii="Times New Roman" w:cs="Times New Roman" w:eastAsia="Times New Roman" w:hAnsi="Times New Roman"/>
          <w:sz w:val="17"/>
          <w:szCs w:val="17"/>
          <w:i w:val="1"/>
          <w:iCs w:val="1"/>
          <w:color w:val="auto"/>
        </w:rPr>
        <w:t>fuldm</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gtig og repr</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sentant</w:t>
      </w:r>
      <w:r>
        <w:rPr>
          <w:rFonts w:ascii="Times New Roman" w:cs="Times New Roman" w:eastAsia="Times New Roman" w:hAnsi="Times New Roman"/>
          <w:sz w:val="17"/>
          <w:szCs w:val="17"/>
          <w:color w:val="auto"/>
        </w:rPr>
        <w:t>) for and on behalf of the Secured Parties in accordance with Section 1(2) and 18(1) of the Danish Capital Markets Act.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the Secured Parties appoints the Administrative Agent as its agent and representative (in Danish: </w:t>
      </w:r>
      <w:r>
        <w:rPr>
          <w:rFonts w:ascii="Times New Roman" w:cs="Times New Roman" w:eastAsia="Times New Roman" w:hAnsi="Times New Roman"/>
          <w:sz w:val="17"/>
          <w:szCs w:val="17"/>
          <w:i w:val="1"/>
          <w:iCs w:val="1"/>
          <w:color w:val="auto"/>
        </w:rPr>
        <w:t>fuldm</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gtig og repr</w:t>
      </w:r>
      <w:r>
        <w:rPr>
          <w:rFonts w:ascii="Times New Roman" w:cs="Times New Roman" w:eastAsia="Times New Roman" w:hAnsi="Times New Roman"/>
          <w:sz w:val="17"/>
          <w:szCs w:val="17"/>
          <w:color w:val="auto"/>
        </w:rPr>
        <w:t>æ</w:t>
      </w:r>
      <w:r>
        <w:rPr>
          <w:rFonts w:ascii="Times New Roman" w:cs="Times New Roman" w:eastAsia="Times New Roman" w:hAnsi="Times New Roman"/>
          <w:sz w:val="17"/>
          <w:szCs w:val="17"/>
          <w:i w:val="1"/>
          <w:iCs w:val="1"/>
          <w:color w:val="auto"/>
        </w:rPr>
        <w:t>sentant</w:t>
      </w:r>
      <w:r>
        <w:rPr>
          <w:rFonts w:ascii="Times New Roman" w:cs="Times New Roman" w:eastAsia="Times New Roman" w:hAnsi="Times New Roman"/>
          <w:sz w:val="17"/>
          <w:szCs w:val="17"/>
          <w:color w:val="auto"/>
        </w:rPr>
        <w:t>) to receive and hold the Collateral governed by Danish law on behalf of and for the benefit of the Secured Parties, and the Administrative Agent agrees to receive and hold such Collateral accordingly.</w:t>
      </w:r>
    </w:p>
    <w:p>
      <w:pPr>
        <w:spacing w:after="0" w:line="17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10.02</w:t>
        <w:tab/>
        <w:t>Rights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9239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73"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10.03</w:t>
        <w:tab/>
        <w:t>Exculpatory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1303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51" w:lineRule="exact"/>
        <w:rPr>
          <w:sz w:val="20"/>
          <w:szCs w:val="20"/>
          <w:color w:val="auto"/>
        </w:rPr>
      </w:pPr>
    </w:p>
    <w:p>
      <w:pPr>
        <w:ind w:left="1600" w:hanging="359"/>
        <w:spacing w:after="0"/>
        <w:tabs>
          <w:tab w:leader="none" w:pos="16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subject to any fiduciary or other implied duties, regardless of whether a Default has occurred and is continuing;</w:t>
      </w:r>
    </w:p>
    <w:p>
      <w:pPr>
        <w:spacing w:after="0" w:line="217" w:lineRule="exact"/>
        <w:rPr>
          <w:rFonts w:ascii="Times New Roman" w:cs="Times New Roman" w:eastAsia="Times New Roman" w:hAnsi="Times New Roman"/>
          <w:sz w:val="17"/>
          <w:szCs w:val="17"/>
          <w:color w:val="auto"/>
        </w:rPr>
      </w:pPr>
    </w:p>
    <w:p>
      <w:pPr>
        <w:ind w:left="620" w:right="80" w:firstLine="621"/>
        <w:spacing w:after="0" w:line="258" w:lineRule="auto"/>
        <w:tabs>
          <w:tab w:leader="none" w:pos="161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9" w:lineRule="exact"/>
        <w:rPr>
          <w:rFonts w:ascii="Times New Roman" w:cs="Times New Roman" w:eastAsia="Times New Roman" w:hAnsi="Times New Roman"/>
          <w:sz w:val="17"/>
          <w:szCs w:val="17"/>
          <w:color w:val="auto"/>
        </w:rPr>
      </w:pPr>
    </w:p>
    <w:p>
      <w:pPr>
        <w:jc w:val="both"/>
        <w:ind w:left="620" w:right="300" w:firstLine="621"/>
        <w:spacing w:after="0" w:line="270" w:lineRule="auto"/>
        <w:tabs>
          <w:tab w:leader="none" w:pos="160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or (ii) in the absence of its own gross negligence or willful misconduct as determined by a court of competent jurisdiction by final and non-appealable judgment. If the Administrative Agent shall request instructions from the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Person by reason of so refraining. The Administrative Agent shall be deemed not to have knowledge of any Default unless and until notice describing such Default is given in writing to the Administrative Agent by the Borrower or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138670"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1" w:name="page122"/>
    <w:bookmarkEnd w:id="121"/>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The Administrative Agent 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 document or (E) the satisfaction of any condition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or elsewhere herein, other than to confirm receipt of items expressly required to be delivered to the Administrative Agent.</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Administrative Agent shall not have any liability for any action taken, or errors in judgment made, in good faith by it or any of its officers, employees or agents. The permissive rights of the Administrative Agent to do things enumerated in this Agreement shall not be construed as a duty and, with respect to such permissive rights, the Administrative Agent shall not be liable for any acts or omissions, except for such losses, damages or expenses which have been finally determined by a court of competent jurisdiction by final and non-appealable judgment. Nothing in this Agreement shall require the Administrative Agent to expend or risk its own funds or otherwise incur any financial liability in the performance of any of its duties or in the exercise of any of its rights or powers hereunder, or to exercise any of the rights or powers vested in it by this Agreement or the other Loan Documents at the request or direction of any Lender unless the Administrative Agent is adequately indemnified in its sole discretion against the costs, expenses and liabilities that may be incurred by the Administrative Agent in compliance with such request or direction. The Administrative Agent shall have no obligation to give, execute, deliver, file, record, authorize or obtain any financing or continuation statements, notices, instruments, documents, agreements, consents or other papers as shall be necessary to (x) create, preserve, perfect or validate the security interest granted to the Administrative Agent for the benefit of the Secured Parties pursuant to this Agreement or any other Loan Document or (y) enable the Administrative Agent to exercise and enforce its rights under this Agreement or any other Loan Document with respect to such pledge and security interest. The Administrative Agent shall not be responsible or liable for any failure or delay in the performance of its obligations under this Agreement or any other Loan Document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disturbances; acts of civil or military authority or governmental actions; or the unavailability of the Federal Reserve Bank wire or telex or other wire or communication facility.</w:t>
      </w:r>
    </w:p>
    <w:p>
      <w:pPr>
        <w:spacing w:after="0" w:line="390"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10.04</w:t>
        <w:tab/>
        <w:t>Reliance by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6027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7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10.05</w:t>
        <w:tab/>
        <w:t>Delegation of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0179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10.06</w:t>
        <w:tab/>
        <w:t>Resignation of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7240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The Administrative Agent may resign as Administrative Agent at any time by giving thirty (30) days advance notice thereof to the Lenders and the Borrower and, thereafter, the retiring Administrative Agent shall be discharged from its duties and obligations hereunder. Upon any such resignation, the Required Lenders shall have the right, subject to the approval of the Borrower (so long as no Event of Default has occurred and is continuing; such approval not to be unreasonably withheld), to appoint a successor Administrative Agent. If no successor Administrative Agent shall have been so appointed by the Required Lenders, been approved (so long as no Event of Default has occurred and is continuing) by the Borrower or have accepted such appointment within thirty (30) days after the Administrative Agent’s giving of notice of resignation, then the Administrative Agent may, on behalf of the Lenders, appoint a successor Administrative Agent reasonably acceptable to the Borrower (so long as no Default or Event of Default has occurred and is continuing). Upon the acceptance of any appointment as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Administrative Agent, the provisions of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shall continue in effect for its benefit in respect of any actions taken or omitted to be taken by it while it was acting as Administrative Agent. If no successor has accepted appointment as Administrative Agent by the date which is thirty (30) days following a retiring Administrative Agent’s notice of resignation, the retiring Administrative Agent’s resignation shall nevertheless thereupon become effective and the Required Lenders shall perform all of the duties of the Administrative Agent hereunder until such time, if any, as the Required Lenders appoint a successor agent as provided for above. After the retiring Administrative Agent’s resignation hereunder, the provisions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continue in effect for its benefit in respect of any actions taken or omitted to be taken by it while it was acting as Administrative Agent.</w:t>
      </w:r>
    </w:p>
    <w:p>
      <w:pPr>
        <w:spacing w:after="0" w:line="18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of the Administrative Agent under this Agreement and the other Loan Documents and will have and succeed to the rights, duties, benefits, privileges, protections, indemnities and immunities as its predecessor, without the execution or filing of any instrument or paper or the performance of any further act.</w:t>
      </w:r>
    </w:p>
    <w:p>
      <w:pPr>
        <w:spacing w:after="0" w:line="17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10.07</w:t>
        <w:tab/>
        <w:t>Non-Reliance on Administrative Agent and Other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2666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ectPr>
          <w:pgSz w:w="11900" w:h="16838" w:orient="portrait"/>
          <w:cols w:equalWidth="0" w:num="1">
            <w:col w:w="11240"/>
          </w:cols>
          <w:pgMar w:left="320" w:top="561" w:right="339" w:bottom="0" w:gutter="0" w:footer="0" w:header="0"/>
        </w:sectPr>
      </w:pPr>
    </w:p>
    <w:bookmarkStart w:id="122" w:name="page123"/>
    <w:bookmarkEnd w:id="122"/>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301625</wp:posOffset>
            </wp:positionV>
            <wp:extent cx="7138670"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10.08</w:t>
        <w:tab/>
        <w:t>Administrative Agent May File Proofs of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22002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220027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1" w:lineRule="exact"/>
        <w:rPr>
          <w:sz w:val="20"/>
          <w:szCs w:val="20"/>
          <w:color w:val="auto"/>
        </w:rPr>
      </w:pPr>
    </w:p>
    <w:p>
      <w:pPr>
        <w:ind w:left="620" w:right="240" w:firstLine="621"/>
        <w:spacing w:after="0" w:line="261" w:lineRule="auto"/>
        <w:tabs>
          <w:tab w:leader="none" w:pos="160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direction of the Required Lenders,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allowed in such judicial proceeding; and</w:t>
      </w:r>
    </w:p>
    <w:p>
      <w:pPr>
        <w:spacing w:after="0" w:line="174"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monies or other property payable or deliverable on any such claims and to distribute the same;</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10.09</w:t>
        <w:tab/>
        <w:t>Collateral and Guaranty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5176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Lenders irrevocably authorize the Administrative Agent, upon the direction of the Required Lenders,</w:t>
      </w:r>
    </w:p>
    <w:p>
      <w:pPr>
        <w:spacing w:after="0" w:line="217" w:lineRule="exact"/>
        <w:rPr>
          <w:sz w:val="20"/>
          <w:szCs w:val="20"/>
          <w:color w:val="auto"/>
        </w:rPr>
      </w:pPr>
    </w:p>
    <w:p>
      <w:pPr>
        <w:jc w:val="both"/>
        <w:ind w:left="620" w:right="260" w:firstLine="621"/>
        <w:spacing w:after="0" w:line="270" w:lineRule="auto"/>
        <w:tabs>
          <w:tab w:leader="none" w:pos="160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release any Lien on any Collateral granted to or held by the Administrative Agent under any Loan Document (i) upon the Facility Termination Date, (ii) that is sold or otherwise disposed of or to be sold or otherwise disposed of as part of or in connection with any sale or other Disposition permitted hereunder (including Permitted Transfers) or any Involuntary Disposition, or (iii) as approved in accordance with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left="620" w:right="340" w:firstLine="621"/>
        <w:spacing w:after="0" w:line="287" w:lineRule="auto"/>
        <w:tabs>
          <w:tab w:leader="none" w:pos="161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7"/>
          <w:szCs w:val="17"/>
          <w:u w:val="single" w:color="auto"/>
          <w:color w:val="auto"/>
        </w:rPr>
        <w:t>Section 8.01(i)</w:t>
      </w:r>
      <w:r>
        <w:rPr>
          <w:rFonts w:ascii="Times New Roman" w:cs="Times New Roman" w:eastAsia="Times New Roman" w:hAnsi="Times New Roman"/>
          <w:sz w:val="17"/>
          <w:szCs w:val="17"/>
          <w:color w:val="auto"/>
        </w:rPr>
        <w:t>; and</w:t>
      </w:r>
    </w:p>
    <w:p>
      <w:pPr>
        <w:spacing w:after="0" w:line="151" w:lineRule="exact"/>
        <w:rPr>
          <w:rFonts w:ascii="Times New Roman" w:cs="Times New Roman" w:eastAsia="Times New Roman" w:hAnsi="Times New Roman"/>
          <w:sz w:val="17"/>
          <w:szCs w:val="17"/>
          <w:color w:val="auto"/>
        </w:rPr>
      </w:pPr>
    </w:p>
    <w:p>
      <w:pPr>
        <w:ind w:left="620" w:right="580" w:firstLine="621"/>
        <w:spacing w:after="0" w:line="287" w:lineRule="auto"/>
        <w:tabs>
          <w:tab w:leader="none" w:pos="160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release any Guarantor from its obligations under the Guaranty if such Person ceases to be a Subsidiary as a result of a transaction permitted under the Loan Documents.</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left="620"/>
        <w:spacing w:after="0" w:line="264" w:lineRule="auto"/>
        <w:rPr>
          <w:sz w:val="20"/>
          <w:szCs w:val="20"/>
          <w:color w:val="auto"/>
        </w:rPr>
      </w:pPr>
      <w:r>
        <w:rPr>
          <w:rFonts w:ascii="Times New Roman" w:cs="Times New Roman" w:eastAsia="Times New Roman" w:hAnsi="Times New Roman"/>
          <w:sz w:val="17"/>
          <w:szCs w:val="17"/>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1"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10.10</w:t>
        <w:tab/>
        <w:t>Recovery of 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-6350</wp:posOffset>
            </wp:positionV>
            <wp:extent cx="15722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Without limitation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7138670"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color w:val="auto"/>
        </w:rPr>
        <w:t>ARTICLE XI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w:t>
      </w:r>
    </w:p>
    <w:p>
      <w:pPr>
        <w:spacing w:after="0" w:line="217"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17"/>
          <w:szCs w:val="17"/>
          <w:color w:val="auto"/>
        </w:rPr>
        <w:t>11.01</w:t>
        <w:tab/>
        <w:t>Amendments,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8845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600" w:hanging="359"/>
        <w:spacing w:after="0"/>
        <w:tabs>
          <w:tab w:leader="none" w:pos="160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amendment, waiver or consent shall:</w:t>
      </w:r>
    </w:p>
    <w:p>
      <w:pPr>
        <w:spacing w:after="0" w:line="217" w:lineRule="exact"/>
        <w:rPr>
          <w:rFonts w:ascii="Times New Roman" w:cs="Times New Roman" w:eastAsia="Times New Roman" w:hAnsi="Times New Roman"/>
          <w:sz w:val="17"/>
          <w:szCs w:val="17"/>
          <w:color w:val="auto"/>
        </w:rPr>
      </w:pPr>
    </w:p>
    <w:p>
      <w:pPr>
        <w:ind w:left="1240" w:firstLine="620"/>
        <w:spacing w:after="0" w:line="264" w:lineRule="auto"/>
        <w:tabs>
          <w:tab w:leader="none" w:pos="2193"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extend or increase the Commitment of a Lender (or reinstate any Commitment terminated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of any Default or a mandatory reduction in Commitments is not considered an extension or increase in Commitments of any Lender);</w:t>
      </w:r>
    </w:p>
    <w:p>
      <w:pPr>
        <w:spacing w:after="0" w:line="171" w:lineRule="exact"/>
        <w:rPr>
          <w:rFonts w:ascii="Times New Roman" w:cs="Times New Roman" w:eastAsia="Times New Roman" w:hAnsi="Times New Roman"/>
          <w:sz w:val="17"/>
          <w:szCs w:val="17"/>
          <w:color w:val="auto"/>
        </w:rPr>
      </w:pPr>
    </w:p>
    <w:p>
      <w:pPr>
        <w:ind w:left="1240" w:right="20" w:firstLine="620"/>
        <w:spacing w:after="0" w:line="264" w:lineRule="auto"/>
        <w:tabs>
          <w:tab w:leader="none" w:pos="2241"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postpone any date fixed by this Agreement or any other Loan Document for any payment of principal (excluding mandatory prepayments), interest, repayment premiums,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171" w:lineRule="exact"/>
        <w:rPr>
          <w:rFonts w:ascii="Times New Roman" w:cs="Times New Roman" w:eastAsia="Times New Roman" w:hAnsi="Times New Roman"/>
          <w:sz w:val="17"/>
          <w:szCs w:val="17"/>
          <w:color w:val="auto"/>
        </w:rPr>
      </w:pPr>
    </w:p>
    <w:p>
      <w:pPr>
        <w:jc w:val="both"/>
        <w:ind w:left="1240" w:firstLine="620"/>
        <w:spacing w:after="0" w:line="264" w:lineRule="auto"/>
        <w:tabs>
          <w:tab w:leader="none" w:pos="2336"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reduce the principal of, the rate of interest specified herein on or the repayment premium specified herein on any Loan, or any fees or other amounts payable hereunder or under any other Loan Document without the written consent of each Lender entitled to receive such payment of principal, interest, fees or other amounts;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only the consent of the Required Lenders shall be necessary to amend the definition of “Default Rate” or to waive any obligation of the Borrower to pay interest at the Default Rate;</w:t>
      </w:r>
    </w:p>
    <w:p>
      <w:pPr>
        <w:spacing w:after="0" w:line="171" w:lineRule="exact"/>
        <w:rPr>
          <w:rFonts w:ascii="Times New Roman" w:cs="Times New Roman" w:eastAsia="Times New Roman" w:hAnsi="Times New Roman"/>
          <w:sz w:val="17"/>
          <w:szCs w:val="17"/>
          <w:color w:val="auto"/>
        </w:rPr>
      </w:pPr>
    </w:p>
    <w:p>
      <w:pPr>
        <w:ind w:left="1240" w:right="20" w:firstLine="620"/>
        <w:spacing w:after="0" w:line="287" w:lineRule="auto"/>
        <w:tabs>
          <w:tab w:leader="none" w:pos="2279"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 any provision of this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 xml:space="preserve"> or the definition of “Required Lenders”, in each case, without the written consent of each Lender directly affected thereby;</w:t>
      </w:r>
    </w:p>
    <w:p>
      <w:pPr>
        <w:spacing w:after="0" w:line="151" w:lineRule="exact"/>
        <w:rPr>
          <w:rFonts w:ascii="Times New Roman" w:cs="Times New Roman" w:eastAsia="Times New Roman" w:hAnsi="Times New Roman"/>
          <w:sz w:val="17"/>
          <w:szCs w:val="17"/>
          <w:color w:val="auto"/>
        </w:rPr>
      </w:pPr>
    </w:p>
    <w:p>
      <w:pPr>
        <w:ind w:left="1240" w:right="180" w:firstLine="620"/>
        <w:spacing w:after="0" w:line="287" w:lineRule="auto"/>
        <w:tabs>
          <w:tab w:leader="none" w:pos="2231"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connection with a Disposition permitted under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release all or substantially all of the Collateral without the written consent of each Lender directly affected thereby;</w:t>
      </w:r>
    </w:p>
    <w:p>
      <w:pPr>
        <w:spacing w:after="0" w:line="151" w:lineRule="exact"/>
        <w:rPr>
          <w:rFonts w:ascii="Times New Roman" w:cs="Times New Roman" w:eastAsia="Times New Roman" w:hAnsi="Times New Roman"/>
          <w:sz w:val="17"/>
          <w:szCs w:val="17"/>
          <w:color w:val="auto"/>
        </w:rPr>
      </w:pPr>
    </w:p>
    <w:p>
      <w:pPr>
        <w:ind w:left="1240" w:right="440" w:firstLine="620"/>
        <w:spacing w:after="0" w:line="264" w:lineRule="auto"/>
        <w:tabs>
          <w:tab w:leader="none" w:pos="2279"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release the Borrower or, except in connection with a merger or consolidation permitted under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or a Disposition permitted under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xml:space="preserve">, all or substantially all of the Guarantors without the written consent of each Lender directly affected thereby, except to the extent the release of any Guarantor is permitted pursuant to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 xml:space="preserve"> (in which case such release may be made by the Administrative Agent acting alone);</w:t>
      </w:r>
    </w:p>
    <w:p>
      <w:pPr>
        <w:spacing w:after="0" w:line="171" w:lineRule="exact"/>
        <w:rPr>
          <w:rFonts w:ascii="Times New Roman" w:cs="Times New Roman" w:eastAsia="Times New Roman" w:hAnsi="Times New Roman"/>
          <w:sz w:val="17"/>
          <w:szCs w:val="17"/>
          <w:color w:val="auto"/>
        </w:rPr>
      </w:pPr>
    </w:p>
    <w:p>
      <w:pPr>
        <w:ind w:left="1240" w:right="60" w:firstLine="620"/>
        <w:spacing w:after="0" w:line="287" w:lineRule="auto"/>
        <w:tabs>
          <w:tab w:leader="none" w:pos="2326"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subordinate, or have the effect of subordinating, the Obligations hereunder to any other Indebtedness or other obligation, without the written consent of each Lender;</w:t>
      </w:r>
    </w:p>
    <w:p>
      <w:pPr>
        <w:spacing w:after="0" w:line="151" w:lineRule="exact"/>
        <w:rPr>
          <w:rFonts w:ascii="Times New Roman" w:cs="Times New Roman" w:eastAsia="Times New Roman" w:hAnsi="Times New Roman"/>
          <w:sz w:val="17"/>
          <w:szCs w:val="17"/>
          <w:color w:val="auto"/>
        </w:rPr>
      </w:pPr>
    </w:p>
    <w:p>
      <w:pPr>
        <w:ind w:left="1240" w:right="380" w:firstLine="620"/>
        <w:spacing w:after="0" w:line="287" w:lineRule="auto"/>
        <w:tabs>
          <w:tab w:leader="none" w:pos="2374"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 any provision of </w:t>
      </w:r>
      <w:r>
        <w:rPr>
          <w:rFonts w:ascii="Times New Roman" w:cs="Times New Roman" w:eastAsia="Times New Roman" w:hAnsi="Times New Roman"/>
          <w:sz w:val="17"/>
          <w:szCs w:val="17"/>
          <w:u w:val="single" w:color="auto"/>
          <w:color w:val="auto"/>
        </w:rPr>
        <w:t>Section 2.03(b)(iv)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in each case, without the written consent of each Lender directly affected thereby; or</w:t>
      </w:r>
    </w:p>
    <w:p>
      <w:pPr>
        <w:spacing w:after="0" w:line="151" w:lineRule="exact"/>
        <w:rPr>
          <w:rFonts w:ascii="Times New Roman" w:cs="Times New Roman" w:eastAsia="Times New Roman" w:hAnsi="Times New Roman"/>
          <w:sz w:val="17"/>
          <w:szCs w:val="17"/>
          <w:color w:val="auto"/>
        </w:rPr>
      </w:pPr>
    </w:p>
    <w:p>
      <w:pPr>
        <w:jc w:val="both"/>
        <w:ind w:firstLine="3"/>
        <w:spacing w:after="0" w:line="270" w:lineRule="auto"/>
        <w:tabs>
          <w:tab w:leader="none" w:pos="42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the definition of “HCRX” or “HCRX Lender” (or any defined term used in any such definition), in each case, without the written consent of each HCRX Lender or (B) change the definition of “Perceptive” or “Perceptive Lender” (or any defined term used in any such definition), in each case, without the written consent of each Perceptive Lender;</w:t>
      </w:r>
    </w:p>
    <w:p>
      <w:pPr>
        <w:spacing w:after="0" w:line="165" w:lineRule="exact"/>
        <w:rPr>
          <w:rFonts w:ascii="Times New Roman" w:cs="Times New Roman" w:eastAsia="Times New Roman" w:hAnsi="Times New Roman"/>
          <w:sz w:val="17"/>
          <w:szCs w:val="17"/>
          <w:color w:val="auto"/>
        </w:rPr>
      </w:pPr>
    </w:p>
    <w:p>
      <w:pPr>
        <w:ind w:left="620" w:right="340" w:firstLine="621"/>
        <w:spacing w:after="0" w:line="287" w:lineRule="auto"/>
        <w:tabs>
          <w:tab w:leader="none" w:pos="161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also signed by the Administrative Agent, no amendment, waiver or consent shall affect the rights or duties of the Administrative Agent under this Agreement or any other Loan Document;</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Notwithstanding anything herein to the contrary, as to any amendment, amendment and restatement or other modification otherwise approved in accordance with this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amount of such Lender under this Agreement and the other Loan Documents at the time of such amendment, amendment and restatement or other modification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38670"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5" w:name="page126"/>
    <w:bookmarkEnd w:id="125"/>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11.02</w:t>
        <w:tab/>
        <w:t>Notices and Other Communications; Facsimile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24879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197" w:lineRule="exact"/>
        <w:rPr>
          <w:sz w:val="20"/>
          <w:szCs w:val="20"/>
          <w:color w:val="auto"/>
        </w:rPr>
      </w:pPr>
    </w:p>
    <w:p>
      <w:pPr>
        <w:ind w:left="620" w:right="260" w:firstLine="621"/>
        <w:spacing w:after="0" w:line="264" w:lineRule="auto"/>
        <w:tabs>
          <w:tab w:leader="none" w:pos="1601"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Notices Generally. Except in the case of notices and other communications expressly permitted to be given by telephone (and except as provided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71" w:lineRule="exact"/>
        <w:rPr>
          <w:rFonts w:ascii="Times New Roman" w:cs="Times New Roman" w:eastAsia="Times New Roman" w:hAnsi="Times New Roman"/>
          <w:sz w:val="17"/>
          <w:szCs w:val="17"/>
          <w:color w:val="auto"/>
        </w:rPr>
      </w:pPr>
    </w:p>
    <w:p>
      <w:pPr>
        <w:ind w:left="1240" w:firstLine="620"/>
        <w:spacing w:after="0" w:line="287" w:lineRule="auto"/>
        <w:tabs>
          <w:tab w:leader="none" w:pos="2193"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the Borrower or any other Loan Party or the Administrative Agent, to the address, facsimile number, electronic mail address or telephone number specified for such Person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and</w:t>
      </w:r>
    </w:p>
    <w:p>
      <w:pPr>
        <w:spacing w:after="0" w:line="151" w:lineRule="exact"/>
        <w:rPr>
          <w:rFonts w:ascii="Times New Roman" w:cs="Times New Roman" w:eastAsia="Times New Roman" w:hAnsi="Times New Roman"/>
          <w:sz w:val="17"/>
          <w:szCs w:val="17"/>
          <w:color w:val="auto"/>
        </w:rPr>
      </w:pPr>
    </w:p>
    <w:p>
      <w:pPr>
        <w:ind w:left="1240" w:right="580" w:firstLine="620"/>
        <w:spacing w:after="0" w:line="287" w:lineRule="auto"/>
        <w:tabs>
          <w:tab w:leader="none" w:pos="224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any other Lender, to the address, facsimile number, electronic mail address or telephone number of its Lending Office (whether specified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xml:space="preserve"> or separately specified to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-1227455</wp:posOffset>
            </wp:positionV>
            <wp:extent cx="8997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31" w:lineRule="exact"/>
        <w:rPr>
          <w:sz w:val="20"/>
          <w:szCs w:val="20"/>
          <w:color w:val="auto"/>
        </w:rPr>
      </w:pPr>
    </w:p>
    <w:p>
      <w:pPr>
        <w:jc w:val="both"/>
        <w:ind w:left="620" w:firstLine="619"/>
        <w:spacing w:after="0" w:line="261" w:lineRule="auto"/>
        <w:rPr>
          <w:sz w:val="20"/>
          <w:szCs w:val="20"/>
          <w:color w:val="auto"/>
        </w:rPr>
      </w:pPr>
      <w:r>
        <w:rPr>
          <w:rFonts w:ascii="Times New Roman" w:cs="Times New Roman" w:eastAsia="Times New Roman" w:hAnsi="Times New Roman"/>
          <w:sz w:val="17"/>
          <w:szCs w:val="17"/>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shall be effective as provided in such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left="620" w:firstLine="621"/>
        <w:spacing w:after="0" w:line="260" w:lineRule="auto"/>
        <w:tabs>
          <w:tab w:leader="none" w:pos="169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Electronic Communications.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foregoing shall not apply to notices to any Lender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if such Lender has notified the Administrative Agent that it is incapable of receiving notices under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-689610</wp:posOffset>
            </wp:positionV>
            <wp:extent cx="13957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153" w:lineRule="exact"/>
        <w:rPr>
          <w:sz w:val="20"/>
          <w:szCs w:val="20"/>
          <w:color w:val="auto"/>
        </w:rPr>
      </w:pPr>
    </w:p>
    <w:p>
      <w:pPr>
        <w:jc w:val="both"/>
        <w:ind w:left="620" w:firstLine="619"/>
        <w:spacing w:after="0" w:line="258" w:lineRule="auto"/>
        <w:rPr>
          <w:sz w:val="20"/>
          <w:szCs w:val="20"/>
          <w:color w:val="auto"/>
        </w:rPr>
      </w:pPr>
      <w:r>
        <w:rPr>
          <w:rFonts w:ascii="Times New Roman" w:cs="Times New Roman" w:eastAsia="Times New Roman" w:hAnsi="Times New Roman"/>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notification that such notice or communication is available and identifying the website address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both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9" w:lineRule="exact"/>
        <w:rPr>
          <w:sz w:val="20"/>
          <w:szCs w:val="20"/>
          <w:color w:val="auto"/>
        </w:rPr>
      </w:pPr>
    </w:p>
    <w:p>
      <w:pPr>
        <w:jc w:val="both"/>
        <w:ind w:left="620" w:firstLine="621"/>
        <w:spacing w:after="0" w:line="264" w:lineRule="auto"/>
        <w:tabs>
          <w:tab w:leader="none" w:pos="163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Address, Etc. Each of the Borrower, the Lenders and the Administrative Agent may change its address, facsimile or telephone number for notices and other communications hereunder by notice to the other parties hereto.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171" w:lineRule="exact"/>
        <w:rPr>
          <w:rFonts w:ascii="Times New Roman" w:cs="Times New Roman" w:eastAsia="Times New Roman" w:hAnsi="Times New Roman"/>
          <w:sz w:val="17"/>
          <w:szCs w:val="17"/>
          <w:color w:val="auto"/>
        </w:rPr>
      </w:pPr>
    </w:p>
    <w:p>
      <w:pPr>
        <w:jc w:val="both"/>
        <w:ind w:left="620" w:firstLine="621"/>
        <w:spacing w:after="0" w:line="258" w:lineRule="auto"/>
        <w:tabs>
          <w:tab w:leader="none" w:pos="1611"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by Administrative Agent and Lenders. The Administrative Agent and the Lenders shall be entitled to rely and act upon any notices (including telephonic or electronic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-1471295</wp:posOffset>
            </wp:positionV>
            <wp:extent cx="1186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118618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-816610</wp:posOffset>
            </wp:positionV>
            <wp:extent cx="21666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2166620" cy="8255"/>
                    </a:xfrm>
                    <a:prstGeom prst="rect">
                      <a:avLst/>
                    </a:prstGeom>
                    <a:noFill/>
                  </pic:spPr>
                </pic:pic>
              </a:graphicData>
            </a:graphic>
          </wp:anchor>
        </w:drawing>
      </w:r>
    </w:p>
    <w:p>
      <w:pPr>
        <w:spacing w:after="0" w:line="15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11.03</w:t>
        <w:tab/>
        <w:t>No Waiver; Cumulative Remedies;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22269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for the benefit of all the Secured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(subject to the terms of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or (c) any Lender from filing proofs of claim or appearing and filing pleadings on its own behalf during the pendency of a proceeding relative to any Loan Party under any Debtor Relief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and (ii) in addition to the matters set forth in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the preceding proviso and subject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w:t>
      </w:r>
      <w:r>
        <w:rPr>
          <w:rFonts w:ascii="Times New Roman" w:cs="Times New Roman" w:eastAsia="Times New Roman" w:hAnsi="Times New Roman"/>
          <w:sz w:val="17"/>
          <w:szCs w:val="17"/>
          <w:color w:val="auto"/>
        </w:rPr>
        <w:t>, any Lender may, with the consent of the Required Lenders, enforce any rights and remedies available to it and as authorized by the Required Lenders.</w:t>
      </w:r>
    </w:p>
    <w:p>
      <w:pPr>
        <w:spacing w:after="0" w:line="176"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11.04</w:t>
        <w:tab/>
        <w:t>Expenses; Indemnity; and Damage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9729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197" w:lineRule="exact"/>
        <w:rPr>
          <w:sz w:val="20"/>
          <w:szCs w:val="20"/>
          <w:color w:val="auto"/>
        </w:rPr>
      </w:pPr>
    </w:p>
    <w:p>
      <w:pPr>
        <w:jc w:val="both"/>
        <w:ind w:left="620" w:firstLine="621"/>
        <w:spacing w:after="0" w:line="257" w:lineRule="auto"/>
        <w:tabs>
          <w:tab w:leader="none" w:pos="166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Costs and Expenses. The Loan Parties shall pay, promptly following written demand therefor (i) all reasonable and documented out-of-pocket expenses incurred by the Administrative Agent or any of its Affiliates or any Lender or any of their respective Affiliates in connection with (A) the preparation, negotiation, execution and delivery of this Agreement and the other Loan Documents and (B) any amendments, modifications or waivers of the provisions hereof or thereof (whether or not the transactions contemplated hereby or thereby shall be consummated) or the administration of this Agreement and the other Loan Documents and (ii) all reasonable and documented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or (B) in connection with the Loans made hereunder, including all such out-of-pocket expenses incurred during any workout, restructuring or negotiations in respect of such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-1078865</wp:posOffset>
            </wp:positionV>
            <wp:extent cx="10331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ectPr>
          <w:pgSz w:w="11900" w:h="16838" w:orient="portrait"/>
          <w:cols w:equalWidth="0" w:num="1">
            <w:col w:w="11240"/>
          </w:cols>
          <w:pgMar w:left="320" w:top="561" w:right="339" w:bottom="8"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both"/>
        <w:ind w:left="620" w:firstLine="621"/>
        <w:spacing w:after="0" w:line="254" w:lineRule="auto"/>
        <w:tabs>
          <w:tab w:leader="none" w:pos="1682"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Indemnification by the Loan Parties. The Loan Parties shall indemnify the Administrative Agent (and any sub-agent thereof) and each Lender,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against, and hold each Indemnitee harmless from, any and all losses, claims, damages, liabilities and related expenses (but limited, in the case of legal fees and expenses, to the reasonable fees, disbursements and other charges of one firm of counsel for Indemnitees (taken as a whole), and, if necessary, one firm of local counsel in each appropriate jurisdiction, in each case for all such Indemnitees (and, in the case of an actual or perceived conflict of interest where the Indemnitee affected by such conflict informs the Borrower of such conflict and thereafter retains its own counsel, of one additional firm of counsel for all such affected Indemnitees taken as a whole),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indemnity shall not, (x)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any Related Indemnified Party of such Indemnitee) or (B) result from a claim brought by any Loan Party against such Indemnitee for breach in bad faith of such Indemnitee’s obligations hereunder or under any Loan Document, if the Borrower or such Loan Party has obtained a final and nonappealable judgment in its favor on such claim as determined by a court of competent jurisdiction or (y) be available to the extent that such losses, claims, damages, liabilities or related expenses arise solely from a dispute solely among Indemnitees (except when and to the extent that one of the Indemnitees party to such dispute was acting in its capacity or in fulfilling its role as an agent or any similar role under this Agreement or any Loan Document) that does not involve any act or omission by the Borrower or any of its Affiliates. This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 xml:space="preserve"> shall not apply with respect to taxes other than any taxes that represent losses, claims, damages, etc. arising from any non-tax claim.</w:t>
      </w:r>
    </w:p>
    <w:p>
      <w:pPr>
        <w:spacing w:after="0" w:line="39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Reimbursement by Lenders. To the extent that the Loan Parties for any reason fail to pay in full in cash any amount required under </w:t>
      </w:r>
      <w:r>
        <w:rPr>
          <w:rFonts w:ascii="Times New Roman" w:cs="Times New Roman" w:eastAsia="Times New Roman" w:hAnsi="Times New Roman"/>
          <w:sz w:val="17"/>
          <w:szCs w:val="17"/>
          <w:u w:val="single" w:color="auto"/>
          <w:color w:val="auto"/>
        </w:rPr>
        <w:t>clause</w:t>
      </w:r>
    </w:p>
    <w:p>
      <w:pPr>
        <w:spacing w:after="0" w:line="27" w:lineRule="exact"/>
        <w:rPr>
          <w:rFonts w:ascii="Times New Roman" w:cs="Times New Roman" w:eastAsia="Times New Roman" w:hAnsi="Times New Roman"/>
          <w:sz w:val="17"/>
          <w:szCs w:val="17"/>
          <w:color w:val="auto"/>
        </w:rPr>
      </w:pPr>
    </w:p>
    <w:p>
      <w:pPr>
        <w:jc w:val="both"/>
        <w:ind w:left="620" w:firstLine="2"/>
        <w:spacing w:after="0" w:line="254" w:lineRule="auto"/>
        <w:tabs>
          <w:tab w:leader="none" w:pos="873" w:val="left"/>
        </w:tabs>
        <w:numPr>
          <w:ilvl w:val="0"/>
          <w:numId w:val="13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to be paid by them to the Administrative Agent (or any sub-agent thereof) or any Related Party thereof,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unreimbursed expense or indemnified loss, claim, damage, liability or related expense, as the case may be, was incurred by or asserted against the Administrative Agent (or any such sub-agent), or against any Related Party thereof acting for the Administrative Agent (or any such sub-agent) in connection with such capacity. The obligations of the Lenders under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are subject to the provisions of </w:t>
      </w:r>
      <w:r>
        <w:rPr>
          <w:rFonts w:ascii="Times New Roman" w:cs="Times New Roman" w:eastAsia="Times New Roman" w:hAnsi="Times New Roman"/>
          <w:sz w:val="17"/>
          <w:szCs w:val="17"/>
          <w:u w:val="single" w:color="auto"/>
          <w:color w:val="auto"/>
        </w:rPr>
        <w:t>Section 2.10(b)</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u w:val="single" w:color="auto"/>
          <w:color w:val="auto"/>
        </w:rPr>
      </w:pPr>
    </w:p>
    <w:p>
      <w:pPr>
        <w:jc w:val="both"/>
        <w:ind w:left="620" w:firstLine="621"/>
        <w:spacing w:after="0" w:line="257" w:lineRule="auto"/>
        <w:tabs>
          <w:tab w:leader="none" w:pos="1614"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Waiver of Consequential Damages, Etc. To the fullest extent permitted by applicable law, no party hereto shall assert, and each party hereto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foregoing shall not limit the Loan Parties’ indemnification obligations to the extent such special, indirect, consequential or punitive damages are included in any third party claim with respect to which an Indemnitee is entitled to indemnification pursuant to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 xml:space="preserve">. No Indemnitee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nonappealable judgment of a court of competent jurisdiction.</w:t>
      </w:r>
    </w:p>
    <w:p>
      <w:pPr>
        <w:spacing w:after="0" w:line="175"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Payments. All amounts due under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be payable not later than ten (10) Business Days after demand therefor.</w:t>
      </w:r>
    </w:p>
    <w:p>
      <w:pPr>
        <w:spacing w:after="0" w:line="217" w:lineRule="exact"/>
        <w:rPr>
          <w:rFonts w:ascii="Times New Roman" w:cs="Times New Roman" w:eastAsia="Times New Roman" w:hAnsi="Times New Roman"/>
          <w:sz w:val="17"/>
          <w:szCs w:val="17"/>
          <w:color w:val="auto"/>
        </w:rPr>
      </w:pPr>
    </w:p>
    <w:p>
      <w:pPr>
        <w:ind w:left="620" w:right="220" w:firstLine="621"/>
        <w:spacing w:after="0" w:line="270" w:lineRule="auto"/>
        <w:tabs>
          <w:tab w:leader="none" w:pos="1582"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Survival. The agreements in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and the indemnity provisions of </w:t>
      </w:r>
      <w:r>
        <w:rPr>
          <w:rFonts w:ascii="Times New Roman" w:cs="Times New Roman" w:eastAsia="Times New Roman" w:hAnsi="Times New Roman"/>
          <w:sz w:val="17"/>
          <w:szCs w:val="17"/>
          <w:u w:val="single" w:color="auto"/>
          <w:color w:val="auto"/>
        </w:rPr>
        <w:t>Section 11.02(d)</w:t>
      </w:r>
      <w:r>
        <w:rPr>
          <w:rFonts w:ascii="Times New Roman" w:cs="Times New Roman" w:eastAsia="Times New Roman" w:hAnsi="Times New Roman"/>
          <w:sz w:val="17"/>
          <w:szCs w:val="17"/>
          <w:color w:val="auto"/>
        </w:rPr>
        <w:t xml:space="preserve"> shall survive the resignation of the Administrative Agent, the replacement of any Lender, the termination of the Commitments, the termination of the Loan Documents and the repayment, satisfaction or discharge of all the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-6850380</wp:posOffset>
            </wp:positionV>
            <wp:extent cx="17684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176847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-3444875</wp:posOffset>
            </wp:positionV>
            <wp:extent cx="13392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133921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-2004060</wp:posOffset>
            </wp:positionV>
            <wp:extent cx="18573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185737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-563245</wp:posOffset>
            </wp:positionV>
            <wp:extent cx="5334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53340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-301625</wp:posOffset>
            </wp:positionV>
            <wp:extent cx="4787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4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11.05</w:t>
        <w:tab/>
        <w:t>Payments Set Aside.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9817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interest thereon from the date of such demand to the date such payment is made at a rate per annum equal to the Federal Funds Rate from time to time in effect. The obligations of the Lenders under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preceding sentence shall survive the payment in full of the Obligations and the termination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7138670"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8" w:name="page129"/>
    <w:bookmarkEnd w:id="128"/>
    <w:p>
      <w:pPr>
        <w:spacing w:after="0"/>
        <w:tabs>
          <w:tab w:leader="none" w:pos="540" w:val="left"/>
        </w:tabs>
        <w:rPr>
          <w:sz w:val="20"/>
          <w:szCs w:val="20"/>
          <w:color w:val="auto"/>
        </w:rPr>
      </w:pPr>
      <w:r>
        <w:rPr>
          <w:rFonts w:ascii="Times New Roman" w:cs="Times New Roman" w:eastAsia="Times New Roman" w:hAnsi="Times New Roman"/>
          <w:sz w:val="17"/>
          <w:szCs w:val="17"/>
          <w:color w:val="auto"/>
        </w:rPr>
        <w:t>11.06</w:t>
        <w:tab/>
        <w:t>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-6350</wp:posOffset>
            </wp:positionV>
            <wp:extent cx="11455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97" w:lineRule="exact"/>
        <w:rPr>
          <w:sz w:val="20"/>
          <w:szCs w:val="20"/>
          <w:color w:val="auto"/>
        </w:rPr>
      </w:pPr>
    </w:p>
    <w:p>
      <w:pPr>
        <w:jc w:val="both"/>
        <w:ind w:firstLine="621"/>
        <w:spacing w:after="0" w:line="257" w:lineRule="auto"/>
        <w:tabs>
          <w:tab w:leader="none" w:pos="98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Successors and Assigns Generally.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(other than any Defaulting Lender) and no Lender may assign or otherwise transfer any of its rights or obligations hereunder except (i) to an assignee in accordance with the provisions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(ii) by way of participation in accordance with the provisions of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or (iii) by way of pledge or assignment of a security interest subject to the restrictions of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75" w:lineRule="exact"/>
        <w:rPr>
          <w:rFonts w:ascii="Times New Roman" w:cs="Times New Roman" w:eastAsia="Times New Roman" w:hAnsi="Times New Roman"/>
          <w:sz w:val="17"/>
          <w:szCs w:val="17"/>
          <w:color w:val="auto"/>
        </w:rPr>
      </w:pPr>
    </w:p>
    <w:p>
      <w:pPr>
        <w:jc w:val="both"/>
        <w:ind w:firstLine="621"/>
        <w:spacing w:after="0" w:line="264" w:lineRule="auto"/>
        <w:tabs>
          <w:tab w:leader="none" w:pos="1033"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Assignments by Lenders. Any Lender may at any time assign to one or more assignees (other than any Disqualified Institution) all or a portion of its rights and obligations under this Agreement and the other Loan Documents (including all or a portion of its Commitments under any Term Facility and the Loans at the time owing to it (in each case with respect to any Term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such assignment shall be subject to the following conditions:</w:t>
      </w:r>
    </w:p>
    <w:p>
      <w:pPr>
        <w:spacing w:after="0" w:line="171" w:lineRule="exact"/>
        <w:rPr>
          <w:rFonts w:ascii="Times New Roman" w:cs="Times New Roman" w:eastAsia="Times New Roman" w:hAnsi="Times New Roman"/>
          <w:sz w:val="17"/>
          <w:szCs w:val="17"/>
          <w:color w:val="auto"/>
        </w:rPr>
      </w:pPr>
    </w:p>
    <w:p>
      <w:pPr>
        <w:ind w:left="620" w:right="400" w:firstLine="620"/>
        <w:spacing w:after="0" w:line="287" w:lineRule="auto"/>
        <w:tabs>
          <w:tab w:leader="none" w:pos="1573"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Proportionate Amounts. Each partial assignment shall be made as an assignment of a proportionate part of all of the assigning Lender’s rights and obligations under this Agreement with respect to the Loans or the Commitment assigned.</w:t>
      </w:r>
    </w:p>
    <w:p>
      <w:pPr>
        <w:spacing w:after="0" w:line="151" w:lineRule="exact"/>
        <w:rPr>
          <w:rFonts w:ascii="Times New Roman" w:cs="Times New Roman" w:eastAsia="Times New Roman" w:hAnsi="Times New Roman"/>
          <w:sz w:val="17"/>
          <w:szCs w:val="17"/>
          <w:color w:val="auto"/>
        </w:rPr>
      </w:pPr>
    </w:p>
    <w:p>
      <w:pPr>
        <w:jc w:val="both"/>
        <w:ind w:left="620" w:firstLine="620"/>
        <w:spacing w:after="0" w:line="260" w:lineRule="auto"/>
        <w:tabs>
          <w:tab w:leader="none" w:pos="1723"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Assignment and Assumption. The parties to each assignment shall (A) execute and deliver to the Administrative Agent an Assignment and Assumption and (B) deliver a processing fee of $[***] to the Administrative Agent at the time of such assignment (it being understood that the Administrative Agent, in its sole discretion, may elect to waive such fee);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processing fee shall not be charged with respect to an assignment (1) by and between any HCRX Lender and any other HCRX Lender or (2) by and between Perceptive Lender and any other Perceptive Lender. The assignee, if it is not a Lender, shall deliver to the Administrative Agent such information, including notice information, as the Administrative Agent may reasonably require.</w:t>
      </w:r>
    </w:p>
    <w:p>
      <w:pPr>
        <w:spacing w:after="0" w:line="173" w:lineRule="exact"/>
        <w:rPr>
          <w:rFonts w:ascii="Times New Roman" w:cs="Times New Roman" w:eastAsia="Times New Roman" w:hAnsi="Times New Roman"/>
          <w:sz w:val="17"/>
          <w:szCs w:val="17"/>
          <w:color w:val="auto"/>
        </w:rPr>
      </w:pPr>
    </w:p>
    <w:p>
      <w:pPr>
        <w:ind w:left="620" w:right="100" w:firstLine="620"/>
        <w:spacing w:after="0" w:line="270" w:lineRule="auto"/>
        <w:tabs>
          <w:tab w:leader="none" w:pos="1668"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Assignment to Certain Persons.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(C) to any Disqualified Institution or (D) to a natural Person.</w:t>
      </w:r>
    </w:p>
    <w:p>
      <w:pPr>
        <w:spacing w:after="0" w:line="165" w:lineRule="exact"/>
        <w:rPr>
          <w:rFonts w:ascii="Times New Roman" w:cs="Times New Roman" w:eastAsia="Times New Roman" w:hAnsi="Times New Roman"/>
          <w:sz w:val="17"/>
          <w:szCs w:val="17"/>
          <w:color w:val="auto"/>
        </w:rPr>
      </w:pPr>
    </w:p>
    <w:p>
      <w:pPr>
        <w:jc w:val="both"/>
        <w:ind w:left="620" w:firstLine="620"/>
        <w:spacing w:after="0" w:line="256" w:lineRule="auto"/>
        <w:tabs>
          <w:tab w:leader="none" w:pos="1659"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then the assignee of such interest shall be deemed to be a Defaulting Lender for all purposes of this Agreement until such compliance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-5268595</wp:posOffset>
            </wp:positionV>
            <wp:extent cx="16109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161099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-3827780</wp:posOffset>
            </wp:positionV>
            <wp:extent cx="12312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1231265" cy="825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-3172460</wp:posOffset>
            </wp:positionV>
            <wp:extent cx="11303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-2780030</wp:posOffset>
            </wp:positionV>
            <wp:extent cx="14700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-1863090</wp:posOffset>
            </wp:positionV>
            <wp:extent cx="16186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161861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-1339215</wp:posOffset>
            </wp:positionV>
            <wp:extent cx="13754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Subject to acceptance and recording thereof by the Administrative Agent pursuant to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11.04</w:t>
      </w:r>
      <w:r>
        <w:rPr>
          <w:rFonts w:ascii="Times New Roman" w:cs="Times New Roman" w:eastAsia="Times New Roman" w:hAnsi="Times New Roman"/>
          <w:sz w:val="17"/>
          <w:szCs w:val="17"/>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Notwithstanding anything to the contrary in this Agreement, the Borrower, the other Loan Parties and the Lenders acknowledge and agree that the Administrative Agent (x) shall not be responsible or have any liability for, or have any duty to ascertain, inquire into, monitor or enforce, compliance with the provisions of this Agreement relating to Disqualified Institutions,</w:t>
      </w:r>
    </w:p>
    <w:p>
      <w:pPr>
        <w:spacing w:after="0" w:line="1" w:lineRule="exact"/>
        <w:rPr>
          <w:sz w:val="20"/>
          <w:szCs w:val="20"/>
          <w:color w:val="auto"/>
        </w:rPr>
      </w:pPr>
    </w:p>
    <w:p>
      <w:pPr>
        <w:ind w:left="260" w:hanging="258"/>
        <w:spacing w:after="0"/>
        <w:tabs>
          <w:tab w:leader="none" w:pos="26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obligated to ascertain, monitor or inquire as to whether any Lender or Participant or prospective Lender or Participant is a Disqualified</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 and (z) shall not have any liability with respect to or arising out of any assignment or participation of Loans or Commitments, or disclosure of</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information, to any Disqualified‎ Institution.</w:t>
      </w:r>
    </w:p>
    <w:p>
      <w:pPr>
        <w:spacing w:after="0" w:line="200" w:lineRule="exact"/>
        <w:rPr>
          <w:rFonts w:ascii="Times New Roman" w:cs="Times New Roman" w:eastAsia="Times New Roman" w:hAnsi="Times New Roman"/>
          <w:sz w:val="17"/>
          <w:szCs w:val="17"/>
          <w:color w:val="auto"/>
        </w:rPr>
      </w:pPr>
    </w:p>
    <w:p>
      <w:pPr>
        <w:jc w:val="both"/>
        <w:ind w:firstLine="621"/>
        <w:spacing w:after="0" w:line="257" w:lineRule="auto"/>
        <w:tabs>
          <w:tab w:leader="none" w:pos="994"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written notice.</w:t>
      </w:r>
    </w:p>
    <w:p>
      <w:pPr>
        <w:spacing w:after="0" w:line="178" w:lineRule="exact"/>
        <w:rPr>
          <w:rFonts w:ascii="Times New Roman" w:cs="Times New Roman" w:eastAsia="Times New Roman" w:hAnsi="Times New Roman"/>
          <w:sz w:val="17"/>
          <w:szCs w:val="17"/>
          <w:color w:val="auto"/>
        </w:rPr>
      </w:pPr>
    </w:p>
    <w:p>
      <w:pPr>
        <w:jc w:val="both"/>
        <w:ind w:firstLine="621"/>
        <w:spacing w:after="0" w:line="258" w:lineRule="auto"/>
        <w:tabs>
          <w:tab w:leader="none" w:pos="112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Participations. Any Lender may at any time, without the consent of, or notice to, the Borrower or the Administrative Agent, sell participations to any Person (other than a natural Person, a Defaulting Lender, a Disqualified Institution or the Borrower or any of the Borrower’s Affiliates or Subsidiaries)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xml:space="preserve"> without regard to the existence of any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-2126615</wp:posOffset>
            </wp:positionV>
            <wp:extent cx="4806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48069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-816610</wp:posOffset>
            </wp:positionV>
            <wp:extent cx="7905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90575" cy="8255"/>
                    </a:xfrm>
                    <a:prstGeom prst="rect">
                      <a:avLst/>
                    </a:prstGeom>
                    <a:noFill/>
                  </pic:spPr>
                </pic:pic>
              </a:graphicData>
            </a:graphic>
          </wp:anchor>
        </w:drawing>
      </w:r>
    </w:p>
    <w:p>
      <w:pPr>
        <w:sectPr>
          <w:pgSz w:w="11900" w:h="16838" w:orient="portrait"/>
          <w:cols w:equalWidth="0" w:num="1">
            <w:col w:w="10620"/>
          </w:cols>
          <w:pgMar w:left="940" w:top="561" w:right="339" w:bottom="8"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301625</wp:posOffset>
            </wp:positionV>
            <wp:extent cx="7138670"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both"/>
        <w:ind w:left="620" w:firstLine="619"/>
        <w:spacing w:after="0" w:line="254" w:lineRule="auto"/>
        <w:rPr>
          <w:sz w:val="20"/>
          <w:szCs w:val="20"/>
          <w:color w:val="auto"/>
        </w:rPr>
      </w:pPr>
      <w:r>
        <w:rPr>
          <w:rFonts w:ascii="Times New Roman" w:cs="Times New Roman" w:eastAsia="Times New Roman" w:hAnsi="Times New Roman"/>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 xml:space="preserve"> that affects such Participant. The Borrower agrees that each Participant shall be entitled to the benefits of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(subject to the requirements and limitations therein (it being understood that the documentation required under </w:t>
      </w:r>
      <w:r>
        <w:rPr>
          <w:rFonts w:ascii="Times New Roman" w:cs="Times New Roman" w:eastAsia="Times New Roman" w:hAnsi="Times New Roman"/>
          <w:sz w:val="17"/>
          <w:szCs w:val="17"/>
          <w:u w:val="single" w:color="auto"/>
          <w:color w:val="auto"/>
        </w:rPr>
        <w:t>Section 3.01(c)</w:t>
      </w:r>
      <w:r>
        <w:rPr>
          <w:rFonts w:ascii="Times New Roman" w:cs="Times New Roman" w:eastAsia="Times New Roman" w:hAnsi="Times New Roman"/>
          <w:sz w:val="17"/>
          <w:szCs w:val="17"/>
          <w:color w:val="auto"/>
        </w:rPr>
        <w:t xml:space="preserve"> shall be solely delivered to the participating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participant shall also deliver such documentation to the Administrative Agent and the Borrower if making a claim for the payment of Taxes indemnified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to the same extent as if it were a Lender and had acquired its interest by assignment pursuant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Participant (A) agrees to be subject to the provisions of </w:t>
      </w:r>
      <w:r>
        <w:rPr>
          <w:rFonts w:ascii="Times New Roman" w:cs="Times New Roman" w:eastAsia="Times New Roman" w:hAnsi="Times New Roman"/>
          <w:sz w:val="17"/>
          <w:szCs w:val="17"/>
          <w:u w:val="single" w:color="auto"/>
          <w:color w:val="auto"/>
        </w:rPr>
        <w:t>Sections 3.03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11.13</w:t>
      </w:r>
      <w:r>
        <w:rPr>
          <w:rFonts w:ascii="Times New Roman" w:cs="Times New Roman" w:eastAsia="Times New Roman" w:hAnsi="Times New Roman"/>
          <w:sz w:val="17"/>
          <w:szCs w:val="17"/>
          <w:color w:val="auto"/>
        </w:rPr>
        <w:t xml:space="preserve"> as if it were an assignee under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and (B) shall not be entitled to receive any greater payment under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3.02</w:t>
      </w:r>
      <w:r>
        <w:rPr>
          <w:rFonts w:ascii="Times New Roman" w:cs="Times New Roman" w:eastAsia="Times New Roman" w:hAnsi="Times New Roman"/>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with respect to any Participant. To the fullest extent permitted by law, each Participant also shall be entitled to the benefits of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Participant shall to be subject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w:t>
      </w:r>
      <w:r>
        <w:rPr>
          <w:rFonts w:ascii="Times New Roman" w:cs="Times New Roman" w:eastAsia="Times New Roman" w:hAnsi="Times New Roman"/>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or Proposed Section 1.163-5(b) (or, in each case, any amended or successor sections)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8" w:lineRule="exact"/>
        <w:rPr>
          <w:sz w:val="20"/>
          <w:szCs w:val="20"/>
          <w:color w:val="auto"/>
        </w:rPr>
      </w:pPr>
    </w:p>
    <w:p>
      <w:pPr>
        <w:jc w:val="both"/>
        <w:ind w:left="620" w:firstLine="621"/>
        <w:spacing w:after="0" w:line="264" w:lineRule="auto"/>
        <w:tabs>
          <w:tab w:leader="none" w:pos="1642"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Pledges.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such pledge or assignment shall release such Lender from any of its obligations hereunder or substitute any such pledgee or assignee for such Lender as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-428625</wp:posOffset>
            </wp:positionV>
            <wp:extent cx="8299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829945" cy="8255"/>
                    </a:xfrm>
                    <a:prstGeom prst="rect">
                      <a:avLst/>
                    </a:prstGeom>
                    <a:noFill/>
                  </pic:spPr>
                </pic:pic>
              </a:graphicData>
            </a:graphic>
          </wp:anchor>
        </w:drawing>
      </w:r>
    </w:p>
    <w:p>
      <w:pPr>
        <w:spacing w:after="0" w:line="151"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11.07</w:t>
        <w:tab/>
        <w:t>Treatment of Certain Information;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22847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as may be reasonably necessary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a Loan Party and its obligations, this Agreement or payments hereunder, (g) on a confidential basis to (i) any rating agency in connection with rating the Borrower or its Subsidiaries or the Loans to be made hereunder or (ii) the CUSIP Service Bureau or any similar agency in connection with the issuance and monitoring of CUSIP numbers or other market identifiers with respect to the credit facilities provided hereunder, (h) with the consent of the Borrower, (i) to the members of its investment committee (it being understood that the Persons to whom such disclosure is made will be informed of the confidential nature of such Information and instructed to keep such Information confidential) or (j) to the extent such Information (i) becomes publicly available other than as a result of a breach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or (ii) becomes available to the Administrative Agent, any Lender or any of their respective Affiliates on a nonconfidential basis from a source other than the Borrower.</w:t>
      </w:r>
    </w:p>
    <w:p>
      <w:pPr>
        <w:spacing w:after="0" w:line="3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means all information received from a Loan Party or any Subsidiary relating to the Loan Parties or any Subsidiary or any of their respective businesses, other than any such information that is available to the Administrative Agent or any Lender on a nonconfidential basis prior to disclosure by such Loan Party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the case of information received from a Loan Party or any Subsidiary after the Closing Date,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73"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11.08</w:t>
        <w:tab/>
        <w:t>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4102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41021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If an Event of Default shall have occurred and be continuing, each Lender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failure to give such notice shall not affect the validity of such setoff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7138670"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633" w:gutter="0" w:footer="0" w:header="0"/>
        </w:sectPr>
      </w:pPr>
    </w:p>
    <w:bookmarkStart w:id="131" w:name="page132"/>
    <w:bookmarkEnd w:id="131"/>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11.09</w:t>
        <w:tab/>
        <w:t>Interest Rate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151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7"/>
          <w:szCs w:val="17"/>
          <w:u w:val="single" w:color="auto"/>
          <w:color w:val="auto"/>
        </w:rPr>
        <w:t>Maximum Rate</w:t>
      </w:r>
      <w:r>
        <w:rPr>
          <w:rFonts w:ascii="Times New Roman" w:cs="Times New Roman" w:eastAsia="Times New Roman" w:hAnsi="Times New Roman"/>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11.10</w:t>
        <w:tab/>
        <w:t>Counterparts; Integration;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8522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7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17"/>
          <w:szCs w:val="17"/>
          <w:color w:val="auto"/>
        </w:rPr>
        <w:t>11.11</w:t>
        <w:tab/>
        <w:t>Survival of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-6350</wp:posOffset>
            </wp:positionV>
            <wp:extent cx="20027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and shall continue in full force and effect as long as any Loan or other Obligation (other than contingent indemnification or expense reimbursement obligations for which no claim has been asserted) hereunder shall remain unpaid or unsatisfied.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(other than contingent indemnification or expense reimbursement obligations for which no claim has been asserted) hereunder shall remain unpaid or unsatisfied.</w:t>
      </w:r>
    </w:p>
    <w:p>
      <w:pPr>
        <w:spacing w:after="0" w:line="17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11.12</w:t>
      </w:r>
      <w:r>
        <w:rPr>
          <w:sz w:val="20"/>
          <w:szCs w:val="20"/>
          <w:color w:val="auto"/>
        </w:rPr>
        <w:tab/>
      </w:r>
      <w:r>
        <w:rPr>
          <w:rFonts w:ascii="Times New Roman" w:cs="Times New Roman" w:eastAsia="Times New Roman" w:hAnsi="Times New Roman"/>
          <w:sz w:val="16"/>
          <w:szCs w:val="16"/>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6362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 if and to the extent that the enforceability of any provisions in this Agreement relating to Defaulting Lenders shall be limited by Debtor Relief Laws, as determined in good faith by the Required Lenders, then such provisions shall be deemed to be in effect only to the extent not so limited.</w:t>
      </w:r>
    </w:p>
    <w:p>
      <w:pPr>
        <w:spacing w:after="0" w:line="17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11.13</w:t>
        <w:tab/>
        <w:t>Replacement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1753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If the Borrower is entitled to replace a Lender pursuant to the provisions of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or if any Lender is a Defaulting Lender, then the Borrower may, at its sole expense and effort, upon written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all of its interests, rights (other than its existing rights to payments pursuant to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3.02</w:t>
      </w:r>
      <w:r>
        <w:rPr>
          <w:rFonts w:ascii="Times New Roman" w:cs="Times New Roman" w:eastAsia="Times New Roman" w:hAnsi="Times New Roman"/>
          <w:sz w:val="17"/>
          <w:szCs w:val="17"/>
          <w:color w:val="auto"/>
        </w:rPr>
        <w:t xml:space="preserve">)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left="620" w:firstLine="621"/>
        <w:spacing w:after="0" w:line="260" w:lineRule="auto"/>
        <w:tabs>
          <w:tab w:leader="none" w:pos="163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Lender shall have received payment of an amount equal to one hundred percent (100%) of (i) the outstanding principal of its Loans, accrued interest thereon and all other amounts payable to it hereunder and under the other Loan Documents (other than repayment premium and Final Payment Premium) from the assignee (to the extent of such outstanding principal and accrued interest) or the Borrower (in the case of all other amounts) and (ii) the repayment premium required by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and the Final Payment Premium required by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in each case, from the Borrower, as if such assignment was a prepayment of one hundred percent (100%) of the outstanding principal amount of such assignor’s Loans on the effective date of such assignment;</w:t>
      </w:r>
    </w:p>
    <w:p>
      <w:pPr>
        <w:spacing w:after="0" w:line="173"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assignment does not conflict with applicable Laws; and</w:t>
      </w:r>
    </w:p>
    <w:p>
      <w:pPr>
        <w:spacing w:after="0" w:line="217" w:lineRule="exact"/>
        <w:rPr>
          <w:rFonts w:ascii="Times New Roman" w:cs="Times New Roman" w:eastAsia="Times New Roman" w:hAnsi="Times New Roman"/>
          <w:sz w:val="17"/>
          <w:szCs w:val="17"/>
          <w:color w:val="auto"/>
        </w:rPr>
      </w:pPr>
    </w:p>
    <w:p>
      <w:pPr>
        <w:ind w:left="620" w:firstLine="621"/>
        <w:spacing w:after="0" w:line="287" w:lineRule="auto"/>
        <w:tabs>
          <w:tab w:leader="none" w:pos="160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such assignment resulting from a claim for compensation under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or payments required to be made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such assignment will result in a reduction in such compensation or payments thereafter.</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32" w:name="page133"/>
    <w:bookmarkEnd w:id="132"/>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11.14</w:t>
        <w:tab/>
        <w:t>Governing Law; Jurisdiction;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5665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197" w:lineRule="exact"/>
        <w:rPr>
          <w:sz w:val="20"/>
          <w:szCs w:val="20"/>
          <w:color w:val="auto"/>
        </w:rPr>
      </w:pPr>
    </w:p>
    <w:p>
      <w:pPr>
        <w:ind w:left="620" w:right="40" w:firstLine="621"/>
        <w:spacing w:after="0" w:line="260" w:lineRule="auto"/>
        <w:tabs>
          <w:tab w:leader="none" w:pos="1601"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55" w:lineRule="auto"/>
        <w:tabs>
          <w:tab w:leader="none" w:pos="197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JURISDICTION.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STATE OF NEW YORK AND ANY UNITED STATES DISTRICT COURT IN THE STATE OF NEW YORK, AND ANY APPELLATE COURT FROM ANY THEREOF LOCATED IN NEW YORK COUNTY, NEW YORK,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84"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761"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WAIVER OF VENUE.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EACH OF THE PARTIES HERETO HEREBY IRREVOCABLY WAIVES, TO THE FULLEST EXTENT PERMITTED BY APPLICABLE LAW, THE DEFENSE OF AN INCONVENIENT FORUM TO THE MAINTENANCE OF SUCH ACTION OR PROCEEDING IN ANY SUCH COURT.</w:t>
      </w:r>
    </w:p>
    <w:p>
      <w:pPr>
        <w:spacing w:after="0" w:line="173"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697"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SERVICE OF PROCESS. EACH PARTY HERETO IRREVOCABLY CONSENTS TO SERVICE OF PROCESS IN THE MANNER PROVIDED FOR NOTICES IN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NOTHING IN THIS AGREEMENT WILL AFFECT THE RIGHT OF ANY PARTY HERETO TO SERVE PROCESS IN ANY OTHER MANNER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-4231005</wp:posOffset>
            </wp:positionV>
            <wp:extent cx="1024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-3314065</wp:posOffset>
            </wp:positionV>
            <wp:extent cx="20510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205105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-1218565</wp:posOffset>
            </wp:positionV>
            <wp:extent cx="12503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1250315" cy="825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-301625</wp:posOffset>
            </wp:positionV>
            <wp:extent cx="13036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4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11.15</w:t>
      </w:r>
      <w:r>
        <w:rPr>
          <w:sz w:val="20"/>
          <w:szCs w:val="20"/>
          <w:color w:val="auto"/>
        </w:rPr>
        <w:tab/>
      </w:r>
      <w:r>
        <w:rPr>
          <w:rFonts w:ascii="Times New Roman" w:cs="Times New Roman" w:eastAsia="Times New Roman" w:hAnsi="Times New Roman"/>
          <w:sz w:val="16"/>
          <w:szCs w:val="16"/>
          <w:color w:val="auto"/>
        </w:rPr>
        <w:t>Waiver of Right to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5068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150685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7"/>
          <w:szCs w:val="17"/>
          <w:u w:val="single" w:color="auto"/>
          <w:color w:val="auto"/>
        </w:rPr>
        <w:t>SECTION 11.15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138670"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33" w:name="page134"/>
    <w:bookmarkEnd w:id="133"/>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11.16</w:t>
        <w:tab/>
        <w:t>Electronic Execution; Electronic Records;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25387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 w:cs="Times New Roman" w:eastAsia="Times New Roman" w:hAnsi="Times New Roman"/>
          <w:sz w:val="17"/>
          <w:szCs w:val="17"/>
          <w:u w:val="single" w:color="auto"/>
          <w:color w:val="auto"/>
        </w:rPr>
        <w:t>Electronic Copy</w:t>
      </w:r>
      <w:r>
        <w:rPr>
          <w:rFonts w:ascii="Times New Roman" w:cs="Times New Roman" w:eastAsia="Times New Roman" w:hAnsi="Times New Roman"/>
          <w:sz w:val="17"/>
          <w:szCs w:val="17"/>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without limiting the foregoing, (a) to the extent the Administrative Agent has agreed to accept such Electronic Signature, the Administrative Agent and each of the Lenders shall be entitled to rely on any such Electronic Signature purportedly given by or on behalf of any Loan Party and/or any Lender without further verification and (b) upon the request of the Administrative Agent or any Lender, any Electronic Signature shall be promptly followed by such manually executed counterpart.</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reasonably believed by it to be genuine and signed or sent or otherwise authenticated (whether or not such Person in fact meets the requirements set forth in the Loan Documents for being the maker thereof).</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Each of the Loan Parties and each Lender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and each Related Party for any liabilities arising solely from the Administrative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11.17</w:t>
      </w:r>
      <w:r>
        <w:rPr>
          <w:sz w:val="20"/>
          <w:szCs w:val="20"/>
          <w:color w:val="auto"/>
        </w:rPr>
        <w:tab/>
      </w:r>
      <w:r>
        <w:rPr>
          <w:rFonts w:ascii="Times New Roman" w:cs="Times New Roman" w:eastAsia="Times New Roman" w:hAnsi="Times New Roman"/>
          <w:sz w:val="16"/>
          <w:szCs w:val="16"/>
          <w:color w:val="auto"/>
        </w:rPr>
        <w:t>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9779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Each Lender that is subject to the Act (as hereinafter defined) and the Administrative Agent (for itself and not on behalf of any Lender) hereby notifies the Borrower and the other Loan Parties that pursuant to the requirements of the USA PATRIOT Act (Title III of Pub. L. 107-56 (signed into law October 26, 2001))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and the Loan Parties agree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Act.</w:t>
      </w:r>
    </w:p>
    <w:p>
      <w:pPr>
        <w:spacing w:after="0" w:line="17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color w:val="auto"/>
        </w:rPr>
        <w:t>11.18</w:t>
        <w:tab/>
        <w:t>No Advisory or Fiduciary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wp:posOffset>
            </wp:positionV>
            <wp:extent cx="18180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and the Lenders are arm’s-length commercial transactions between the Borrower and its Affiliates, on the one hand, and the Administrative Agent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the Administrative Agent and each Lender is and has been acting solely as a principal and, except as expressly agreed in writing by the relevant parties, has not been, is not and will not be acting as an advisor, agent or fiduciary, for the Borrower or any of Affiliates or any other Person and (ii) neither the Administrative Agent nor any Lender has any obligation to the Borrower or any of its Affiliates with respect to the transactions contemplated hereby except those obligations expressly set forth herein and in the other Loan Documents; and (c) the Administrative Agent and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138670" cy="165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34" w:name="page135"/>
    <w:bookmarkEnd w:id="134"/>
    <w:p>
      <w:pPr>
        <w:ind w:left="620"/>
        <w:spacing w:after="0"/>
        <w:tabs>
          <w:tab w:leader="none" w:pos="1140" w:val="left"/>
        </w:tabs>
        <w:rPr>
          <w:sz w:val="20"/>
          <w:szCs w:val="20"/>
          <w:color w:val="auto"/>
        </w:rPr>
      </w:pPr>
      <w:r>
        <w:rPr>
          <w:rFonts w:ascii="Times New Roman" w:cs="Times New Roman" w:eastAsia="Times New Roman" w:hAnsi="Times New Roman"/>
          <w:sz w:val="17"/>
          <w:szCs w:val="17"/>
          <w:color w:val="auto"/>
        </w:rPr>
        <w:t>11.19</w:t>
      </w:r>
      <w:r>
        <w:rPr>
          <w:sz w:val="20"/>
          <w:szCs w:val="20"/>
          <w:color w:val="auto"/>
        </w:rPr>
        <w:tab/>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76" w:lineRule="exact"/>
        <w:rPr>
          <w:sz w:val="20"/>
          <w:szCs w:val="20"/>
          <w:color w:val="auto"/>
        </w:rPr>
      </w:pPr>
    </w:p>
    <w:p>
      <w:pPr>
        <w:ind w:left="1240"/>
        <w:spacing w:after="0"/>
        <w:tabs>
          <w:tab w:leader="none" w:pos="1780" w:val="left"/>
        </w:tabs>
        <w:rPr>
          <w:sz w:val="20"/>
          <w:szCs w:val="20"/>
          <w:color w:val="auto"/>
        </w:rPr>
      </w:pPr>
      <w:r>
        <w:rPr>
          <w:rFonts w:ascii="Times New Roman" w:cs="Times New Roman" w:eastAsia="Times New Roman" w:hAnsi="Times New Roman"/>
          <w:sz w:val="17"/>
          <w:szCs w:val="17"/>
          <w:color w:val="auto"/>
        </w:rPr>
        <w:t>11.20</w:t>
        <w:tab/>
        <w:t>Intended Tax Treatment of the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-6350</wp:posOffset>
            </wp:positionV>
            <wp:extent cx="17246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parties hereto agree that, for U.S. federal and appliable state and local income tax purposes, the Loans are intended to constitute variable rate debt instruments within the meaning of Treasury Regulation 1.1275-5. The parties shall not take and shall not cause or permit their Affiliates to take, any position that is inconsistent with the foregoing on any Tax return or for any other Tax purpose, unless required by Law or the good faith resolution of a Tax audit or other Tax proceeding.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PAGES FOLLOW]</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parties hereto have caused this Agreement to be duly executed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BORROWER:</w:t>
            </w:r>
          </w:p>
        </w:tc>
        <w:tc>
          <w:tcPr>
            <w:tcW w:w="56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ZEVRA THERAPEUTICS, INC.,</w:t>
            </w:r>
          </w:p>
        </w:tc>
      </w:tr>
      <w:tr>
        <w:trPr>
          <w:trHeight w:val="223"/>
        </w:trPr>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a Delaware corporation</w:t>
            </w:r>
          </w:p>
        </w:tc>
      </w:tr>
      <w:tr>
        <w:trPr>
          <w:trHeight w:val="373"/>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By: /s/ R. LaDuane Clifton</w:t>
            </w:r>
          </w:p>
        </w:tc>
      </w:tr>
      <w:tr>
        <w:trPr>
          <w:trHeight w:val="20"/>
        </w:trPr>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Name: R. LaDuane Clifton</w:t>
            </w:r>
          </w:p>
        </w:tc>
      </w:tr>
      <w:tr>
        <w:trPr>
          <w:trHeight w:val="223"/>
        </w:trPr>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w w:val="99"/>
              </w:rPr>
              <w:t>Title: Chief Financial Officer, Secretary and Treasurer</w:t>
            </w:r>
          </w:p>
        </w:tc>
      </w:tr>
      <w:tr>
        <w:trPr>
          <w:trHeight w:val="396"/>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 GUARANTORS:</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ACER THERAPEUTICS INC.,</w:t>
            </w:r>
          </w:p>
        </w:tc>
      </w:tr>
      <w:tr>
        <w:trPr>
          <w:trHeight w:val="223"/>
        </w:trPr>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a Delaware corporation</w:t>
            </w:r>
          </w:p>
        </w:tc>
      </w:tr>
    </w:tbl>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 LaDuane Clifton</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 R. LaDuane Clifton</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Title: Chief Financial Officer, Secretary and Treasurer</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EPYON THERAPEUTICS INC.,</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2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 LaDuane Clifton</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 R. LaDuane Clifton</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ZEVRA DENMARK A/S,</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a public limited liability company</w:t>
      </w:r>
    </w:p>
    <w:p>
      <w:pPr>
        <w:spacing w:after="0" w:line="2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 LaDuane Clifton</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 R. LaDuane Clifton</w:t>
      </w:r>
    </w:p>
    <w:p>
      <w:pPr>
        <w:spacing w:after="0" w:line="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Title: Chief Executive Officer, Director, and Special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7138670" cy="16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6"/>
        </w:trPr>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ADMINISTRATIVE AGENT:</w:t>
            </w: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ALTER DOMUS (US) LLC,</w:t>
            </w:r>
          </w:p>
        </w:tc>
      </w:tr>
      <w:tr>
        <w:trPr>
          <w:trHeight w:val="223"/>
        </w:trPr>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1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not in its individual capacity but solely in its capacity as Administrative Agent</w:t>
            </w:r>
          </w:p>
        </w:tc>
      </w:tr>
      <w:tr>
        <w:trPr>
          <w:trHeight w:val="373"/>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By: /s/ Matthew Trybula</w:t>
            </w: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1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Name: Matthew Trybula</w:t>
            </w:r>
          </w:p>
        </w:tc>
      </w:tr>
      <w:tr>
        <w:trPr>
          <w:trHeight w:val="223"/>
        </w:trPr>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1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Title: Associate Counsel</w:t>
            </w:r>
          </w:p>
        </w:tc>
      </w:tr>
      <w:tr>
        <w:trPr>
          <w:trHeight w:val="61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LENDERS:</w:t>
            </w:r>
          </w:p>
        </w:tc>
        <w:tc>
          <w:tcPr>
            <w:tcW w:w="746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HCR STAFFORD FUND II, L.P.,</w:t>
            </w:r>
          </w:p>
        </w:tc>
      </w:tr>
    </w:tbl>
    <w:p>
      <w:pPr>
        <w:ind w:left="3100"/>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By: HCR Stafford Fund II GP, LLC,</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By: /s/ Clarke B. Futch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-6350</wp:posOffset>
            </wp:positionV>
            <wp:extent cx="8515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Clarke B. Futch</w:t>
      </w:r>
    </w:p>
    <w:p>
      <w:pPr>
        <w:spacing w:after="0" w:line="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HCR POTOMAC FUND II, L.P.,</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By: HCR Potomac Fund II GP, LLC,</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Clarke B. Futch</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Clarke B. Futch</w:t>
      </w:r>
    </w:p>
    <w:p>
      <w:pPr>
        <w:spacing w:after="0" w:line="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11"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7"/>
          <w:szCs w:val="17"/>
          <w:color w:val="auto"/>
        </w:rPr>
        <w:t>PERCEPTIVE CREDIT HOLDINGS IV, LP,</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By: Perceptive Credit Opportunities GP, LLC,</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-6350</wp:posOffset>
            </wp:positionV>
            <wp:extent cx="7785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78510"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Sandeep Dixit</w:t>
      </w:r>
    </w:p>
    <w:p>
      <w:pPr>
        <w:spacing w:after="0" w:line="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Chief Credit Officer</w:t>
      </w:r>
    </w:p>
    <w:p>
      <w:pPr>
        <w:spacing w:after="0" w:line="2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By: /s/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-6350</wp:posOffset>
            </wp:positionV>
            <wp:extent cx="711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Sam Chawla</w:t>
      </w:r>
    </w:p>
    <w:p>
      <w:pPr>
        <w:spacing w:after="0" w:line="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Portfolio Manager</w:t>
      </w:r>
    </w:p>
    <w:p>
      <w:pPr>
        <w:sectPr>
          <w:pgSz w:w="11900" w:h="16838" w:orient="portrait"/>
          <w:cols w:equalWidth="0" w:num="1">
            <w:col w:w="10139"/>
          </w:cols>
          <w:pgMar w:left="320" w:top="561"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Neil F. McFarlane, certify that:</w:t>
      </w:r>
    </w:p>
    <w:p>
      <w:pPr>
        <w:spacing w:after="0" w:line="217" w:lineRule="exact"/>
        <w:rPr>
          <w:sz w:val="20"/>
          <w:szCs w:val="20"/>
          <w:color w:val="auto"/>
        </w:rPr>
      </w:pPr>
    </w:p>
    <w:p>
      <w:pPr>
        <w:ind w:left="840" w:hanging="411"/>
        <w:spacing w:after="0"/>
        <w:tabs>
          <w:tab w:leader="none" w:pos="8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Zevra Therapeutics, Inc.;</w:t>
      </w:r>
    </w:p>
    <w:p>
      <w:pPr>
        <w:spacing w:after="0" w:line="27" w:lineRule="exact"/>
        <w:rPr>
          <w:rFonts w:ascii="Times New Roman" w:cs="Times New Roman" w:eastAsia="Times New Roman" w:hAnsi="Times New Roman"/>
          <w:sz w:val="17"/>
          <w:szCs w:val="17"/>
          <w:color w:val="auto"/>
        </w:rPr>
      </w:pPr>
    </w:p>
    <w:p>
      <w:pPr>
        <w:jc w:val="both"/>
        <w:ind w:left="840" w:hanging="411"/>
        <w:spacing w:after="0" w:line="266" w:lineRule="auto"/>
        <w:tabs>
          <w:tab w:leader="none" w:pos="8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7"/>
          <w:szCs w:val="17"/>
          <w:color w:val="auto"/>
        </w:rPr>
      </w:pPr>
    </w:p>
    <w:p>
      <w:pPr>
        <w:ind w:left="840" w:hanging="411"/>
        <w:spacing w:after="0" w:line="253" w:lineRule="auto"/>
        <w:tabs>
          <w:tab w:leader="none" w:pos="8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840" w:hanging="411"/>
        <w:spacing w:after="0" w:line="253" w:lineRule="auto"/>
        <w:tabs>
          <w:tab w:leader="none" w:pos="8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60" w:hanging="419"/>
        <w:spacing w:after="0" w:line="253" w:lineRule="auto"/>
        <w:tabs>
          <w:tab w:leader="none" w:pos="126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60" w:hanging="419"/>
        <w:spacing w:after="0" w:line="253" w:lineRule="auto"/>
        <w:tabs>
          <w:tab w:leader="none" w:pos="126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hanging="419"/>
        <w:spacing w:after="0" w:line="253" w:lineRule="auto"/>
        <w:tabs>
          <w:tab w:leader="none" w:pos="126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60" w:hanging="419"/>
        <w:spacing w:after="0" w:line="253" w:lineRule="auto"/>
        <w:tabs>
          <w:tab w:leader="none" w:pos="126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40" w:hanging="411"/>
        <w:spacing w:after="0" w:line="253" w:lineRule="auto"/>
        <w:tabs>
          <w:tab w:leader="none" w:pos="8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60" w:hanging="419"/>
        <w:spacing w:after="0" w:line="253" w:lineRule="auto"/>
        <w:tabs>
          <w:tab w:leader="none" w:pos="126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419"/>
        <w:spacing w:after="0" w:line="266" w:lineRule="auto"/>
        <w:tabs>
          <w:tab w:leader="none" w:pos="126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May 9, 2024</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Neil F. McFarlane</w:t>
            </w:r>
          </w:p>
        </w:tc>
      </w:tr>
      <w:tr>
        <w:trPr>
          <w:trHeight w:val="183"/>
        </w:trPr>
        <w:tc>
          <w:tcPr>
            <w:tcW w:w="6000" w:type="dxa"/>
            <w:vAlign w:val="bottom"/>
          </w:tcPr>
          <w:p>
            <w:pPr>
              <w:spacing w:after="0"/>
              <w:rPr>
                <w:sz w:val="15"/>
                <w:szCs w:val="15"/>
                <w:color w:val="auto"/>
              </w:rPr>
            </w:pPr>
          </w:p>
        </w:tc>
        <w:tc>
          <w:tcPr>
            <w:tcW w:w="52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Name:Neil F. McFarlane</w:t>
            </w:r>
          </w:p>
        </w:tc>
      </w:tr>
      <w:tr>
        <w:trPr>
          <w:trHeight w:val="206"/>
        </w:trPr>
        <w:tc>
          <w:tcPr>
            <w:tcW w:w="60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Title: President and Chief Executive Officer</w:t>
            </w:r>
          </w:p>
        </w:tc>
      </w:tr>
      <w:tr>
        <w:trPr>
          <w:trHeight w:val="223"/>
        </w:trPr>
        <w:tc>
          <w:tcPr>
            <w:tcW w:w="6000" w:type="dxa"/>
            <w:vAlign w:val="bottom"/>
          </w:tcPr>
          <w:p>
            <w:pPr>
              <w:spacing w:after="0"/>
              <w:rPr>
                <w:sz w:val="19"/>
                <w:szCs w:val="19"/>
                <w:color w:val="auto"/>
              </w:rPr>
            </w:pPr>
          </w:p>
        </w:tc>
        <w:tc>
          <w:tcPr>
            <w:tcW w:w="52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1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 LaDuane Clifton, certify that:</w:t>
      </w:r>
    </w:p>
    <w:p>
      <w:pPr>
        <w:spacing w:after="0" w:line="217" w:lineRule="exact"/>
        <w:rPr>
          <w:sz w:val="20"/>
          <w:szCs w:val="20"/>
          <w:color w:val="auto"/>
        </w:rPr>
      </w:pPr>
    </w:p>
    <w:p>
      <w:pPr>
        <w:ind w:left="840" w:hanging="411"/>
        <w:spacing w:after="0"/>
        <w:tabs>
          <w:tab w:leader="none" w:pos="8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Zevra Therapeutics, Inc.;</w:t>
      </w:r>
    </w:p>
    <w:p>
      <w:pPr>
        <w:spacing w:after="0" w:line="27" w:lineRule="exact"/>
        <w:rPr>
          <w:rFonts w:ascii="Times New Roman" w:cs="Times New Roman" w:eastAsia="Times New Roman" w:hAnsi="Times New Roman"/>
          <w:sz w:val="17"/>
          <w:szCs w:val="17"/>
          <w:color w:val="auto"/>
        </w:rPr>
      </w:pPr>
    </w:p>
    <w:p>
      <w:pPr>
        <w:jc w:val="both"/>
        <w:ind w:left="840" w:hanging="411"/>
        <w:spacing w:after="0" w:line="266" w:lineRule="auto"/>
        <w:tabs>
          <w:tab w:leader="none" w:pos="8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7"/>
          <w:szCs w:val="17"/>
          <w:color w:val="auto"/>
        </w:rPr>
      </w:pPr>
    </w:p>
    <w:p>
      <w:pPr>
        <w:ind w:left="840" w:hanging="411"/>
        <w:spacing w:after="0" w:line="253" w:lineRule="auto"/>
        <w:tabs>
          <w:tab w:leader="none" w:pos="8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840" w:hanging="411"/>
        <w:spacing w:after="0" w:line="253" w:lineRule="auto"/>
        <w:tabs>
          <w:tab w:leader="none" w:pos="8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60" w:hanging="419"/>
        <w:spacing w:after="0" w:line="253" w:lineRule="auto"/>
        <w:tabs>
          <w:tab w:leader="none" w:pos="126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60" w:hanging="419"/>
        <w:spacing w:after="0" w:line="253" w:lineRule="auto"/>
        <w:tabs>
          <w:tab w:leader="none" w:pos="126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hanging="419"/>
        <w:spacing w:after="0" w:line="253" w:lineRule="auto"/>
        <w:tabs>
          <w:tab w:leader="none" w:pos="126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60" w:hanging="419"/>
        <w:spacing w:after="0" w:line="253" w:lineRule="auto"/>
        <w:tabs>
          <w:tab w:leader="none" w:pos="126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40" w:hanging="411"/>
        <w:spacing w:after="0" w:line="253" w:lineRule="auto"/>
        <w:tabs>
          <w:tab w:leader="none" w:pos="8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60" w:hanging="419"/>
        <w:spacing w:after="0" w:line="253" w:lineRule="auto"/>
        <w:tabs>
          <w:tab w:leader="none" w:pos="126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419"/>
        <w:spacing w:after="0" w:line="266" w:lineRule="auto"/>
        <w:tabs>
          <w:tab w:leader="none" w:pos="126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May 9, 2024</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 LaDuane Clifton</w:t>
            </w:r>
          </w:p>
        </w:tc>
      </w:tr>
      <w:tr>
        <w:trPr>
          <w:trHeight w:val="183"/>
        </w:trPr>
        <w:tc>
          <w:tcPr>
            <w:tcW w:w="6000" w:type="dxa"/>
            <w:vAlign w:val="bottom"/>
          </w:tcPr>
          <w:p>
            <w:pPr>
              <w:spacing w:after="0"/>
              <w:rPr>
                <w:sz w:val="15"/>
                <w:szCs w:val="15"/>
                <w:color w:val="auto"/>
              </w:rPr>
            </w:pPr>
          </w:p>
        </w:tc>
        <w:tc>
          <w:tcPr>
            <w:tcW w:w="52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Name:R. LaDuane Clifton, MBA, CPA</w:t>
            </w:r>
          </w:p>
        </w:tc>
      </w:tr>
      <w:tr>
        <w:trPr>
          <w:trHeight w:val="206"/>
        </w:trPr>
        <w:tc>
          <w:tcPr>
            <w:tcW w:w="60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Title: Chief Financial Officer, Secretary and Treasurer</w:t>
            </w:r>
          </w:p>
        </w:tc>
      </w:tr>
      <w:tr>
        <w:trPr>
          <w:trHeight w:val="223"/>
        </w:trPr>
        <w:tc>
          <w:tcPr>
            <w:tcW w:w="6000" w:type="dxa"/>
            <w:vAlign w:val="bottom"/>
          </w:tcPr>
          <w:p>
            <w:pPr>
              <w:spacing w:after="0"/>
              <w:rPr>
                <w:sz w:val="19"/>
                <w:szCs w:val="19"/>
                <w:color w:val="auto"/>
              </w:rPr>
            </w:pPr>
          </w:p>
        </w:tc>
        <w:tc>
          <w:tcPr>
            <w:tcW w:w="52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19"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Zevra Therapeutics, Inc., (the “Company”) for the quarterly period ended March 31, 2024,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840" w:hanging="411"/>
        <w:spacing w:after="0"/>
        <w:tabs>
          <w:tab w:leader="none" w:pos="8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7"/>
          <w:szCs w:val="17"/>
          <w:color w:val="auto"/>
        </w:rPr>
      </w:pPr>
    </w:p>
    <w:p>
      <w:pPr>
        <w:ind w:left="840" w:hanging="411"/>
        <w:spacing w:after="0"/>
        <w:tabs>
          <w:tab w:leader="none" w:pos="8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May 9, 2024</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Neil F. McFarlane</w:t>
            </w:r>
          </w:p>
        </w:tc>
      </w:tr>
      <w:tr>
        <w:trPr>
          <w:trHeight w:val="201"/>
        </w:trPr>
        <w:tc>
          <w:tcPr>
            <w:tcW w:w="60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Name:Neil F. McFarlane</w:t>
            </w:r>
          </w:p>
        </w:tc>
      </w:tr>
    </w:tbl>
    <w:p>
      <w:pPr>
        <w:ind w:left="600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1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9"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Zevra Therapeutics, Inc., (the “Company”) for the quarterly period ended March 31, 2024,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840" w:hanging="411"/>
        <w:spacing w:after="0"/>
        <w:tabs>
          <w:tab w:leader="none" w:pos="8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7"/>
          <w:szCs w:val="17"/>
          <w:color w:val="auto"/>
        </w:rPr>
      </w:pPr>
    </w:p>
    <w:p>
      <w:pPr>
        <w:ind w:left="840" w:hanging="411"/>
        <w:spacing w:after="0"/>
        <w:tabs>
          <w:tab w:leader="none" w:pos="8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May 9, 2024</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 LaDuane Clifton</w:t>
            </w:r>
          </w:p>
        </w:tc>
      </w:tr>
      <w:tr>
        <w:trPr>
          <w:trHeight w:val="183"/>
        </w:trPr>
        <w:tc>
          <w:tcPr>
            <w:tcW w:w="6000" w:type="dxa"/>
            <w:vAlign w:val="bottom"/>
          </w:tcPr>
          <w:p>
            <w:pPr>
              <w:spacing w:after="0"/>
              <w:rPr>
                <w:sz w:val="15"/>
                <w:szCs w:val="15"/>
                <w:color w:val="auto"/>
              </w:rPr>
            </w:pPr>
          </w:p>
        </w:tc>
        <w:tc>
          <w:tcPr>
            <w:tcW w:w="52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Name:R. LaDuane Clifton, MBA, CPA</w:t>
            </w:r>
          </w:p>
        </w:tc>
      </w:tr>
      <w:tr>
        <w:trPr>
          <w:trHeight w:val="206"/>
        </w:trPr>
        <w:tc>
          <w:tcPr>
            <w:tcW w:w="60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Title: Chief Financial Officer, Secretary and Treasurer</w:t>
            </w:r>
          </w:p>
        </w:tc>
      </w:tr>
      <w:tr>
        <w:trPr>
          <w:trHeight w:val="223"/>
        </w:trPr>
        <w:tc>
          <w:tcPr>
            <w:tcW w:w="6000" w:type="dxa"/>
            <w:vAlign w:val="bottom"/>
          </w:tcPr>
          <w:p>
            <w:pPr>
              <w:spacing w:after="0"/>
              <w:rPr>
                <w:sz w:val="19"/>
                <w:szCs w:val="19"/>
                <w:color w:val="auto"/>
              </w:rPr>
            </w:pPr>
          </w:p>
        </w:tc>
        <w:tc>
          <w:tcPr>
            <w:tcW w:w="52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1."/>
      <w:numFmt w:val="upperLetter"/>
      <w:start w:val="1"/>
    </w:lvl>
  </w:abstractNum>
  <w:abstractNum w:abstractNumId="4">
    <w:nsid w:val="540A471C"/>
    <w:multiLevelType w:val="hybridMultilevel"/>
    <w:lvl w:ilvl="0">
      <w:lvlJc w:val="left"/>
      <w:lvlText w:val="(%1)"/>
      <w:numFmt w:val="decimal"/>
      <w:start w:val="3"/>
    </w:lvl>
  </w:abstractNum>
  <w:abstractNum w:abstractNumId="5">
    <w:nsid w:val="7BD3EE7B"/>
    <w:multiLevelType w:val="hybridMultilevel"/>
    <w:lvl w:ilvl="0">
      <w:lvlJc w:val="left"/>
      <w:lvlText w:val="%1."/>
      <w:numFmt w:val="upperLetter"/>
      <w:start w:val="2"/>
    </w:lvl>
  </w:abstractNum>
  <w:abstractNum w:abstractNumId="6">
    <w:nsid w:val="51D9C564"/>
    <w:multiLevelType w:val="hybridMultilevel"/>
    <w:lvl w:ilvl="0">
      <w:lvlJc w:val="left"/>
      <w:lvlText w:val="%1."/>
      <w:numFmt w:val="upperLetter"/>
      <w:start w:val="3"/>
    </w:lvl>
  </w:abstractNum>
  <w:abstractNum w:abstractNumId="7">
    <w:nsid w:val="613EFDC5"/>
    <w:multiLevelType w:val="hybridMultilevel"/>
    <w:lvl w:ilvl="0">
      <w:lvlJc w:val="left"/>
      <w:lvlText w:val="(%1)"/>
      <w:numFmt w:val="lowerRoman"/>
      <w:start w:val="3"/>
    </w:lvl>
  </w:abstractNum>
  <w:abstractNum w:abstractNumId="8">
    <w:nsid w:val="BF72B14"/>
    <w:multiLevelType w:val="hybridMultilevel"/>
    <w:lvl w:ilvl="0">
      <w:lvlJc w:val="left"/>
      <w:lvlText w:val="%1."/>
      <w:numFmt w:val="upperLetter"/>
      <w:start w:val="5"/>
    </w:lvl>
  </w:abstractNum>
  <w:abstractNum w:abstractNumId="9">
    <w:nsid w:val="11447B73"/>
    <w:multiLevelType w:val="hybridMultilevel"/>
    <w:lvl w:ilvl="0">
      <w:lvlJc w:val="left"/>
      <w:lvlText w:val="%1."/>
      <w:numFmt w:val="upperLetter"/>
      <w:start w:val="6"/>
    </w:lvl>
  </w:abstractNum>
  <w:abstractNum w:abstractNumId="10">
    <w:nsid w:val="42963E5A"/>
    <w:multiLevelType w:val="hybridMultilevel"/>
    <w:lvl w:ilvl="0">
      <w:lvlJc w:val="left"/>
      <w:lvlText w:val="%1."/>
      <w:numFmt w:val="upperLetter"/>
      <w:start w:val="7"/>
    </w:lvl>
  </w:abstractNum>
  <w:abstractNum w:abstractNumId="11">
    <w:nsid w:val="A0382C5"/>
    <w:multiLevelType w:val="hybridMultilevel"/>
    <w:lvl w:ilvl="0">
      <w:lvlJc w:val="left"/>
      <w:lvlText w:val="%1."/>
      <w:numFmt w:val="upperLetter"/>
      <w:start w:val="8"/>
    </w:lvl>
  </w:abstractNum>
  <w:abstractNum w:abstractNumId="12">
    <w:nsid w:val="8F2B15E"/>
    <w:multiLevelType w:val="hybridMultilevel"/>
    <w:lvl w:ilvl="0">
      <w:lvlJc w:val="left"/>
      <w:lvlText w:val="%1."/>
      <w:numFmt w:val="upperLetter"/>
      <w:start w:val="9"/>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1."/>
      <w:numFmt w:val="upperLetter"/>
      <w:start w:val="10"/>
    </w:lvl>
  </w:abstractNum>
  <w:abstractNum w:abstractNumId="15">
    <w:nsid w:val="68EB2F63"/>
    <w:multiLevelType w:val="hybridMultilevel"/>
    <w:lvl w:ilvl="0">
      <w:lvlJc w:val="left"/>
      <w:lvlText w:val="%1."/>
      <w:numFmt w:val="upperLetter"/>
      <w:start w:val="11"/>
    </w:lvl>
  </w:abstractNum>
  <w:abstractNum w:abstractNumId="16">
    <w:nsid w:val="4962813B"/>
    <w:multiLevelType w:val="hybridMultilevel"/>
    <w:lvl w:ilvl="0">
      <w:lvlJc w:val="left"/>
      <w:lvlText w:val="%1."/>
      <w:numFmt w:val="upperLetter"/>
      <w:start w:val="12"/>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1)"/>
      <w:numFmt w:val="lowerRoman"/>
      <w:start w:val="7"/>
    </w:lvl>
  </w:abstractNum>
  <w:abstractNum w:abstractNumId="19">
    <w:nsid w:val="14330624"/>
    <w:multiLevelType w:val="hybridMultilevel"/>
    <w:lvl w:ilvl="0">
      <w:lvlJc w:val="left"/>
      <w:lvlText w:val="%1."/>
      <w:numFmt w:val="upperLetter"/>
      <w:start w:val="13"/>
    </w:lvl>
  </w:abstractNum>
  <w:abstractNum w:abstractNumId="20">
    <w:nsid w:val="7FFFCA11"/>
    <w:multiLevelType w:val="hybridMultilevel"/>
    <w:lvl w:ilvl="0">
      <w:lvlJc w:val="left"/>
      <w:lvlText w:val="%1."/>
      <w:numFmt w:val="upperLetter"/>
      <w:start w:val="14"/>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1)"/>
      <w:numFmt w:val="lowerLetter"/>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lvl w:ilvl="1">
      <w:lvlJc w:val="left"/>
      <w:lvlText w:val="†"/>
      <w:numFmt w:val="bullet"/>
      <w:start w:val="1"/>
    </w:lvl>
  </w:abstractNum>
  <w:abstractNum w:abstractNumId="32">
    <w:nsid w:val="14E17E33"/>
    <w:multiLevelType w:val="hybridMultilevel"/>
    <w:lvl w:ilvl="0">
      <w:lvlJc w:val="left"/>
      <w:lvlText w:val="A"/>
      <w:numFmt w:val="bullet"/>
      <w:start w:val="1"/>
    </w:lvl>
  </w:abstractNum>
  <w:abstractNum w:abstractNumId="33">
    <w:nsid w:val="3222E7CD"/>
    <w:multiLevelType w:val="hybridMultilevel"/>
    <w:lvl w:ilvl="0">
      <w:lvlJc w:val="left"/>
      <w:lvlText w:val="(%1)"/>
      <w:numFmt w:val="decimal"/>
      <w:start w:val="6"/>
    </w:lvl>
  </w:abstractNum>
  <w:abstractNum w:abstractNumId="34">
    <w:nsid w:val="74DE0EE3"/>
    <w:multiLevelType w:val="hybridMultilevel"/>
    <w:lvl w:ilvl="0">
      <w:lvlJc w:val="left"/>
      <w:lvlText w:val="(%1)"/>
      <w:numFmt w:val="lowerLetter"/>
      <w:start w:val="1"/>
    </w:lvl>
  </w:abstractNum>
  <w:abstractNum w:abstractNumId="35">
    <w:nsid w:val="68EBC550"/>
    <w:multiLevelType w:val="hybridMultilevel"/>
    <w:lvl w:ilvl="0">
      <w:lvlJc w:val="left"/>
      <w:lvlText w:val="(%1)"/>
      <w:numFmt w:val="lowerLetter"/>
      <w:start w:val="1"/>
    </w:lvl>
  </w:abstractNum>
  <w:abstractNum w:abstractNumId="36">
    <w:nsid w:val="2DF6D648"/>
    <w:multiLevelType w:val="hybridMultilevel"/>
    <w:lvl w:ilvl="0">
      <w:lvlJc w:val="left"/>
      <w:lvlText w:val="(%1)"/>
      <w:numFmt w:val="lowerLetter"/>
      <w:start w:val="3"/>
    </w:lvl>
  </w:abstractNum>
  <w:abstractNum w:abstractNumId="37">
    <w:nsid w:val="46B7D447"/>
    <w:multiLevelType w:val="hybridMultilevel"/>
    <w:lvl w:ilvl="0">
      <w:lvlJc w:val="left"/>
      <w:lvlText w:val="(%1)"/>
      <w:numFmt w:val="lowerLetter"/>
      <w:start w:val="24"/>
    </w:lvl>
  </w:abstractNum>
  <w:abstractNum w:abstractNumId="38">
    <w:nsid w:val="4A2AC315"/>
    <w:multiLevelType w:val="hybridMultilevel"/>
    <w:lvl w:ilvl="0">
      <w:lvlJc w:val="left"/>
      <w:lvlText w:val="(%1)"/>
      <w:numFmt w:val="lowerLetter"/>
      <w:start w:val="1"/>
    </w:lvl>
  </w:abstractNum>
  <w:abstractNum w:abstractNumId="39">
    <w:nsid w:val="39EE015C"/>
    <w:multiLevelType w:val="hybridMultilevel"/>
    <w:lvl w:ilvl="0">
      <w:lvlJc w:val="left"/>
      <w:lvlText w:val="(%1)"/>
      <w:numFmt w:val="lowerLetter"/>
      <w:start w:val="1"/>
    </w:lvl>
  </w:abstractNum>
  <w:abstractNum w:abstractNumId="40">
    <w:nsid w:val="57FC4FBB"/>
    <w:multiLevelType w:val="hybridMultilevel"/>
    <w:lvl w:ilvl="0">
      <w:lvlJc w:val="left"/>
      <w:lvlText w:val="(%1)"/>
      <w:numFmt w:val="lowerLetter"/>
      <w:start w:val="6"/>
    </w:lvl>
  </w:abstractNum>
  <w:abstractNum w:abstractNumId="41">
    <w:nsid w:val="CC1016F"/>
    <w:multiLevelType w:val="hybridMultilevel"/>
    <w:lvl w:ilvl="0">
      <w:lvlJc w:val="left"/>
      <w:lvlText w:val="(%1)"/>
      <w:numFmt w:val="lowerLetter"/>
      <w:start w:val="1"/>
    </w:lvl>
  </w:abstractNum>
  <w:abstractNum w:abstractNumId="42">
    <w:nsid w:val="43F18422"/>
    <w:multiLevelType w:val="hybridMultilevel"/>
    <w:lvl w:ilvl="0">
      <w:lvlJc w:val="left"/>
      <w:lvlText w:val="(%1)"/>
      <w:numFmt w:val="lowerLetter"/>
      <w:start w:val="1"/>
    </w:lvl>
  </w:abstractNum>
  <w:abstractNum w:abstractNumId="43">
    <w:nsid w:val="60EF0119"/>
    <w:multiLevelType w:val="hybridMultilevel"/>
    <w:lvl w:ilvl="0">
      <w:lvlJc w:val="left"/>
      <w:lvlText w:val="(%1)"/>
      <w:numFmt w:val="lowerLetter"/>
      <w:start w:val="3"/>
    </w:lvl>
  </w:abstractNum>
  <w:abstractNum w:abstractNumId="44">
    <w:nsid w:val="26F324BA"/>
    <w:multiLevelType w:val="hybridMultilevel"/>
    <w:lvl w:ilvl="0">
      <w:lvlJc w:val="left"/>
      <w:lvlText w:val="(%1)"/>
      <w:numFmt w:val="lowerRoman"/>
      <w:start w:val="1"/>
    </w:lvl>
  </w:abstractNum>
  <w:abstractNum w:abstractNumId="45">
    <w:nsid w:val="7F01579B"/>
    <w:multiLevelType w:val="hybridMultilevel"/>
    <w:lvl w:ilvl="0">
      <w:lvlJc w:val="left"/>
      <w:lvlText w:val="%1"/>
      <w:numFmt w:val="lowerLetter"/>
      <w:start w:val="1"/>
    </w:lvl>
    <w:lvl w:ilvl="1">
      <w:lvlJc w:val="left"/>
      <w:lvlText w:val="(%2)"/>
      <w:numFmt w:val="lowerLetter"/>
      <w:start w:val="1"/>
    </w:lvl>
  </w:abstractNum>
  <w:abstractNum w:abstractNumId="46">
    <w:nsid w:val="49DA307D"/>
    <w:multiLevelType w:val="hybridMultilevel"/>
    <w:lvl w:ilvl="0">
      <w:lvlJc w:val="left"/>
      <w:lvlText w:val="(%1)"/>
      <w:numFmt w:val="lowerLetter"/>
      <w:start w:val="35"/>
    </w:lvl>
    <w:lvl w:ilvl="1">
      <w:lvlJc w:val="left"/>
      <w:lvlText w:val="(%2)"/>
      <w:numFmt w:val="lowerLetter"/>
      <w:start w:val="5"/>
    </w:lvl>
  </w:abstractNum>
  <w:abstractNum w:abstractNumId="47">
    <w:nsid w:val="7055A5F5"/>
    <w:multiLevelType w:val="hybridMultilevel"/>
    <w:lvl w:ilvl="0">
      <w:lvlJc w:val="left"/>
      <w:lvlText w:val="(%1)"/>
      <w:numFmt w:val="lowerRoman"/>
      <w:start w:val="10"/>
    </w:lvl>
  </w:abstractNum>
  <w:abstractNum w:abstractNumId="48">
    <w:nsid w:val="5FB8370B"/>
    <w:multiLevelType w:val="hybridMultilevel"/>
    <w:lvl w:ilvl="0">
      <w:lvlJc w:val="left"/>
      <w:lvlText w:val="(%1)"/>
      <w:numFmt w:val="lowerLetter"/>
      <w:start w:val="2"/>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lowerLetter"/>
      <w:start w:val="3"/>
    </w:lvl>
  </w:abstractNum>
  <w:abstractNum w:abstractNumId="52">
    <w:nsid w:val="6AA78F7F"/>
    <w:multiLevelType w:val="hybridMultilevel"/>
    <w:lvl w:ilvl="0">
      <w:lvlJc w:val="left"/>
      <w:lvlText w:val="(%1)"/>
      <w:numFmt w:val="lowerLetter"/>
      <w:start w:val="1"/>
    </w:lvl>
  </w:abstractNum>
  <w:abstractNum w:abstractNumId="53">
    <w:nsid w:val="7672BD23"/>
    <w:multiLevelType w:val="hybridMultilevel"/>
    <w:lvl w:ilvl="0">
      <w:lvlJc w:val="left"/>
      <w:lvlText w:val="(%1)"/>
      <w:numFmt w:val="lowerLetter"/>
      <w:start w:val="1"/>
    </w:lvl>
  </w:abstractNum>
  <w:abstractNum w:abstractNumId="54">
    <w:nsid w:val="6FC75AF8"/>
    <w:multiLevelType w:val="hybridMultilevel"/>
    <w:lvl w:ilvl="0">
      <w:lvlJc w:val="left"/>
      <w:lvlText w:val="%1"/>
      <w:numFmt w:val="upperLetter"/>
      <w:start w:val="1"/>
    </w:lvl>
    <w:lvl w:ilvl="1">
      <w:lvlJc w:val="left"/>
      <w:lvlText w:val="(%2)"/>
      <w:numFmt w:val="lowerLetter"/>
      <w:start w:val="1"/>
    </w:lvl>
  </w:abstractNum>
  <w:abstractNum w:abstractNumId="55">
    <w:nsid w:val="6A5F7029"/>
    <w:multiLevelType w:val="hybridMultilevel"/>
    <w:lvl w:ilvl="0">
      <w:lvlJc w:val="left"/>
      <w:lvlText w:val="(%1)"/>
      <w:numFmt w:val="upperLetter"/>
      <w:start w:val="2"/>
    </w:lvl>
    <w:lvl w:ilvl="1">
      <w:lvlJc w:val="left"/>
      <w:lvlText w:val="(%2)"/>
      <w:numFmt w:val="lowerLetter"/>
      <w:start w:val="2"/>
    </w:lvl>
  </w:abstractNum>
  <w:abstractNum w:abstractNumId="56">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5F3534A4"/>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58">
    <w:nsid w:val="73A1821B"/>
    <w:multiLevelType w:val="hybridMultilevel"/>
    <w:lvl w:ilvl="0">
      <w:lvlJc w:val="left"/>
      <w:lvlText w:val="(%1)"/>
      <w:numFmt w:val="lowerLetter"/>
      <w:start w:val="1"/>
    </w:lvl>
  </w:abstractNum>
  <w:abstractNum w:abstractNumId="59">
    <w:nsid w:val="7DE67713"/>
    <w:multiLevelType w:val="hybridMultilevel"/>
    <w:lvl w:ilvl="0">
      <w:lvlJc w:val="left"/>
      <w:lvlText w:val="(%1)"/>
      <w:numFmt w:val="lowerLetter"/>
      <w:start w:val="1"/>
    </w:lvl>
    <w:lvl w:ilvl="1">
      <w:lvlJc w:val="left"/>
      <w:lvlText w:val="(%2)"/>
      <w:numFmt w:val="lowerRoman"/>
      <w:start w:val="1"/>
    </w:lvl>
  </w:abstractNum>
  <w:abstractNum w:abstractNumId="60">
    <w:nsid w:val="555C55B5"/>
    <w:multiLevelType w:val="hybridMultilevel"/>
    <w:lvl w:ilvl="0">
      <w:lvlJc w:val="left"/>
      <w:lvlText w:val="(%1)"/>
      <w:numFmt w:val="lowerLetter"/>
      <w:start w:val="1"/>
    </w:lvl>
  </w:abstractNum>
  <w:abstractNum w:abstractNumId="61">
    <w:nsid w:val="3FA62ACA"/>
    <w:multiLevelType w:val="hybridMultilevel"/>
    <w:lvl w:ilvl="0">
      <w:lvlJc w:val="left"/>
      <w:lvlText w:val="(%1)"/>
      <w:numFmt w:val="lowerLetter"/>
      <w:start w:val="1"/>
    </w:lvl>
  </w:abstractNum>
  <w:abstractNum w:abstractNumId="62">
    <w:nsid w:val="14FCE74E"/>
    <w:multiLevelType w:val="hybridMultilevel"/>
    <w:lvl w:ilvl="0">
      <w:lvlJc w:val="left"/>
      <w:lvlText w:val="(%1)"/>
      <w:numFmt w:val="lowerLetter"/>
      <w:start w:val="1"/>
    </w:lvl>
    <w:lvl w:ilvl="1">
      <w:lvlJc w:val="left"/>
      <w:lvlText w:val="(%2)"/>
      <w:numFmt w:val="lowerRoman"/>
      <w:start w:val="1"/>
    </w:lvl>
  </w:abstractNum>
  <w:abstractNum w:abstractNumId="63">
    <w:nsid w:val="6A3DD3E8"/>
    <w:multiLevelType w:val="hybridMultilevel"/>
    <w:lvl w:ilvl="0">
      <w:lvlJc w:val="left"/>
      <w:lvlText w:val="(%1)"/>
      <w:numFmt w:val="lowerLetter"/>
      <w:start w:val="2"/>
    </w:lvl>
  </w:abstractNum>
  <w:abstractNum w:abstractNumId="64">
    <w:nsid w:val="71C91298"/>
    <w:multiLevelType w:val="hybridMultilevel"/>
    <w:lvl w:ilvl="0">
      <w:lvlJc w:val="left"/>
      <w:lvlText w:val="(%1)"/>
      <w:numFmt w:val="lowerLetter"/>
      <w:start w:val="1"/>
    </w:lvl>
    <w:lvl w:ilvl="1">
      <w:lvlJc w:val="left"/>
      <w:lvlText w:val="(%2)"/>
      <w:numFmt w:val="lowerRoman"/>
      <w:start w:val="1"/>
    </w:lvl>
  </w:abstractNum>
  <w:abstractNum w:abstractNumId="65">
    <w:nsid w:val="9DAF632"/>
    <w:multiLevelType w:val="hybridMultilevel"/>
    <w:lvl w:ilvl="0">
      <w:lvlJc w:val="left"/>
      <w:lvlText w:val="(%1)"/>
      <w:numFmt w:val="lowerLetter"/>
      <w:start w:val="1"/>
    </w:lvl>
  </w:abstractNum>
  <w:abstractNum w:abstractNumId="66">
    <w:nsid w:val="5329993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upperLetter"/>
      <w:start w:val="1"/>
    </w:lvl>
  </w:abstractNum>
  <w:abstractNum w:abstractNumId="67">
    <w:nsid w:val="1FBFE8E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68">
    <w:nsid w:val="5092CA79"/>
    <w:multiLevelType w:val="hybridMultilevel"/>
    <w:lvl w:ilvl="0">
      <w:lvlJc w:val="left"/>
      <w:lvlText w:val="(%1)"/>
      <w:numFmt w:val="lowerLetter"/>
      <w:start w:val="7"/>
    </w:lvl>
  </w:abstractNum>
  <w:abstractNum w:abstractNumId="69">
    <w:nsid w:val="1D545C4D"/>
    <w:multiLevelType w:val="hybridMultilevel"/>
    <w:lvl w:ilvl="0">
      <w:lvlJc w:val="left"/>
      <w:lvlText w:val="(%1)"/>
      <w:numFmt w:val="lowerLetter"/>
      <w:start w:val="1"/>
    </w:lvl>
    <w:lvl w:ilvl="1">
      <w:lvlJc w:val="left"/>
      <w:lvlText w:val="(%2)"/>
      <w:numFmt w:val="lowerRoman"/>
      <w:start w:val="1"/>
    </w:lvl>
  </w:abstractNum>
  <w:abstractNum w:abstractNumId="70">
    <w:nsid w:val="59ADEA3D"/>
    <w:multiLevelType w:val="hybridMultilevel"/>
    <w:lvl w:ilvl="0">
      <w:lvlJc w:val="left"/>
      <w:lvlText w:val="(%1)"/>
      <w:numFmt w:val="lowerLetter"/>
      <w:start w:val="2"/>
    </w:lvl>
  </w:abstractNum>
  <w:abstractNum w:abstractNumId="71">
    <w:nsid w:val="288F1A34"/>
    <w:multiLevelType w:val="hybridMultilevel"/>
    <w:lvl w:ilvl="0">
      <w:lvlJc w:val="left"/>
      <w:lvlText w:val="(%1)"/>
      <w:numFmt w:val="lowerLetter"/>
      <w:start w:val="3"/>
    </w:lvl>
  </w:abstractNum>
  <w:abstractNum w:abstractNumId="72">
    <w:nsid w:val="2A155DBC"/>
    <w:multiLevelType w:val="hybridMultilevel"/>
    <w:lvl w:ilvl="0">
      <w:lvlJc w:val="left"/>
      <w:lvlText w:val="(%1)"/>
      <w:numFmt w:val="lowerLetter"/>
      <w:start w:val="1"/>
    </w:lvl>
  </w:abstractNum>
  <w:abstractNum w:abstractNumId="73">
    <w:nsid w:val="1D9F6E5F"/>
    <w:multiLevelType w:val="hybridMultilevel"/>
    <w:lvl w:ilvl="0">
      <w:lvlJc w:val="left"/>
      <w:lvlText w:val="(%1)"/>
      <w:numFmt w:val="lowerLetter"/>
      <w:start w:val="1"/>
    </w:lvl>
  </w:abstractNum>
  <w:abstractNum w:abstractNumId="74">
    <w:nsid w:val="97E1B4E"/>
    <w:multiLevelType w:val="hybridMultilevel"/>
    <w:lvl w:ilvl="0">
      <w:lvlJc w:val="left"/>
      <w:lvlText w:val="(%1)"/>
      <w:numFmt w:val="lowerLetter"/>
      <w:start w:val="1"/>
    </w:lvl>
    <w:lvl w:ilvl="1">
      <w:lvlJc w:val="left"/>
      <w:lvlText w:val="(%2)"/>
      <w:numFmt w:val="lowerRoman"/>
      <w:start w:val="1"/>
    </w:lvl>
  </w:abstractNum>
  <w:abstractNum w:abstractNumId="75">
    <w:nsid w:val="5108827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1CA0C5FA"/>
    <w:multiLevelType w:val="hybridMultilevel"/>
    <w:lvl w:ilvl="0">
      <w:lvlJc w:val="left"/>
      <w:lvlText w:val="(%1)"/>
      <w:numFmt w:val="upperLetter"/>
      <w:start w:val="5"/>
    </w:lvl>
    <w:lvl w:ilvl="1">
      <w:lvlJc w:val="left"/>
      <w:lvlText w:val="(%2)"/>
      <w:numFmt w:val="lowerLetter"/>
      <w:start w:val="7"/>
    </w:lvl>
    <w:lvl w:ilvl="2">
      <w:lvlJc w:val="left"/>
      <w:lvlText w:val="(%3)"/>
      <w:numFmt w:val="lowerRoman"/>
      <w:start w:val="1"/>
    </w:lvl>
  </w:abstractNum>
  <w:abstractNum w:abstractNumId="77">
    <w:nsid w:val="53584BCB"/>
    <w:multiLevelType w:val="hybridMultilevel"/>
    <w:lvl w:ilvl="0">
      <w:lvlJc w:val="left"/>
      <w:lvlText w:val="(%1)"/>
      <w:numFmt w:val="lowerLetter"/>
      <w:start w:val="1"/>
    </w:lvl>
  </w:abstractNum>
  <w:abstractNum w:abstractNumId="78">
    <w:nsid w:val="415E286C"/>
    <w:multiLevelType w:val="hybridMultilevel"/>
    <w:lvl w:ilvl="0">
      <w:lvlJc w:val="left"/>
      <w:lvlText w:val="(%1)"/>
      <w:numFmt w:val="lowerLetter"/>
      <w:start w:val="3"/>
    </w:lvl>
  </w:abstractNum>
  <w:abstractNum w:abstractNumId="79">
    <w:nsid w:val="7C58FD05"/>
    <w:multiLevelType w:val="hybridMultilevel"/>
    <w:lvl w:ilvl="0">
      <w:lvlJc w:val="left"/>
      <w:lvlText w:val="(%1)"/>
      <w:numFmt w:val="lowerLetter"/>
      <w:start w:val="1"/>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lowerLetter"/>
      <w:start w:val="1"/>
    </w:lvl>
  </w:abstractNum>
  <w:abstractNum w:abstractNumId="82">
    <w:nsid w:val="5C10FE21"/>
    <w:multiLevelType w:val="hybridMultilevel"/>
    <w:lvl w:ilvl="0">
      <w:lvlJc w:val="left"/>
      <w:lvlText w:val="(%1)"/>
      <w:numFmt w:val="lowerLetter"/>
      <w:start w:val="1"/>
    </w:lvl>
  </w:abstractNum>
  <w:abstractNum w:abstractNumId="83">
    <w:nsid w:val="E7FFA2B"/>
    <w:multiLevelType w:val="hybridMultilevel"/>
    <w:lvl w:ilvl="0">
      <w:lvlJc w:val="left"/>
      <w:lvlText w:val="(%1)"/>
      <w:numFmt w:val="lowerLetter"/>
      <w:start w:val="1"/>
    </w:lvl>
  </w:abstractNum>
  <w:abstractNum w:abstractNumId="84">
    <w:nsid w:val="3C5991AA"/>
    <w:multiLevelType w:val="hybridMultilevel"/>
    <w:lvl w:ilvl="0">
      <w:lvlJc w:val="left"/>
      <w:lvlText w:val="(%1)"/>
      <w:numFmt w:val="lowerLetter"/>
      <w:start w:val="1"/>
    </w:lvl>
  </w:abstractNum>
  <w:abstractNum w:abstractNumId="85">
    <w:nsid w:val="4BD8591A"/>
    <w:multiLevelType w:val="hybridMultilevel"/>
    <w:lvl w:ilvl="0">
      <w:lvlJc w:val="left"/>
      <w:lvlText w:val="(%1)"/>
      <w:numFmt w:val="lowerLetter"/>
      <w:start w:val="1"/>
    </w:lvl>
  </w:abstractNum>
  <w:abstractNum w:abstractNumId="86">
    <w:nsid w:val="78DF6A55"/>
    <w:multiLevelType w:val="hybridMultilevel"/>
    <w:lvl w:ilvl="0">
      <w:lvlJc w:val="left"/>
      <w:lvlText w:val="(%1)"/>
      <w:numFmt w:val="lowerLetter"/>
      <w:start w:val="1"/>
    </w:lvl>
    <w:lvl w:ilvl="1">
      <w:lvlJc w:val="left"/>
      <w:lvlText w:val="(%2)"/>
      <w:numFmt w:val="lowerRoman"/>
      <w:start w:val="1"/>
    </w:lvl>
  </w:abstractNum>
  <w:abstractNum w:abstractNumId="87">
    <w:nsid w:val="39B7AAA2"/>
    <w:multiLevelType w:val="hybridMultilevel"/>
    <w:lvl w:ilvl="0">
      <w:lvlJc w:val="left"/>
      <w:lvlText w:val="(%1)"/>
      <w:numFmt w:val="lowerLetter"/>
      <w:start w:val="5"/>
    </w:lvl>
  </w:abstractNum>
  <w:abstractNum w:abstractNumId="88">
    <w:nsid w:val="2B0D8DBE"/>
    <w:multiLevelType w:val="hybridMultilevel"/>
    <w:lvl w:ilvl="0">
      <w:lvlJc w:val="left"/>
      <w:lvlText w:val="(%1)"/>
      <w:numFmt w:val="lowerLetter"/>
      <w:start w:val="1"/>
    </w:lvl>
  </w:abstractNum>
  <w:abstractNum w:abstractNumId="89">
    <w:nsid w:val="6C80EC70"/>
    <w:multiLevelType w:val="hybridMultilevel"/>
    <w:lvl w:ilvl="0">
      <w:lvlJc w:val="left"/>
      <w:lvlText w:val="(%1)"/>
      <w:numFmt w:val="lowerLetter"/>
      <w:start w:val="1"/>
    </w:lvl>
    <w:lvl w:ilvl="1">
      <w:lvlJc w:val="left"/>
      <w:lvlText w:val="(%2)"/>
      <w:numFmt w:val="lowerRoman"/>
      <w:start w:val="1"/>
    </w:lvl>
  </w:abstractNum>
  <w:abstractNum w:abstractNumId="90">
    <w:nsid w:val="379E21B5"/>
    <w:multiLevelType w:val="hybridMultilevel"/>
    <w:lvl w:ilvl="0">
      <w:lvlJc w:val="left"/>
      <w:lvlText w:val="(%1)"/>
      <w:numFmt w:val="lowerLetter"/>
      <w:start w:val="6"/>
    </w:lvl>
  </w:abstractNum>
  <w:abstractNum w:abstractNumId="91">
    <w:nsid w:val="69E373"/>
    <w:multiLevelType w:val="hybridMultilevel"/>
    <w:lvl w:ilvl="0">
      <w:lvlJc w:val="left"/>
      <w:lvlText w:val="(%1)"/>
      <w:numFmt w:val="lowerLetter"/>
      <w:start w:val="1"/>
    </w:lvl>
  </w:abstractNum>
  <w:abstractNum w:abstractNumId="92">
    <w:nsid w:val="2C27173B"/>
    <w:multiLevelType w:val="hybridMultilevel"/>
    <w:lvl w:ilvl="0">
      <w:lvlJc w:val="left"/>
      <w:lvlText w:val="(%1)"/>
      <w:numFmt w:val="lowerLetter"/>
      <w:start w:val="1"/>
    </w:lvl>
  </w:abstractNum>
  <w:abstractNum w:abstractNumId="93">
    <w:nsid w:val="4C9B0904"/>
    <w:multiLevelType w:val="hybridMultilevel"/>
    <w:lvl w:ilvl="0">
      <w:lvlJc w:val="left"/>
      <w:lvlText w:val="(%1)"/>
      <w:numFmt w:val="lowerLetter"/>
      <w:start w:val="1"/>
    </w:lvl>
  </w:abstractNum>
  <w:abstractNum w:abstractNumId="94">
    <w:nsid w:val="6AA7B75C"/>
    <w:multiLevelType w:val="hybridMultilevel"/>
    <w:lvl w:ilvl="0">
      <w:lvlJc w:val="left"/>
      <w:lvlText w:val="(%1)"/>
      <w:numFmt w:val="lowerLetter"/>
      <w:start w:val="5"/>
    </w:lvl>
  </w:abstractNum>
  <w:abstractNum w:abstractNumId="95">
    <w:nsid w:val="1DF029D3"/>
    <w:multiLevelType w:val="hybridMultilevel"/>
    <w:lvl w:ilvl="0">
      <w:lvlJc w:val="left"/>
      <w:lvlText w:val="(%1)"/>
      <w:numFmt w:val="lowerLetter"/>
      <w:start w:val="2"/>
    </w:lvl>
  </w:abstractNum>
  <w:abstractNum w:abstractNumId="96">
    <w:nsid w:val="5675FF36"/>
    <w:multiLevelType w:val="hybridMultilevel"/>
    <w:lvl w:ilvl="0">
      <w:lvlJc w:val="left"/>
      <w:lvlText w:val="(%1)"/>
      <w:numFmt w:val="lowerLetter"/>
      <w:start w:val="1"/>
    </w:lvl>
  </w:abstractNum>
  <w:abstractNum w:abstractNumId="97">
    <w:nsid w:val="3DD15094"/>
    <w:multiLevelType w:val="hybridMultilevel"/>
    <w:lvl w:ilvl="0">
      <w:lvlJc w:val="left"/>
      <w:lvlText w:val="(%1)"/>
      <w:numFmt w:val="lowerLetter"/>
      <w:start w:val="1"/>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lowerLetter"/>
      <w:start w:val="1"/>
    </w:lvl>
  </w:abstractNum>
  <w:abstractNum w:abstractNumId="100">
    <w:nsid w:val="5B25ACE2"/>
    <w:multiLevelType w:val="hybridMultilevel"/>
    <w:lvl w:ilvl="0">
      <w:lvlJc w:val="left"/>
      <w:lvlText w:val="(%1)"/>
      <w:numFmt w:val="lowerLetter"/>
      <w:start w:val="1"/>
    </w:lvl>
  </w:abstractNum>
  <w:abstractNum w:abstractNumId="101">
    <w:nsid w:val="175DFCF0"/>
    <w:multiLevelType w:val="hybridMultilevel"/>
    <w:lvl w:ilvl="0">
      <w:lvlJc w:val="left"/>
      <w:lvlText w:val="(%1)"/>
      <w:numFmt w:val="lowerLetter"/>
      <w:start w:val="1"/>
    </w:lvl>
  </w:abstractNum>
  <w:abstractNum w:abstractNumId="102">
    <w:nsid w:val="4F97E3E4"/>
    <w:multiLevelType w:val="hybridMultilevel"/>
    <w:lvl w:ilvl="0">
      <w:lvlJc w:val="left"/>
      <w:lvlText w:val="(%1)"/>
      <w:numFmt w:val="lowerLetter"/>
      <w:start w:val="1"/>
    </w:lvl>
  </w:abstractNum>
  <w:abstractNum w:abstractNumId="103">
    <w:nsid w:val="53B0A9E"/>
    <w:multiLevelType w:val="hybridMultilevel"/>
    <w:lvl w:ilvl="0">
      <w:lvlJc w:val="left"/>
      <w:lvlText w:val="(%1)"/>
      <w:numFmt w:val="lowerLetter"/>
      <w:start w:val="1"/>
    </w:lvl>
  </w:abstractNum>
  <w:abstractNum w:abstractNumId="104">
    <w:nsid w:val="34FD6B4F"/>
    <w:multiLevelType w:val="hybridMultilevel"/>
    <w:lvl w:ilvl="0">
      <w:lvlJc w:val="left"/>
      <w:lvlText w:val="(%1)"/>
      <w:numFmt w:val="lowerLetter"/>
      <w:start w:val="1"/>
    </w:lvl>
    <w:lvl w:ilvl="1">
      <w:lvlJc w:val="left"/>
      <w:lvlText w:val="(%2)"/>
      <w:numFmt w:val="lowerRoman"/>
      <w:start w:val="1"/>
    </w:lvl>
  </w:abstractNum>
  <w:abstractNum w:abstractNumId="105">
    <w:nsid w:val="5915FF32"/>
    <w:multiLevelType w:val="hybridMultilevel"/>
    <w:lvl w:ilvl="0">
      <w:lvlJc w:val="left"/>
      <w:lvlText w:val="(%1)"/>
      <w:numFmt w:val="lowerLetter"/>
      <w:start w:val="1"/>
    </w:lvl>
  </w:abstractNum>
  <w:abstractNum w:abstractNumId="106">
    <w:nsid w:val="56438D15"/>
    <w:multiLevelType w:val="hybridMultilevel"/>
    <w:lvl w:ilvl="0">
      <w:lvlJc w:val="left"/>
      <w:lvlText w:val="(%1)"/>
      <w:numFmt w:val="lowerLetter"/>
      <w:start w:val="13"/>
    </w:lvl>
  </w:abstractNum>
  <w:abstractNum w:abstractNumId="107">
    <w:nsid w:val="519E3149"/>
    <w:multiLevelType w:val="hybridMultilevel"/>
    <w:lvl w:ilvl="0">
      <w:lvlJc w:val="left"/>
      <w:lvlText w:val="(%1)"/>
      <w:numFmt w:val="lowerLetter"/>
      <w:start w:val="1"/>
    </w:lvl>
  </w:abstractNum>
  <w:abstractNum w:abstractNumId="108">
    <w:nsid w:val="2C6E4AFD"/>
    <w:multiLevelType w:val="hybridMultilevel"/>
    <w:lvl w:ilvl="0">
      <w:lvlJc w:val="left"/>
      <w:lvlText w:val="(%1)"/>
      <w:numFmt w:val="lowerLetter"/>
      <w:start w:val="1"/>
    </w:lvl>
  </w:abstractNum>
  <w:abstractNum w:abstractNumId="109">
    <w:nsid w:val="17A1B582"/>
    <w:multiLevelType w:val="hybridMultilevel"/>
    <w:lvl w:ilvl="0">
      <w:lvlJc w:val="left"/>
      <w:lvlText w:val="%1"/>
      <w:numFmt w:val="lowerLetter"/>
      <w:start w:val="1"/>
    </w:lvl>
    <w:lvl w:ilvl="1">
      <w:lvlJc w:val="left"/>
      <w:lvlText w:val="(%2)"/>
      <w:numFmt w:val="lowerLetter"/>
      <w:start w:val="1"/>
    </w:lvl>
  </w:abstractNum>
  <w:abstractNum w:abstractNumId="110">
    <w:nsid w:val="4DF72E4E"/>
    <w:multiLevelType w:val="hybridMultilevel"/>
    <w:lvl w:ilvl="0">
      <w:lvlJc w:val="left"/>
      <w:lvlText w:val="(%1)"/>
      <w:numFmt w:val="lowerLetter"/>
      <w:start w:val="25"/>
    </w:lvl>
    <w:lvl w:ilvl="1">
      <w:lvlJc w:val="left"/>
      <w:lvlText w:val="(%2)"/>
      <w:numFmt w:val="lowerLetter"/>
      <w:start w:val="4"/>
    </w:lvl>
  </w:abstractNum>
  <w:abstractNum w:abstractNumId="111">
    <w:nsid w:val="5046B5A9"/>
    <w:multiLevelType w:val="hybridMultilevel"/>
    <w:lvl w:ilvl="0">
      <w:lvlJc w:val="left"/>
      <w:lvlText w:val="(%1)"/>
      <w:numFmt w:val="lowerRoman"/>
      <w:start w:val="6"/>
    </w:lvl>
  </w:abstractNum>
  <w:abstractNum w:abstractNumId="112">
    <w:nsid w:val="5D888A08"/>
    <w:multiLevelType w:val="hybridMultilevel"/>
    <w:lvl w:ilvl="0">
      <w:lvlJc w:val="left"/>
      <w:lvlText w:val="%1"/>
      <w:numFmt w:val="lowerLetter"/>
      <w:start w:val="1"/>
    </w:lvl>
    <w:lvl w:ilvl="1">
      <w:lvlJc w:val="left"/>
      <w:lvlText w:val="(%2)"/>
      <w:numFmt w:val="lowerLetter"/>
      <w:start w:val="1"/>
    </w:lvl>
  </w:abstractNum>
  <w:abstractNum w:abstractNumId="113">
    <w:nsid w:val="2A082C70"/>
    <w:multiLevelType w:val="hybridMultilevel"/>
    <w:lvl w:ilvl="0">
      <w:lvlJc w:val="left"/>
      <w:lvlText w:val="(%1)"/>
      <w:numFmt w:val="lowerLetter"/>
      <w:start w:val="1"/>
    </w:lvl>
    <w:lvl w:ilvl="1">
      <w:lvlJc w:val="left"/>
      <w:lvlText w:val="(%2)"/>
      <w:numFmt w:val="lowerLetter"/>
      <w:start w:val="2"/>
    </w:lvl>
  </w:abstractNum>
  <w:abstractNum w:abstractNumId="114">
    <w:nsid w:val="5EC6AFD4"/>
    <w:multiLevelType w:val="hybridMultilevel"/>
    <w:lvl w:ilvl="0">
      <w:lvlJc w:val="left"/>
      <w:lvlText w:val="%1"/>
      <w:numFmt w:val="lowerLetter"/>
      <w:start w:val="1"/>
    </w:lvl>
    <w:lvl w:ilvl="1">
      <w:lvlJc w:val="left"/>
      <w:lvlText w:val="(%2)"/>
      <w:numFmt w:val="lowerLetter"/>
      <w:start w:val="1"/>
    </w:lvl>
  </w:abstractNum>
  <w:abstractNum w:abstractNumId="115">
    <w:nsid w:val="19E21BB2"/>
    <w:multiLevelType w:val="hybridMultilevel"/>
    <w:lvl w:ilvl="0">
      <w:lvlJc w:val="left"/>
      <w:lvlText w:val="(%1)"/>
      <w:numFmt w:val="lowerLetter"/>
      <w:start w:val="4"/>
    </w:lvl>
    <w:lvl w:ilvl="1">
      <w:lvlJc w:val="left"/>
      <w:lvlText w:val="%2"/>
      <w:numFmt w:val="lowerLetter"/>
      <w:start w:val="1"/>
    </w:lvl>
  </w:abstractNum>
  <w:abstractNum w:abstractNumId="116">
    <w:nsid w:val="75E0858A"/>
    <w:multiLevelType w:val="hybridMultilevel"/>
    <w:lvl w:ilvl="0">
      <w:lvlJc w:val="left"/>
      <w:lvlText w:val="(%1)"/>
      <w:numFmt w:val="lowerLetter"/>
      <w:start w:val="1"/>
    </w:lvl>
  </w:abstractNum>
  <w:abstractNum w:abstractNumId="117">
    <w:nsid w:val="57A61A29"/>
    <w:multiLevelType w:val="hybridMultilevel"/>
    <w:lvl w:ilvl="0">
      <w:lvlJc w:val="left"/>
      <w:lvlText w:val="%1"/>
      <w:numFmt w:val="lowerLetter"/>
      <w:start w:val="1"/>
    </w:lvl>
    <w:lvl w:ilvl="1">
      <w:lvlJc w:val="left"/>
      <w:lvlText w:val="(%2)"/>
      <w:numFmt w:val="lowerLetter"/>
      <w:start w:val="1"/>
    </w:lvl>
  </w:abstractNum>
  <w:abstractNum w:abstractNumId="118">
    <w:nsid w:val="5399C654"/>
    <w:multiLevelType w:val="hybridMultilevel"/>
    <w:lvl w:ilvl="0">
      <w:lvlJc w:val="left"/>
      <w:lvlText w:val="(%1)"/>
      <w:numFmt w:val="lowerLetter"/>
      <w:start w:val="61"/>
    </w:lvl>
    <w:lvl w:ilvl="1">
      <w:lvlJc w:val="left"/>
      <w:lvlText w:val="(%2)"/>
      <w:numFmt w:val="lowerLetter"/>
      <w:start w:val="2"/>
    </w:lvl>
  </w:abstractNum>
  <w:abstractNum w:abstractNumId="119">
    <w:nsid w:val="20EE1348"/>
    <w:multiLevelType w:val="hybridMultilevel"/>
    <w:lvl w:ilvl="0">
      <w:lvlJc w:val="left"/>
      <w:lvlText w:val="(%1)"/>
      <w:numFmt w:val="lowerLetter"/>
      <w:start w:val="3"/>
    </w:lvl>
  </w:abstractNum>
  <w:abstractNum w:abstractNumId="120">
    <w:nsid w:val="4427069A"/>
    <w:multiLevelType w:val="hybridMultilevel"/>
    <w:lvl w:ilvl="0">
      <w:lvlJc w:val="left"/>
      <w:lvlText w:val="(%1)"/>
      <w:numFmt w:val="lowerLetter"/>
      <w:start w:val="10"/>
    </w:lvl>
  </w:abstractNum>
  <w:abstractNum w:abstractNumId="121">
    <w:nsid w:val="B37E80A"/>
    <w:multiLevelType w:val="hybridMultilevel"/>
    <w:lvl w:ilvl="0">
      <w:lvlJc w:val="left"/>
      <w:lvlText w:val="(%1)"/>
      <w:numFmt w:val="lowerLetter"/>
      <w:start w:val="1"/>
    </w:lvl>
  </w:abstractNum>
  <w:abstractNum w:abstractNumId="122">
    <w:nsid w:val="2157F6BC"/>
    <w:multiLevelType w:val="hybridMultilevel"/>
    <w:lvl w:ilvl="0">
      <w:lvlJc w:val="left"/>
      <w:lvlText w:val="(%1)"/>
      <w:numFmt w:val="lowerRoman"/>
      <w:start w:val="5"/>
    </w:lvl>
  </w:abstractNum>
  <w:abstractNum w:abstractNumId="123">
    <w:nsid w:val="704E1DD5"/>
    <w:multiLevelType w:val="hybridMultilevel"/>
    <w:lvl w:ilvl="0">
      <w:lvlJc w:val="left"/>
      <w:lvlText w:val="(%1)"/>
      <w:numFmt w:val="lowerLetter"/>
      <w:start w:val="1"/>
    </w:lvl>
  </w:abstractNum>
  <w:abstractNum w:abstractNumId="124">
    <w:nsid w:val="57D2F10E"/>
    <w:multiLevelType w:val="hybridMultilevel"/>
    <w:lvl w:ilvl="0">
      <w:lvlJc w:val="left"/>
      <w:lvlText w:val="(%1)"/>
      <w:numFmt w:val="lowerLetter"/>
      <w:start w:val="1"/>
    </w:lvl>
  </w:abstractNum>
  <w:abstractNum w:abstractNumId="125">
    <w:nsid w:val="BFFAE18"/>
    <w:multiLevelType w:val="hybridMultilevel"/>
    <w:lvl w:ilvl="0">
      <w:lvlJc w:val="left"/>
      <w:lvlText w:val="(%1)"/>
      <w:numFmt w:val="lowerLetter"/>
      <w:start w:val="1"/>
    </w:lvl>
  </w:abstractNum>
  <w:abstractNum w:abstractNumId="126">
    <w:nsid w:val="E3E47A8"/>
    <w:multiLevelType w:val="hybridMultilevel"/>
    <w:lvl w:ilvl="0">
      <w:lvlJc w:val="left"/>
      <w:lvlText w:val="(%1)"/>
      <w:numFmt w:val="lowerLetter"/>
      <w:start w:val="1"/>
    </w:lvl>
  </w:abstractNum>
  <w:abstractNum w:abstractNumId="127">
    <w:nsid w:val="2E48F04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8">
    <w:nsid w:val="49D0FEAC"/>
    <w:multiLevelType w:val="hybridMultilevel"/>
    <w:lvl w:ilvl="0">
      <w:lvlJc w:val="left"/>
      <w:lvlText w:val="(%1)"/>
      <w:numFmt w:val="lowerRoman"/>
      <w:start w:val="9"/>
    </w:lvl>
    <w:lvl w:ilvl="1">
      <w:lvlJc w:val="left"/>
      <w:lvlText w:val="(%2)"/>
      <w:numFmt w:val="lowerLetter"/>
      <w:start w:val="2"/>
    </w:lvl>
    <w:lvl w:ilvl="2">
      <w:lvlJc w:val="left"/>
      <w:lvlText w:val="%3"/>
      <w:numFmt w:val="lowerRoman"/>
      <w:start w:val="1"/>
    </w:lvl>
  </w:abstractNum>
  <w:abstractNum w:abstractNumId="129">
    <w:nsid w:val="4BEE5A5B"/>
    <w:multiLevelType w:val="hybridMultilevel"/>
    <w:lvl w:ilvl="0">
      <w:lvlJc w:val="left"/>
      <w:lvlText w:val="(%1)"/>
      <w:numFmt w:val="lowerLetter"/>
      <w:start w:val="1"/>
    </w:lvl>
    <w:lvl w:ilvl="1">
      <w:lvlJc w:val="left"/>
      <w:lvlText w:val="(%2)"/>
      <w:numFmt w:val="lowerRoman"/>
      <w:start w:val="1"/>
    </w:lvl>
  </w:abstractNum>
  <w:abstractNum w:abstractNumId="130">
    <w:nsid w:val="5551B9F3"/>
    <w:multiLevelType w:val="hybridMultilevel"/>
    <w:lvl w:ilvl="0">
      <w:lvlJc w:val="left"/>
      <w:lvlText w:val="(%1)"/>
      <w:numFmt w:val="lowerLetter"/>
      <w:start w:val="2"/>
    </w:lvl>
  </w:abstractNum>
  <w:abstractNum w:abstractNumId="131">
    <w:nsid w:val="24F6AB8E"/>
    <w:multiLevelType w:val="hybridMultilevel"/>
    <w:lvl w:ilvl="0">
      <w:lvlJc w:val="left"/>
      <w:lvlText w:val="(%1)"/>
      <w:numFmt w:val="lowerLetter"/>
      <w:start w:val="3"/>
    </w:lvl>
  </w:abstractNum>
  <w:abstractNum w:abstractNumId="132">
    <w:nsid w:val="634C574C"/>
    <w:multiLevelType w:val="hybridMultilevel"/>
    <w:lvl w:ilvl="0">
      <w:lvlJc w:val="left"/>
      <w:lvlText w:val="(%1)"/>
      <w:numFmt w:val="lowerLetter"/>
      <w:start w:val="1"/>
    </w:lvl>
  </w:abstractNum>
  <w:abstractNum w:abstractNumId="133">
    <w:nsid w:val="24E99DD7"/>
    <w:multiLevelType w:val="hybridMultilevel"/>
    <w:lvl w:ilvl="0">
      <w:lvlJc w:val="left"/>
      <w:lvlText w:val="%1"/>
      <w:numFmt w:val="lowerLetter"/>
      <w:start w:val="1"/>
    </w:lvl>
    <w:lvl w:ilvl="1">
      <w:lvlJc w:val="left"/>
      <w:lvlText w:val="(%2)"/>
      <w:numFmt w:val="lowerLetter"/>
      <w:start w:val="2"/>
    </w:lvl>
  </w:abstractNum>
  <w:abstractNum w:abstractNumId="134">
    <w:nsid w:val="2A31B62D"/>
    <w:multiLevelType w:val="hybridMultilevel"/>
    <w:lvl w:ilvl="0">
      <w:lvlJc w:val="left"/>
      <w:lvlText w:val="(%1)"/>
      <w:numFmt w:val="lowerLetter"/>
      <w:start w:val="1"/>
    </w:lvl>
    <w:lvl w:ilvl="1">
      <w:lvlJc w:val="left"/>
      <w:lvlText w:val="(%2)"/>
      <w:numFmt w:val="lowerLetter"/>
      <w:start w:val="4"/>
    </w:lvl>
  </w:abstractNum>
  <w:abstractNum w:abstractNumId="135">
    <w:nsid w:val="1849C29B"/>
    <w:multiLevelType w:val="hybridMultilevel"/>
    <w:lvl w:ilvl="0">
      <w:lvlJc w:val="left"/>
      <w:lvlText w:val="(%1)"/>
      <w:numFmt w:val="lowerLetter"/>
      <w:start w:val="1"/>
    </w:lvl>
    <w:lvl w:ilvl="1">
      <w:lvlJc w:val="left"/>
      <w:lvlText w:val="(%2)"/>
      <w:numFmt w:val="lowerRoman"/>
      <w:start w:val="1"/>
    </w:lvl>
  </w:abstractNum>
  <w:abstractNum w:abstractNumId="136">
    <w:nsid w:val="7DFF9D09"/>
    <w:multiLevelType w:val="hybridMultilevel"/>
    <w:lvl w:ilvl="0">
      <w:lvlJc w:val="left"/>
      <w:lvlText w:val="(%1)"/>
      <w:numFmt w:val="lowerLetter"/>
      <w:start w:val="25"/>
    </w:lvl>
    <w:lvl w:ilvl="1">
      <w:lvlJc w:val="left"/>
      <w:lvlText w:val="(%2)"/>
      <w:numFmt w:val="lowerLetter"/>
      <w:start w:val="3"/>
    </w:lvl>
  </w:abstractNum>
  <w:abstractNum w:abstractNumId="137">
    <w:nsid w:val="754342"/>
    <w:multiLevelType w:val="hybridMultilevel"/>
    <w:lvl w:ilvl="0">
      <w:lvlJc w:val="left"/>
      <w:lvlText w:val="(%1)"/>
      <w:numFmt w:val="lowerLetter"/>
      <w:start w:val="5"/>
    </w:lvl>
  </w:abstractNum>
  <w:abstractNum w:abstractNumId="138">
    <w:nsid w:val="69E7F3E5"/>
    <w:multiLevelType w:val="hybridMultilevel"/>
    <w:lvl w:ilvl="0">
      <w:lvlJc w:val="left"/>
      <w:lvlText w:val="(%1)"/>
      <w:numFmt w:val="lowerLetter"/>
      <w:start w:val="1"/>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decimal"/>
      <w:start w:val="1"/>
    </w:lvl>
    <w:lvl w:ilvl="1">
      <w:lvlJc w:val="left"/>
      <w:lvlText w:val="(%2)"/>
      <w:numFmt w:val="lowerLetter"/>
      <w:start w:val="1"/>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54" Type="http://schemas.openxmlformats.org/officeDocument/2006/relationships/hyperlink" Target="http://www.sec.gov/Archives/edgar/data/1434647/000119312515140072/d911803dex31.htm" TargetMode="External"/><Relationship Id="rId55" Type="http://schemas.openxmlformats.org/officeDocument/2006/relationships/hyperlink" Target="http://www.sec.gov/Archives/edgar/data/0001434647/000143774920025891/ex_218888.htm" TargetMode="External"/><Relationship Id="rId56" Type="http://schemas.openxmlformats.org/officeDocument/2006/relationships/hyperlink" Target="http://www.sec.gov/Archives/edgar/data/1434647/000143774923004450/ex_478052.htm" TargetMode="External"/><Relationship Id="rId57" Type="http://schemas.openxmlformats.org/officeDocument/2006/relationships/hyperlink" Target="http://www.sec.gov/Archives/edgar/data/1434647/000143774924005904/ex_632349.htm" TargetMode="External"/><Relationship Id="rId58" Type="http://schemas.openxmlformats.org/officeDocument/2006/relationships/hyperlink" Target="http://www.sec.gov/Archives/edgar/data/1434647/000143774921005785/ex_227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2024-05-09T16:16:51Z</dcterms:created>
  <dcterms:modified xsi:type="dcterms:W3CDTF">2024-05-09T16:16:51Z</dcterms:modified>
</cp:coreProperties>
</file>