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71348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551815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170180</wp:posOffset>
            </wp:positionV>
            <wp:extent cx="1783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191770</wp:posOffset>
            </wp:positionV>
            <wp:extent cx="1783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3960" w:right="2260" w:hanging="3954"/>
        <w:spacing w:after="0" w:line="476" w:lineRule="auto"/>
        <w:tabs>
          <w:tab w:leader="none" w:pos="35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27" w:lineRule="exact"/>
        <w:rPr>
          <w:sz w:val="24"/>
          <w:szCs w:val="24"/>
          <w:color w:val="auto"/>
        </w:rPr>
      </w:pPr>
    </w:p>
    <w:p>
      <w:pPr>
        <w:ind w:left="3940" w:right="1900" w:hanging="3934"/>
        <w:spacing w:after="0" w:line="491" w:lineRule="auto"/>
        <w:tabs>
          <w:tab w:leader="none" w:pos="34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highlight w:val="black"/>
        </w:rPr>
      </w:pPr>
    </w:p>
    <w:p>
      <w:pPr>
        <w:ind w:left="44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No.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184150</wp:posOffset>
            </wp:positionV>
            <wp:extent cx="1783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Zevra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170180</wp:posOffset>
            </wp:positionV>
            <wp:extent cx="1783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5300" w:type="dxa"/>
            <w:vAlign w:val="bottom"/>
          </w:tcPr>
          <w:p>
            <w:pPr>
              <w:jc w:val="center"/>
              <w:ind w:right="49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60" w:type="dxa"/>
            <w:vAlign w:val="bottom"/>
          </w:tcPr>
          <w:p>
            <w:pPr>
              <w:jc w:val="right"/>
              <w:ind w:right="1572"/>
              <w:spacing w:after="0"/>
              <w:rPr>
                <w:sz w:val="20"/>
                <w:szCs w:val="20"/>
                <w:color w:val="auto"/>
              </w:rPr>
            </w:pPr>
            <w:r>
              <w:rPr>
                <w:rFonts w:ascii="Times New Roman" w:cs="Times New Roman" w:eastAsia="Times New Roman" w:hAnsi="Times New Roman"/>
                <w:sz w:val="18"/>
                <w:szCs w:val="18"/>
                <w:b w:val="1"/>
                <w:bCs w:val="1"/>
                <w:color w:val="auto"/>
              </w:rPr>
              <w:t>20-5894398</w:t>
            </w:r>
          </w:p>
        </w:tc>
      </w:tr>
      <w:tr>
        <w:trPr>
          <w:trHeight w:val="233"/>
        </w:trPr>
        <w:tc>
          <w:tcPr>
            <w:tcW w:w="5300" w:type="dxa"/>
            <w:vAlign w:val="bottom"/>
          </w:tcPr>
          <w:p>
            <w:pPr>
              <w:jc w:val="center"/>
              <w:ind w:right="512"/>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 of Incorporation or Organization)</w:t>
            </w:r>
          </w:p>
        </w:tc>
        <w:tc>
          <w:tcPr>
            <w:tcW w:w="4760" w:type="dxa"/>
            <w:vAlign w:val="bottom"/>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7"/>
              </w:rPr>
              <w:t>(I.R.S. Employer Identification No.)</w:t>
            </w:r>
          </w:p>
        </w:tc>
      </w:tr>
      <w:tr>
        <w:trPr>
          <w:trHeight w:val="403"/>
        </w:trPr>
        <w:tc>
          <w:tcPr>
            <w:tcW w:w="5300" w:type="dxa"/>
            <w:vAlign w:val="bottom"/>
          </w:tcPr>
          <w:p>
            <w:pPr>
              <w:jc w:val="center"/>
              <w:ind w:right="512"/>
              <w:spacing w:after="0"/>
              <w:rPr>
                <w:sz w:val="20"/>
                <w:szCs w:val="20"/>
                <w:color w:val="auto"/>
              </w:rPr>
            </w:pPr>
            <w:r>
              <w:rPr>
                <w:rFonts w:ascii="Times New Roman" w:cs="Times New Roman" w:eastAsia="Times New Roman" w:hAnsi="Times New Roman"/>
                <w:sz w:val="18"/>
                <w:szCs w:val="18"/>
                <w:b w:val="1"/>
                <w:bCs w:val="1"/>
                <w:color w:val="auto"/>
                <w:w w:val="97"/>
              </w:rPr>
              <w:t>1180 Celebration Boulevard, Suite 103, Celebration, FL 34747</w:t>
            </w:r>
          </w:p>
        </w:tc>
        <w:tc>
          <w:tcPr>
            <w:tcW w:w="4760" w:type="dxa"/>
            <w:vAlign w:val="bottom"/>
          </w:tcPr>
          <w:p>
            <w:pPr>
              <w:jc w:val="right"/>
              <w:ind w:right="1452"/>
              <w:spacing w:after="0"/>
              <w:rPr>
                <w:sz w:val="20"/>
                <w:szCs w:val="20"/>
                <w:color w:val="auto"/>
              </w:rPr>
            </w:pPr>
            <w:r>
              <w:rPr>
                <w:rFonts w:ascii="Times New Roman" w:cs="Times New Roman" w:eastAsia="Times New Roman" w:hAnsi="Times New Roman"/>
                <w:sz w:val="18"/>
                <w:szCs w:val="18"/>
                <w:b w:val="1"/>
                <w:bCs w:val="1"/>
                <w:color w:val="auto"/>
              </w:rPr>
              <w:t>(321) 939-3416</w:t>
            </w:r>
          </w:p>
        </w:tc>
      </w:tr>
      <w:tr>
        <w:trPr>
          <w:trHeight w:val="233"/>
        </w:trPr>
        <w:tc>
          <w:tcPr>
            <w:tcW w:w="5300" w:type="dxa"/>
            <w:vAlign w:val="bottom"/>
          </w:tcPr>
          <w:p>
            <w:pPr>
              <w:jc w:val="center"/>
              <w:ind w:right="512"/>
              <w:spacing w:after="0"/>
              <w:rPr>
                <w:sz w:val="20"/>
                <w:szCs w:val="20"/>
                <w:color w:val="auto"/>
              </w:rPr>
            </w:pPr>
            <w:r>
              <w:rPr>
                <w:rFonts w:ascii="Times New Roman" w:cs="Times New Roman" w:eastAsia="Times New Roman" w:hAnsi="Times New Roman"/>
                <w:sz w:val="18"/>
                <w:szCs w:val="18"/>
                <w:b w:val="1"/>
                <w:bCs w:val="1"/>
                <w:color w:val="auto"/>
                <w:w w:val="98"/>
              </w:rPr>
              <w:t>(Address of Principal Executive Offices and Zip Code)</w:t>
            </w:r>
          </w:p>
        </w:tc>
        <w:tc>
          <w:tcPr>
            <w:tcW w:w="4760" w:type="dxa"/>
            <w:vAlign w:val="bottom"/>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Including Area Code)</w:t>
            </w: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20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20" w:type="dxa"/>
            <w:vAlign w:val="bottom"/>
          </w:tcPr>
          <w:p>
            <w:pPr>
              <w:spacing w:after="0"/>
              <w:rPr>
                <w:sz w:val="18"/>
                <w:szCs w:val="18"/>
                <w:color w:val="auto"/>
              </w:rPr>
            </w:pPr>
          </w:p>
        </w:tc>
        <w:tc>
          <w:tcPr>
            <w:tcW w:w="28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620" w:type="dxa"/>
            <w:vAlign w:val="bottom"/>
          </w:tcPr>
          <w:p>
            <w:pPr>
              <w:spacing w:after="0"/>
              <w:rPr>
                <w:sz w:val="18"/>
                <w:szCs w:val="18"/>
                <w:color w:val="auto"/>
              </w:rPr>
            </w:pPr>
          </w:p>
        </w:tc>
        <w:tc>
          <w:tcPr>
            <w:tcW w:w="36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00" w:type="dxa"/>
            <w:vAlign w:val="bottom"/>
            <w:gridSpan w:val="3"/>
          </w:tcPr>
          <w:p>
            <w:pPr>
              <w:jc w:val="center"/>
              <w:ind w:left="452"/>
              <w:spacing w:after="0"/>
              <w:rPr>
                <w:sz w:val="20"/>
                <w:szCs w:val="20"/>
                <w:color w:val="auto"/>
              </w:rPr>
            </w:pPr>
            <w:r>
              <w:rPr>
                <w:rFonts w:ascii="Times New Roman" w:cs="Times New Roman" w:eastAsia="Times New Roman" w:hAnsi="Times New Roman"/>
                <w:sz w:val="18"/>
                <w:szCs w:val="18"/>
                <w:b w:val="1"/>
                <w:bCs w:val="1"/>
                <w:color w:val="auto"/>
                <w:w w:val="98"/>
              </w:rPr>
              <w:t>Common Stock, $0.0001 par value</w:t>
            </w: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ZVRA</w:t>
            </w:r>
          </w:p>
        </w:tc>
        <w:tc>
          <w:tcPr>
            <w:tcW w:w="620" w:type="dxa"/>
            <w:vAlign w:val="bottom"/>
          </w:tcPr>
          <w:p>
            <w:pPr>
              <w:spacing w:after="0"/>
              <w:rPr>
                <w:sz w:val="18"/>
                <w:szCs w:val="18"/>
                <w:color w:val="auto"/>
              </w:rPr>
            </w:pPr>
          </w:p>
        </w:tc>
        <w:tc>
          <w:tcPr>
            <w:tcW w:w="36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The Nasdaq Stock Market LLC</w:t>
            </w: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(Nasdaq Global Select Market)</w:t>
            </w: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00" w:type="dxa"/>
            <w:vAlign w:val="bottom"/>
            <w:gridSpan w:val="6"/>
          </w:tcPr>
          <w:p>
            <w:pPr>
              <w:jc w:val="center"/>
              <w:ind w:right="352"/>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 None</w:t>
            </w:r>
          </w:p>
        </w:tc>
        <w:tc>
          <w:tcPr>
            <w:tcW w:w="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40" w:type="dxa"/>
            <w:vAlign w:val="bottom"/>
            <w:gridSpan w:val="2"/>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vMerge w:val="restart"/>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2060" w:type="dxa"/>
            <w:vAlign w:val="bottom"/>
            <w:gridSpan w:val="2"/>
            <w:vMerge w:val="restart"/>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89"/>
        </w:trPr>
        <w:tc>
          <w:tcPr>
            <w:tcW w:w="85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50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8"/>
              </w:rPr>
              <w:t>Indicate by check mark if the Registrant is not required to file reports pursuant to Section 13 or Section 15(d) of the Act</w:t>
            </w:r>
          </w:p>
        </w:tc>
        <w:tc>
          <w:tcPr>
            <w:tcW w:w="68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w w:val="91"/>
              </w:rPr>
              <w:t xml:space="preserve">Yes </w:t>
            </w:r>
            <w:r>
              <w:rPr>
                <w:rFonts w:ascii="MS PGothic" w:cs="MS PGothic" w:eastAsia="MS PGothic" w:hAnsi="MS PGothic"/>
                <w:sz w:val="18"/>
                <w:szCs w:val="18"/>
                <w:color w:val="auto"/>
                <w:w w:val="91"/>
              </w:rPr>
              <w:t>☐</w:t>
            </w:r>
          </w:p>
        </w:tc>
        <w:tc>
          <w:tcPr>
            <w:tcW w:w="2060" w:type="dxa"/>
            <w:vAlign w:val="bottom"/>
            <w:gridSpan w:val="2"/>
          </w:tcPr>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44"/>
        </w:trPr>
        <w:tc>
          <w:tcPr>
            <w:tcW w:w="1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5"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p>
      <w:pPr>
        <w:spacing w:after="0" w:line="207" w:lineRule="exact"/>
        <w:tabs>
          <w:tab w:leader="none" w:pos="2000" w:val="left"/>
          <w:tab w:leader="none" w:pos="3600" w:val="left"/>
          <w:tab w:leader="none" w:pos="5520" w:val="left"/>
          <w:tab w:leader="none" w:pos="788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6"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5"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5"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5"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47" w:lineRule="exact"/>
        <w:rPr>
          <w:sz w:val="20"/>
          <w:szCs w:val="20"/>
          <w:color w:val="auto"/>
        </w:rPr>
      </w:pPr>
    </w:p>
    <w:p>
      <w:pPr>
        <w:spacing w:after="0" w:line="207" w:lineRule="exact"/>
        <w:tabs>
          <w:tab w:leader="none" w:pos="8220" w:val="left"/>
          <w:tab w:leader="none" w:pos="89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335915</wp:posOffset>
            </wp:positionV>
            <wp:extent cx="1783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30, 2022, the last business day of the registrant’s most recently completed second fiscal quarter, was approximately $152.9 million, based upon the closing sales price for the registrant’s common stock, as reported on the Nasdaq Global Select Market on June 30, 2022. The calculation of the aggregate market value of voting and non-voting common equity excludes 210,287 shares of common stock the registrant held by executive officers, directors and stockholders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 2023, the registrant had 34,540,414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182880</wp:posOffset>
            </wp:positionV>
            <wp:extent cx="1783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2023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200660</wp:posOffset>
            </wp:positionV>
            <wp:extent cx="713486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621030</wp:posOffset>
            </wp:positionV>
            <wp:extent cx="713486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662"/>
        </w:trPr>
        <w:tc>
          <w:tcPr>
            <w:tcW w:w="6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40" w:type="dxa"/>
            <w:vAlign w:val="bottom"/>
            <w:gridSpan w:val="16"/>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8"/>
              </w:rPr>
              <w:t>ZEVRA THERAPEUTICS, INC.</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3"/>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20" w:type="dxa"/>
            <w:vAlign w:val="bottom"/>
            <w:gridSpan w:val="14"/>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3"/>
        </w:trPr>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78"/>
        </w:trPr>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466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Business</w:t>
            </w:r>
          </w:p>
        </w:tc>
        <w:tc>
          <w:tcPr>
            <w:tcW w:w="3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0000EE"/>
              </w:rPr>
              <w:t>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1A.</w:t>
            </w:r>
          </w:p>
        </w:tc>
        <w:tc>
          <w:tcPr>
            <w:tcW w:w="9900" w:type="dxa"/>
            <w:vAlign w:val="bottom"/>
            <w:gridSpan w:val="32"/>
          </w:tcPr>
          <w:p>
            <w:pPr>
              <w:spacing w:after="0" w:line="192" w:lineRule="exact"/>
              <w:rPr>
                <w:sz w:val="20"/>
                <w:szCs w:val="20"/>
                <w:color w:val="auto"/>
              </w:rPr>
            </w:pPr>
            <w:r>
              <w:rPr>
                <w:rFonts w:ascii="Times New Roman" w:cs="Times New Roman" w:eastAsia="Times New Roman" w:hAnsi="Times New Roman"/>
                <w:sz w:val="18"/>
                <w:szCs w:val="18"/>
                <w:color w:val="0000EE"/>
              </w:rPr>
              <w:t>Risk Factors</w:t>
            </w:r>
          </w:p>
        </w:tc>
        <w:tc>
          <w:tcPr>
            <w:tcW w:w="460" w:type="dxa"/>
            <w:vAlign w:val="bottom"/>
            <w:gridSpan w:val="3"/>
          </w:tcPr>
          <w:p>
            <w:pPr>
              <w:jc w:val="center"/>
              <w:ind w:left="112"/>
              <w:spacing w:after="0" w:line="192" w:lineRule="exact"/>
              <w:rPr>
                <w:sz w:val="20"/>
                <w:szCs w:val="20"/>
                <w:color w:val="auto"/>
              </w:rPr>
            </w:pPr>
            <w:r>
              <w:rPr>
                <w:rFonts w:ascii="Times New Roman" w:cs="Times New Roman" w:eastAsia="Times New Roman" w:hAnsi="Times New Roman"/>
                <w:sz w:val="18"/>
                <w:szCs w:val="18"/>
                <w:color w:val="0000EE"/>
                <w:w w:val="99"/>
              </w:rPr>
              <w:t>23</w:t>
            </w:r>
          </w:p>
        </w:tc>
        <w:tc>
          <w:tcPr>
            <w:tcW w:w="20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1B.</w:t>
            </w:r>
          </w:p>
        </w:tc>
        <w:tc>
          <w:tcPr>
            <w:tcW w:w="9900" w:type="dxa"/>
            <w:vAlign w:val="bottom"/>
            <w:gridSpan w:val="32"/>
          </w:tcPr>
          <w:p>
            <w:pPr>
              <w:spacing w:after="0" w:line="192"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60" w:type="dxa"/>
            <w:vAlign w:val="bottom"/>
            <w:gridSpan w:val="3"/>
          </w:tcPr>
          <w:p>
            <w:pPr>
              <w:jc w:val="center"/>
              <w:ind w:left="112"/>
              <w:spacing w:after="0" w:line="192" w:lineRule="exact"/>
              <w:rPr>
                <w:sz w:val="20"/>
                <w:szCs w:val="20"/>
                <w:color w:val="auto"/>
              </w:rPr>
            </w:pPr>
            <w:r>
              <w:rPr>
                <w:rFonts w:ascii="Times New Roman" w:cs="Times New Roman" w:eastAsia="Times New Roman" w:hAnsi="Times New Roman"/>
                <w:sz w:val="18"/>
                <w:szCs w:val="18"/>
                <w:color w:val="0000EE"/>
                <w:w w:val="99"/>
              </w:rPr>
              <w:t>80</w:t>
            </w:r>
          </w:p>
        </w:tc>
        <w:tc>
          <w:tcPr>
            <w:tcW w:w="200" w:type="dxa"/>
            <w:vAlign w:val="bottom"/>
          </w:tcPr>
          <w:p>
            <w:pPr>
              <w:spacing w:after="0"/>
              <w:rPr>
                <w:sz w:val="16"/>
                <w:szCs w:val="16"/>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EE"/>
              <w:bottom w:val="single" w:sz="8" w:color="0000EE"/>
            </w:tcBorders>
            <w:gridSpan w:val="3"/>
          </w:tcPr>
          <w:p>
            <w:pPr>
              <w:spacing w:after="0" w:line="192" w:lineRule="exact"/>
              <w:rPr>
                <w:sz w:val="20"/>
                <w:szCs w:val="20"/>
                <w:color w:val="auto"/>
              </w:rPr>
            </w:pPr>
            <w:r>
              <w:rPr>
                <w:rFonts w:ascii="Times New Roman" w:cs="Times New Roman" w:eastAsia="Times New Roman" w:hAnsi="Times New Roman"/>
                <w:sz w:val="18"/>
                <w:szCs w:val="18"/>
                <w:color w:val="0000EE"/>
                <w:w w:val="95"/>
              </w:rPr>
              <w:t>Properties</w:t>
            </w:r>
          </w:p>
        </w:tc>
        <w:tc>
          <w:tcPr>
            <w:tcW w:w="1280" w:type="dxa"/>
            <w:vAlign w:val="bottom"/>
            <w:tcBorders>
              <w:top w:val="single" w:sz="8" w:color="0000EE"/>
            </w:tcBorders>
            <w:gridSpan w:val="10"/>
          </w:tcPr>
          <w:p>
            <w:pPr>
              <w:spacing w:after="0"/>
              <w:rPr>
                <w:sz w:val="16"/>
                <w:szCs w:val="16"/>
                <w:color w:val="auto"/>
              </w:rPr>
            </w:pPr>
          </w:p>
        </w:tc>
        <w:tc>
          <w:tcPr>
            <w:tcW w:w="7900" w:type="dxa"/>
            <w:vAlign w:val="bottom"/>
            <w:gridSpan w:val="19"/>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0000EE"/>
              <w:bottom w:val="single" w:sz="8" w:color="0000EE"/>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EE"/>
                <w:w w:val="77"/>
              </w:rPr>
              <w:t>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bottom w:val="single" w:sz="8" w:color="0000EE"/>
            </w:tcBorders>
            <w:gridSpan w:val="8"/>
          </w:tcPr>
          <w:p>
            <w:pPr>
              <w:spacing w:after="0" w:line="192" w:lineRule="exact"/>
              <w:rPr>
                <w:sz w:val="20"/>
                <w:szCs w:val="20"/>
                <w:color w:val="auto"/>
              </w:rPr>
            </w:pPr>
            <w:r>
              <w:rPr>
                <w:rFonts w:ascii="Times New Roman" w:cs="Times New Roman" w:eastAsia="Times New Roman" w:hAnsi="Times New Roman"/>
                <w:sz w:val="18"/>
                <w:szCs w:val="18"/>
                <w:color w:val="0000EE"/>
                <w:w w:val="97"/>
              </w:rPr>
              <w:t>Legal Proceedings</w:t>
            </w:r>
          </w:p>
        </w:tc>
        <w:tc>
          <w:tcPr>
            <w:tcW w:w="8580" w:type="dxa"/>
            <w:vAlign w:val="bottom"/>
            <w:gridSpan w:val="24"/>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0000EE"/>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EE"/>
                <w:w w:val="77"/>
              </w:rPr>
              <w:t>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4.</w:t>
            </w:r>
          </w:p>
        </w:tc>
        <w:tc>
          <w:tcPr>
            <w:tcW w:w="9900" w:type="dxa"/>
            <w:vAlign w:val="bottom"/>
            <w:gridSpan w:val="32"/>
          </w:tcPr>
          <w:p>
            <w:pPr>
              <w:spacing w:after="0" w:line="192" w:lineRule="exact"/>
              <w:rPr>
                <w:sz w:val="20"/>
                <w:szCs w:val="20"/>
                <w:color w:val="auto"/>
              </w:rPr>
            </w:pPr>
            <w:r>
              <w:rPr>
                <w:rFonts w:ascii="Times New Roman" w:cs="Times New Roman" w:eastAsia="Times New Roman" w:hAnsi="Times New Roman"/>
                <w:sz w:val="18"/>
                <w:szCs w:val="18"/>
                <w:color w:val="0000EE"/>
              </w:rPr>
              <w:t>Mine Safety Disclosures</w:t>
            </w:r>
          </w:p>
        </w:tc>
        <w:tc>
          <w:tcPr>
            <w:tcW w:w="460" w:type="dxa"/>
            <w:vAlign w:val="bottom"/>
            <w:gridSpan w:val="3"/>
          </w:tcPr>
          <w:p>
            <w:pPr>
              <w:jc w:val="center"/>
              <w:ind w:left="112"/>
              <w:spacing w:after="0" w:line="192" w:lineRule="exact"/>
              <w:rPr>
                <w:sz w:val="20"/>
                <w:szCs w:val="20"/>
                <w:color w:val="auto"/>
              </w:rPr>
            </w:pPr>
            <w:r>
              <w:rPr>
                <w:rFonts w:ascii="Times New Roman" w:cs="Times New Roman" w:eastAsia="Times New Roman" w:hAnsi="Times New Roman"/>
                <w:sz w:val="18"/>
                <w:szCs w:val="18"/>
                <w:color w:val="0000EE"/>
                <w:w w:val="99"/>
              </w:rPr>
              <w:t>80</w:t>
            </w:r>
          </w:p>
        </w:tc>
        <w:tc>
          <w:tcPr>
            <w:tcW w:w="200" w:type="dxa"/>
            <w:vAlign w:val="bottom"/>
          </w:tcPr>
          <w:p>
            <w:pPr>
              <w:spacing w:after="0"/>
              <w:rPr>
                <w:sz w:val="16"/>
                <w:szCs w:val="16"/>
                <w:color w:val="auto"/>
              </w:rPr>
            </w:pPr>
          </w:p>
        </w:tc>
      </w:tr>
      <w:tr>
        <w:trPr>
          <w:trHeight w:val="404"/>
        </w:trPr>
        <w:tc>
          <w:tcPr>
            <w:tcW w:w="6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462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79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7"/>
              </w:rPr>
              <w:t>Market for Registrant's Common Equity, Related Stockholder Matters, and Issuer Purchases of Equity Securities</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77"/>
              </w:rPr>
              <w:t>83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6.</w:t>
            </w:r>
          </w:p>
        </w:tc>
        <w:tc>
          <w:tcPr>
            <w:tcW w:w="780" w:type="dxa"/>
            <w:vAlign w:val="bottom"/>
            <w:tcBorders>
              <w:bottom w:val="single" w:sz="8" w:color="0000EE"/>
            </w:tcBorders>
            <w:gridSpan w:val="5"/>
          </w:tcPr>
          <w:p>
            <w:pPr>
              <w:spacing w:after="0" w:line="192" w:lineRule="exact"/>
              <w:rPr>
                <w:sz w:val="20"/>
                <w:szCs w:val="20"/>
                <w:color w:val="auto"/>
              </w:rPr>
            </w:pPr>
            <w:r>
              <w:rPr>
                <w:rFonts w:ascii="Times New Roman" w:cs="Times New Roman" w:eastAsia="Times New Roman" w:hAnsi="Times New Roman"/>
                <w:sz w:val="18"/>
                <w:szCs w:val="18"/>
                <w:color w:val="0000EE"/>
                <w:w w:val="96"/>
              </w:rPr>
              <w:t>[Reserved]</w:t>
            </w:r>
          </w:p>
        </w:tc>
        <w:tc>
          <w:tcPr>
            <w:tcW w:w="9120" w:type="dxa"/>
            <w:vAlign w:val="bottom"/>
            <w:gridSpan w:val="27"/>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0000EE"/>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EE"/>
                <w:w w:val="77"/>
              </w:rPr>
              <w:t>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7.</w:t>
            </w:r>
          </w:p>
        </w:tc>
        <w:tc>
          <w:tcPr>
            <w:tcW w:w="9900" w:type="dxa"/>
            <w:vAlign w:val="bottom"/>
            <w:gridSpan w:val="32"/>
          </w:tcPr>
          <w:p>
            <w:pPr>
              <w:spacing w:after="0" w:line="192"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60" w:type="dxa"/>
            <w:vAlign w:val="bottom"/>
            <w:gridSpan w:val="3"/>
          </w:tcPr>
          <w:p>
            <w:pPr>
              <w:jc w:val="center"/>
              <w:ind w:left="112"/>
              <w:spacing w:after="0" w:line="192" w:lineRule="exact"/>
              <w:rPr>
                <w:sz w:val="20"/>
                <w:szCs w:val="20"/>
                <w:color w:val="auto"/>
              </w:rPr>
            </w:pPr>
            <w:r>
              <w:rPr>
                <w:rFonts w:ascii="Times New Roman" w:cs="Times New Roman" w:eastAsia="Times New Roman" w:hAnsi="Times New Roman"/>
                <w:sz w:val="18"/>
                <w:szCs w:val="18"/>
                <w:color w:val="0000EE"/>
                <w:w w:val="99"/>
              </w:rPr>
              <w:t>85</w:t>
            </w:r>
          </w:p>
        </w:tc>
        <w:tc>
          <w:tcPr>
            <w:tcW w:w="20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7A.</w:t>
            </w:r>
          </w:p>
        </w:tc>
        <w:tc>
          <w:tcPr>
            <w:tcW w:w="428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EE"/>
                <w:w w:val="97"/>
              </w:rPr>
              <w:t>Quantitative and Qualitative Disclosures About Market Risk</w:t>
            </w:r>
          </w:p>
        </w:tc>
        <w:tc>
          <w:tcPr>
            <w:tcW w:w="2040" w:type="dxa"/>
            <w:vAlign w:val="bottom"/>
            <w:gridSpan w:val="10"/>
          </w:tcPr>
          <w:p>
            <w:pPr>
              <w:spacing w:after="0"/>
              <w:rPr>
                <w:sz w:val="16"/>
                <w:szCs w:val="16"/>
                <w:color w:val="auto"/>
              </w:rPr>
            </w:pPr>
          </w:p>
        </w:tc>
        <w:tc>
          <w:tcPr>
            <w:tcW w:w="3580" w:type="dxa"/>
            <w:vAlign w:val="bottom"/>
            <w:gridSpan w:val="4"/>
          </w:tcPr>
          <w:p>
            <w:pPr>
              <w:spacing w:after="0"/>
              <w:rPr>
                <w:sz w:val="16"/>
                <w:szCs w:val="16"/>
                <w:color w:val="auto"/>
              </w:rPr>
            </w:pPr>
          </w:p>
        </w:tc>
        <w:tc>
          <w:tcPr>
            <w:tcW w:w="66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6"/>
              </w:rPr>
              <w:t>106</w:t>
            </w:r>
          </w:p>
        </w:tc>
      </w:tr>
      <w:tr>
        <w:trPr>
          <w:trHeight w:val="20"/>
        </w:trPr>
        <w:tc>
          <w:tcPr>
            <w:tcW w:w="6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8.</w:t>
            </w:r>
          </w:p>
        </w:tc>
        <w:tc>
          <w:tcPr>
            <w:tcW w:w="428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620" w:type="dxa"/>
            <w:vAlign w:val="bottom"/>
            <w:gridSpan w:val="14"/>
          </w:tcPr>
          <w:p>
            <w:pPr>
              <w:spacing w:after="0"/>
              <w:rPr>
                <w:sz w:val="16"/>
                <w:szCs w:val="16"/>
                <w:color w:val="auto"/>
              </w:rPr>
            </w:pPr>
          </w:p>
        </w:tc>
        <w:tc>
          <w:tcPr>
            <w:tcW w:w="66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6"/>
              </w:rPr>
              <w:t>106</w:t>
            </w:r>
          </w:p>
        </w:tc>
      </w:tr>
      <w:tr>
        <w:trPr>
          <w:trHeight w:val="20"/>
        </w:trPr>
        <w:tc>
          <w:tcPr>
            <w:tcW w:w="6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9.</w:t>
            </w:r>
          </w:p>
        </w:tc>
        <w:tc>
          <w:tcPr>
            <w:tcW w:w="6460" w:type="dxa"/>
            <w:vAlign w:val="bottom"/>
            <w:gridSpan w:val="29"/>
          </w:tcPr>
          <w:p>
            <w:pPr>
              <w:spacing w:after="0" w:line="192" w:lineRule="exact"/>
              <w:rPr>
                <w:sz w:val="20"/>
                <w:szCs w:val="20"/>
                <w:color w:val="auto"/>
              </w:rPr>
            </w:pPr>
            <w:r>
              <w:rPr>
                <w:rFonts w:ascii="Times New Roman" w:cs="Times New Roman" w:eastAsia="Times New Roman" w:hAnsi="Times New Roman"/>
                <w:sz w:val="18"/>
                <w:szCs w:val="18"/>
                <w:color w:val="0000EE"/>
                <w:w w:val="97"/>
              </w:rPr>
              <w:t>Changes in and Disagreements With Accountants on Accounting and Financial Disclosures</w:t>
            </w:r>
          </w:p>
        </w:tc>
        <w:tc>
          <w:tcPr>
            <w:tcW w:w="3440" w:type="dxa"/>
            <w:vAlign w:val="bottom"/>
            <w:gridSpan w:val="3"/>
          </w:tcPr>
          <w:p>
            <w:pPr>
              <w:spacing w:after="0"/>
              <w:rPr>
                <w:sz w:val="16"/>
                <w:szCs w:val="16"/>
                <w:color w:val="auto"/>
              </w:rPr>
            </w:pPr>
          </w:p>
        </w:tc>
        <w:tc>
          <w:tcPr>
            <w:tcW w:w="66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6"/>
              </w:rPr>
              <w:t>106</w:t>
            </w:r>
          </w:p>
        </w:tc>
      </w:tr>
      <w:tr>
        <w:trPr>
          <w:trHeight w:val="20"/>
        </w:trPr>
        <w:tc>
          <w:tcPr>
            <w:tcW w:w="6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9A.</w:t>
            </w:r>
          </w:p>
        </w:tc>
        <w:tc>
          <w:tcPr>
            <w:tcW w:w="1740" w:type="dxa"/>
            <w:vAlign w:val="bottom"/>
            <w:gridSpan w:val="10"/>
          </w:tcPr>
          <w:p>
            <w:pPr>
              <w:spacing w:after="0" w:line="192" w:lineRule="exact"/>
              <w:rPr>
                <w:sz w:val="20"/>
                <w:szCs w:val="20"/>
                <w:color w:val="auto"/>
              </w:rPr>
            </w:pPr>
            <w:r>
              <w:rPr>
                <w:rFonts w:ascii="Times New Roman" w:cs="Times New Roman" w:eastAsia="Times New Roman" w:hAnsi="Times New Roman"/>
                <w:sz w:val="18"/>
                <w:szCs w:val="18"/>
                <w:color w:val="0000EE"/>
                <w:w w:val="97"/>
              </w:rPr>
              <w:t>Controls and Procedures</w:t>
            </w:r>
          </w:p>
        </w:tc>
        <w:tc>
          <w:tcPr>
            <w:tcW w:w="4720" w:type="dxa"/>
            <w:vAlign w:val="bottom"/>
            <w:gridSpan w:val="19"/>
          </w:tcPr>
          <w:p>
            <w:pPr>
              <w:spacing w:after="0"/>
              <w:rPr>
                <w:sz w:val="16"/>
                <w:szCs w:val="16"/>
                <w:color w:val="auto"/>
              </w:rPr>
            </w:pPr>
          </w:p>
        </w:tc>
        <w:tc>
          <w:tcPr>
            <w:tcW w:w="3440" w:type="dxa"/>
            <w:vAlign w:val="bottom"/>
            <w:gridSpan w:val="3"/>
          </w:tcPr>
          <w:p>
            <w:pPr>
              <w:spacing w:after="0"/>
              <w:rPr>
                <w:sz w:val="16"/>
                <w:szCs w:val="16"/>
                <w:color w:val="auto"/>
              </w:rPr>
            </w:pPr>
          </w:p>
        </w:tc>
        <w:tc>
          <w:tcPr>
            <w:tcW w:w="66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6"/>
              </w:rPr>
              <w:t>106</w:t>
            </w:r>
          </w:p>
        </w:tc>
      </w:tr>
      <w:tr>
        <w:trPr>
          <w:trHeight w:val="20"/>
        </w:trPr>
        <w:tc>
          <w:tcPr>
            <w:tcW w:w="6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9B.</w:t>
            </w:r>
          </w:p>
        </w:tc>
        <w:tc>
          <w:tcPr>
            <w:tcW w:w="1300" w:type="dxa"/>
            <w:vAlign w:val="bottom"/>
            <w:gridSpan w:val="7"/>
          </w:tcPr>
          <w:p>
            <w:pPr>
              <w:spacing w:after="0" w:line="192"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440" w:type="dxa"/>
            <w:vAlign w:val="bottom"/>
            <w:gridSpan w:val="3"/>
          </w:tcPr>
          <w:p>
            <w:pPr>
              <w:spacing w:after="0"/>
              <w:rPr>
                <w:sz w:val="16"/>
                <w:szCs w:val="16"/>
                <w:color w:val="auto"/>
              </w:rPr>
            </w:pPr>
          </w:p>
        </w:tc>
        <w:tc>
          <w:tcPr>
            <w:tcW w:w="8160" w:type="dxa"/>
            <w:vAlign w:val="bottom"/>
            <w:gridSpan w:val="22"/>
          </w:tcPr>
          <w:p>
            <w:pPr>
              <w:spacing w:after="0"/>
              <w:rPr>
                <w:sz w:val="16"/>
                <w:szCs w:val="16"/>
                <w:color w:val="auto"/>
              </w:rPr>
            </w:pPr>
          </w:p>
        </w:tc>
        <w:tc>
          <w:tcPr>
            <w:tcW w:w="66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6"/>
              </w:rPr>
              <w:t>107</w:t>
            </w:r>
          </w:p>
        </w:tc>
      </w:tr>
      <w:tr>
        <w:trPr>
          <w:trHeight w:val="20"/>
        </w:trPr>
        <w:tc>
          <w:tcPr>
            <w:tcW w:w="6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9C.</w:t>
            </w:r>
          </w:p>
        </w:tc>
        <w:tc>
          <w:tcPr>
            <w:tcW w:w="9900" w:type="dxa"/>
            <w:vAlign w:val="bottom"/>
            <w:gridSpan w:val="32"/>
          </w:tcPr>
          <w:p>
            <w:pPr>
              <w:spacing w:after="0" w:line="192"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6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6"/>
              </w:rPr>
              <w:t>107</w:t>
            </w:r>
          </w:p>
        </w:tc>
      </w:tr>
      <w:tr>
        <w:trPr>
          <w:trHeight w:val="20"/>
        </w:trPr>
        <w:tc>
          <w:tcPr>
            <w:tcW w:w="6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04"/>
        </w:trPr>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bottom w:val="single" w:sz="8" w:color="0000EE"/>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3"/>
              </w:rPr>
              <w:t>PART III</w:t>
            </w:r>
          </w:p>
        </w:tc>
        <w:tc>
          <w:tcPr>
            <w:tcW w:w="458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280" w:type="dxa"/>
            <w:vAlign w:val="bottom"/>
            <w:gridSpan w:val="12"/>
          </w:tcPr>
          <w:p>
            <w:pPr>
              <w:spacing w:after="0"/>
              <w:rPr>
                <w:sz w:val="24"/>
                <w:szCs w:val="24"/>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E"/>
                <w:w w:val="96"/>
              </w:rPr>
              <w:t>108</w:t>
            </w:r>
          </w:p>
        </w:tc>
      </w:tr>
      <w:tr>
        <w:trPr>
          <w:trHeight w:val="20"/>
        </w:trPr>
        <w:tc>
          <w:tcPr>
            <w:tcW w:w="6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11.</w:t>
            </w:r>
          </w:p>
        </w:tc>
        <w:tc>
          <w:tcPr>
            <w:tcW w:w="1780" w:type="dxa"/>
            <w:vAlign w:val="bottom"/>
            <w:gridSpan w:val="12"/>
          </w:tcPr>
          <w:p>
            <w:pPr>
              <w:spacing w:after="0" w:line="192" w:lineRule="exact"/>
              <w:rPr>
                <w:sz w:val="20"/>
                <w:szCs w:val="20"/>
                <w:color w:val="auto"/>
              </w:rPr>
            </w:pPr>
            <w:r>
              <w:rPr>
                <w:rFonts w:ascii="Times New Roman" w:cs="Times New Roman" w:eastAsia="Times New Roman" w:hAnsi="Times New Roman"/>
                <w:sz w:val="18"/>
                <w:szCs w:val="18"/>
                <w:color w:val="0000EE"/>
                <w:w w:val="97"/>
              </w:rPr>
              <w:t>Executive Compensation</w:t>
            </w:r>
          </w:p>
        </w:tc>
        <w:tc>
          <w:tcPr>
            <w:tcW w:w="2840" w:type="dxa"/>
            <w:vAlign w:val="bottom"/>
            <w:gridSpan w:val="8"/>
          </w:tcPr>
          <w:p>
            <w:pPr>
              <w:spacing w:after="0"/>
              <w:rPr>
                <w:sz w:val="16"/>
                <w:szCs w:val="16"/>
                <w:color w:val="auto"/>
              </w:rPr>
            </w:pPr>
          </w:p>
        </w:tc>
        <w:tc>
          <w:tcPr>
            <w:tcW w:w="5280" w:type="dxa"/>
            <w:vAlign w:val="bottom"/>
            <w:gridSpan w:val="12"/>
          </w:tcPr>
          <w:p>
            <w:pPr>
              <w:spacing w:after="0"/>
              <w:rPr>
                <w:sz w:val="16"/>
                <w:szCs w:val="16"/>
                <w:color w:val="auto"/>
              </w:rPr>
            </w:pPr>
          </w:p>
        </w:tc>
        <w:tc>
          <w:tcPr>
            <w:tcW w:w="66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6"/>
              </w:rPr>
              <w:t>108</w:t>
            </w:r>
          </w:p>
        </w:tc>
      </w:tr>
      <w:tr>
        <w:trPr>
          <w:trHeight w:val="20"/>
        </w:trPr>
        <w:tc>
          <w:tcPr>
            <w:tcW w:w="6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12.</w:t>
            </w:r>
          </w:p>
        </w:tc>
        <w:tc>
          <w:tcPr>
            <w:tcW w:w="7160" w:type="dxa"/>
            <w:vAlign w:val="bottom"/>
            <w:gridSpan w:val="30"/>
          </w:tcPr>
          <w:p>
            <w:pPr>
              <w:spacing w:after="0" w:line="192" w:lineRule="exact"/>
              <w:rPr>
                <w:sz w:val="20"/>
                <w:szCs w:val="20"/>
                <w:color w:val="auto"/>
              </w:rPr>
            </w:pPr>
            <w:r>
              <w:rPr>
                <w:rFonts w:ascii="Times New Roman" w:cs="Times New Roman" w:eastAsia="Times New Roman" w:hAnsi="Times New Roman"/>
                <w:sz w:val="18"/>
                <w:szCs w:val="18"/>
                <w:color w:val="0000EE"/>
                <w:w w:val="97"/>
              </w:rPr>
              <w:t>Security Ownership of Certain Beneficial Owners and Management and Related Stockholder Matters</w:t>
            </w:r>
          </w:p>
        </w:tc>
        <w:tc>
          <w:tcPr>
            <w:tcW w:w="2740" w:type="dxa"/>
            <w:vAlign w:val="bottom"/>
            <w:gridSpan w:val="2"/>
          </w:tcPr>
          <w:p>
            <w:pPr>
              <w:spacing w:after="0"/>
              <w:rPr>
                <w:sz w:val="16"/>
                <w:szCs w:val="16"/>
                <w:color w:val="auto"/>
              </w:rPr>
            </w:pPr>
          </w:p>
        </w:tc>
        <w:tc>
          <w:tcPr>
            <w:tcW w:w="66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6"/>
              </w:rPr>
              <w:t>108</w:t>
            </w:r>
          </w:p>
        </w:tc>
      </w:tr>
      <w:tr>
        <w:trPr>
          <w:trHeight w:val="20"/>
        </w:trPr>
        <w:tc>
          <w:tcPr>
            <w:tcW w:w="6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13.</w:t>
            </w:r>
          </w:p>
        </w:tc>
        <w:tc>
          <w:tcPr>
            <w:tcW w:w="5360" w:type="dxa"/>
            <w:vAlign w:val="bottom"/>
            <w:gridSpan w:val="27"/>
          </w:tcPr>
          <w:p>
            <w:pPr>
              <w:spacing w:after="0" w:line="192" w:lineRule="exact"/>
              <w:rPr>
                <w:sz w:val="20"/>
                <w:szCs w:val="20"/>
                <w:color w:val="auto"/>
              </w:rPr>
            </w:pPr>
            <w:r>
              <w:rPr>
                <w:rFonts w:ascii="Times New Roman" w:cs="Times New Roman" w:eastAsia="Times New Roman" w:hAnsi="Times New Roman"/>
                <w:sz w:val="18"/>
                <w:szCs w:val="18"/>
                <w:color w:val="0000EE"/>
                <w:w w:val="97"/>
              </w:rPr>
              <w:t>Certain Relationships and Related Transactions, and Director Independence</w:t>
            </w:r>
          </w:p>
        </w:tc>
        <w:tc>
          <w:tcPr>
            <w:tcW w:w="1800" w:type="dxa"/>
            <w:vAlign w:val="bottom"/>
            <w:gridSpan w:val="3"/>
          </w:tcPr>
          <w:p>
            <w:pPr>
              <w:spacing w:after="0"/>
              <w:rPr>
                <w:sz w:val="16"/>
                <w:szCs w:val="16"/>
                <w:color w:val="auto"/>
              </w:rPr>
            </w:pPr>
          </w:p>
        </w:tc>
        <w:tc>
          <w:tcPr>
            <w:tcW w:w="2740" w:type="dxa"/>
            <w:vAlign w:val="bottom"/>
            <w:gridSpan w:val="2"/>
          </w:tcPr>
          <w:p>
            <w:pPr>
              <w:spacing w:after="0"/>
              <w:rPr>
                <w:sz w:val="16"/>
                <w:szCs w:val="16"/>
                <w:color w:val="auto"/>
              </w:rPr>
            </w:pPr>
          </w:p>
        </w:tc>
        <w:tc>
          <w:tcPr>
            <w:tcW w:w="66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6"/>
              </w:rPr>
              <w:t>108</w:t>
            </w:r>
          </w:p>
        </w:tc>
      </w:tr>
      <w:tr>
        <w:trPr>
          <w:trHeight w:val="20"/>
        </w:trPr>
        <w:tc>
          <w:tcPr>
            <w:tcW w:w="6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14.</w:t>
            </w:r>
          </w:p>
        </w:tc>
        <w:tc>
          <w:tcPr>
            <w:tcW w:w="5360" w:type="dxa"/>
            <w:vAlign w:val="bottom"/>
            <w:gridSpan w:val="27"/>
          </w:tcPr>
          <w:p>
            <w:pPr>
              <w:spacing w:after="0" w:line="192"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540" w:type="dxa"/>
            <w:vAlign w:val="bottom"/>
            <w:gridSpan w:val="5"/>
          </w:tcPr>
          <w:p>
            <w:pPr>
              <w:spacing w:after="0"/>
              <w:rPr>
                <w:sz w:val="16"/>
                <w:szCs w:val="16"/>
                <w:color w:val="auto"/>
              </w:rPr>
            </w:pPr>
          </w:p>
        </w:tc>
        <w:tc>
          <w:tcPr>
            <w:tcW w:w="66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6"/>
              </w:rPr>
              <w:t>108</w:t>
            </w:r>
          </w:p>
        </w:tc>
      </w:tr>
      <w:tr>
        <w:trPr>
          <w:trHeight w:val="404"/>
        </w:trPr>
        <w:tc>
          <w:tcPr>
            <w:tcW w:w="6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2"/>
          </w:tcPr>
          <w:p>
            <w:pPr>
              <w:jc w:val="center"/>
              <w:ind w:right="4600"/>
              <w:spacing w:after="0"/>
              <w:rPr>
                <w:sz w:val="20"/>
                <w:szCs w:val="20"/>
                <w:color w:val="auto"/>
              </w:rPr>
            </w:pPr>
            <w:r>
              <w:rPr>
                <w:rFonts w:ascii="Times New Roman" w:cs="Times New Roman" w:eastAsia="Times New Roman" w:hAnsi="Times New Roman"/>
                <w:sz w:val="18"/>
                <w:szCs w:val="18"/>
                <w:b w:val="1"/>
                <w:bCs w:val="1"/>
                <w:color w:val="0000EE"/>
                <w:w w:val="92"/>
              </w:rPr>
              <w:t>PART IV</w:t>
            </w:r>
          </w:p>
        </w:tc>
        <w:tc>
          <w:tcPr>
            <w:tcW w:w="2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r>
      <w:tr>
        <w:trPr>
          <w:trHeight w:val="4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4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80" w:type="dxa"/>
            <w:vAlign w:val="bottom"/>
            <w:tcBorders>
              <w:top w:val="single" w:sz="8" w:color="0000EE"/>
            </w:tcBorders>
            <w:gridSpan w:val="5"/>
          </w:tcPr>
          <w:p>
            <w:pPr>
              <w:spacing w:after="0"/>
              <w:rPr>
                <w:sz w:val="24"/>
                <w:szCs w:val="24"/>
                <w:color w:val="auto"/>
              </w:rPr>
            </w:pPr>
          </w:p>
        </w:tc>
        <w:tc>
          <w:tcPr>
            <w:tcW w:w="4600" w:type="dxa"/>
            <w:vAlign w:val="bottom"/>
            <w:gridSpan w:val="7"/>
          </w:tcPr>
          <w:p>
            <w:pPr>
              <w:spacing w:after="0"/>
              <w:rPr>
                <w:sz w:val="24"/>
                <w:szCs w:val="24"/>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E"/>
                <w:w w:val="96"/>
              </w:rPr>
              <w:t>109</w:t>
            </w:r>
          </w:p>
        </w:tc>
      </w:tr>
      <w:tr>
        <w:trPr>
          <w:trHeight w:val="20"/>
        </w:trPr>
        <w:tc>
          <w:tcPr>
            <w:tcW w:w="6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6800" w:type="dxa"/>
            <w:vAlign w:val="bottom"/>
            <w:gridSpan w:val="17"/>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16.</w:t>
            </w:r>
          </w:p>
        </w:tc>
        <w:tc>
          <w:tcPr>
            <w:tcW w:w="3100" w:type="dxa"/>
            <w:vAlign w:val="bottom"/>
            <w:gridSpan w:val="15"/>
          </w:tcPr>
          <w:p>
            <w:pPr>
              <w:spacing w:after="0" w:line="192" w:lineRule="exact"/>
              <w:rPr>
                <w:sz w:val="20"/>
                <w:szCs w:val="20"/>
                <w:color w:val="auto"/>
              </w:rPr>
            </w:pPr>
            <w:r>
              <w:rPr>
                <w:rFonts w:ascii="Times New Roman" w:cs="Times New Roman" w:eastAsia="Times New Roman" w:hAnsi="Times New Roman"/>
                <w:sz w:val="18"/>
                <w:szCs w:val="18"/>
                <w:color w:val="0000EE"/>
              </w:rPr>
              <w:t>Form 10-K Summary</w:t>
            </w:r>
          </w:p>
        </w:tc>
        <w:tc>
          <w:tcPr>
            <w:tcW w:w="6800" w:type="dxa"/>
            <w:vAlign w:val="bottom"/>
            <w:gridSpan w:val="17"/>
          </w:tcPr>
          <w:p>
            <w:pPr>
              <w:spacing w:after="0"/>
              <w:rPr>
                <w:sz w:val="16"/>
                <w:szCs w:val="16"/>
                <w:color w:val="auto"/>
              </w:rPr>
            </w:pPr>
          </w:p>
        </w:tc>
        <w:tc>
          <w:tcPr>
            <w:tcW w:w="66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6"/>
              </w:rPr>
              <w:t>148</w:t>
            </w:r>
          </w:p>
        </w:tc>
      </w:tr>
      <w:tr>
        <w:trPr>
          <w:trHeight w:val="20"/>
        </w:trPr>
        <w:tc>
          <w:tcPr>
            <w:tcW w:w="6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8380" w:type="dxa"/>
            <w:vAlign w:val="bottom"/>
            <w:gridSpan w:val="23"/>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680" w:type="dxa"/>
            <w:vAlign w:val="bottom"/>
          </w:tcPr>
          <w:p>
            <w:pPr>
              <w:spacing w:after="0"/>
              <w:rPr>
                <w:sz w:val="16"/>
                <w:szCs w:val="16"/>
                <w:color w:val="auto"/>
              </w:rPr>
            </w:pPr>
          </w:p>
        </w:tc>
        <w:tc>
          <w:tcPr>
            <w:tcW w:w="15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Signatures</w:t>
            </w:r>
          </w:p>
        </w:tc>
        <w:tc>
          <w:tcPr>
            <w:tcW w:w="8380" w:type="dxa"/>
            <w:vAlign w:val="bottom"/>
            <w:gridSpan w:val="23"/>
          </w:tcPr>
          <w:p>
            <w:pPr>
              <w:spacing w:after="0"/>
              <w:rPr>
                <w:sz w:val="16"/>
                <w:szCs w:val="16"/>
                <w:color w:val="auto"/>
              </w:rPr>
            </w:pPr>
          </w:p>
        </w:tc>
        <w:tc>
          <w:tcPr>
            <w:tcW w:w="66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6"/>
              </w:rPr>
              <w:t>149</w:t>
            </w:r>
          </w:p>
        </w:tc>
      </w:tr>
      <w:tr>
        <w:trPr>
          <w:trHeight w:val="583"/>
        </w:trPr>
        <w:tc>
          <w:tcPr>
            <w:tcW w:w="68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i w:val="1"/>
          <w:iCs w:val="1"/>
          <w:color w:val="auto"/>
        </w:rPr>
        <w:t>This Annual Report on Form 10-K,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“intend,”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“Risk Factors” and elsewhere in this report.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89" w:lineRule="exact"/>
        <w:rPr>
          <w:sz w:val="20"/>
          <w:szCs w:val="20"/>
          <w:color w:val="auto"/>
        </w:rPr>
      </w:pPr>
    </w:p>
    <w:p>
      <w:pPr>
        <w:ind w:left="460" w:hanging="229"/>
        <w:spacing w:after="0" w:line="27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progress of, outcome or and timing of any regulatory approval for any of our product candidates and the expected amount or timing of any payment related thereto under any of our collaboration agreements;</w:t>
      </w:r>
    </w:p>
    <w:p>
      <w:pPr>
        <w:spacing w:after="0" w:line="159"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progress of, timing of and expected amount of expenses associated with our research, development and commercialization activities;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raise additional funds on commercially reasonable terms, or at all, in order to support our continued operations;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sufficiency of our cash resources to fund our operating expenses and capital investment requirements for any period;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timing of our clinical trials for our product candidates and the availability of data and results of those trials;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federal, state and foreign regulatory requirements;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potential therapeutic benefits and effectiveness of our products and product candidates;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size and characteristics of the markets that may be addressed by our products and product candidates;</w:t>
      </w:r>
    </w:p>
    <w:p>
      <w:pPr>
        <w:spacing w:after="0" w:line="217" w:lineRule="exact"/>
        <w:rPr>
          <w:rFonts w:ascii="Times New Roman" w:cs="Times New Roman" w:eastAsia="Times New Roman" w:hAnsi="Times New Roman"/>
          <w:sz w:val="18"/>
          <w:szCs w:val="18"/>
          <w:color w:val="auto"/>
        </w:rPr>
      </w:pPr>
    </w:p>
    <w:p>
      <w:pPr>
        <w:ind w:left="460" w:hanging="229"/>
        <w:spacing w:after="0" w:line="27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 to seek to establish, and the potential benefits to us from, any strategic collaborations or partnerships for the development or sale of our products and product candidates;</w:t>
      </w:r>
    </w:p>
    <w:p>
      <w:pPr>
        <w:spacing w:after="0" w:line="159"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as to future financial performance, expense levels and liquidity sources;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of commercializing our products and product candidates, if approved; and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factors discussed elsewhere in this report.</w:t>
      </w: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The forward-looking statements made in this report relate only to events as of the date on which the statements are made. We have included important factors in the cautionary statements included in this report, particularly in the section entitled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338455</wp:posOffset>
            </wp:positionV>
            <wp:extent cx="71348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common stock include the following:</w:t>
      </w:r>
    </w:p>
    <w:p>
      <w:pPr>
        <w:spacing w:after="0" w:line="173" w:lineRule="exact"/>
        <w:rPr>
          <w:sz w:val="20"/>
          <w:szCs w:val="20"/>
          <w:color w:val="auto"/>
        </w:rPr>
      </w:pPr>
    </w:p>
    <w:p>
      <w:pPr>
        <w:ind w:left="460" w:right="20" w:hanging="229"/>
        <w:spacing w:after="0" w:line="27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research and development activities are focused on discovering and developing proprietary prodrugs, and we are taking an innovative approach to discovering and developing prodrugs, which may never lead to additional marketable prodrug products.</w:t>
      </w:r>
    </w:p>
    <w:p>
      <w:pPr>
        <w:spacing w:after="0" w:line="159" w:lineRule="exact"/>
        <w:rPr>
          <w:rFonts w:ascii="Times New Roman" w:cs="Times New Roman" w:eastAsia="Times New Roman" w:hAnsi="Times New Roman"/>
          <w:sz w:val="18"/>
          <w:szCs w:val="18"/>
          <w:color w:val="auto"/>
        </w:rPr>
      </w:pPr>
    </w:p>
    <w:p>
      <w:pPr>
        <w:jc w:val="both"/>
        <w:ind w:left="460" w:hanging="229"/>
        <w:spacing w:after="0" w:line="261"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not able to obtain required regulatory approvals for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72" w:lineRule="exact"/>
        <w:rPr>
          <w:rFonts w:ascii="Times New Roman" w:cs="Times New Roman" w:eastAsia="Times New Roman" w:hAnsi="Times New Roman"/>
          <w:sz w:val="18"/>
          <w:szCs w:val="18"/>
          <w:color w:val="auto"/>
        </w:rPr>
      </w:pPr>
    </w:p>
    <w:p>
      <w:pPr>
        <w:ind w:left="460" w:hanging="229"/>
        <w:spacing w:after="0" w:line="27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commercialization of our approved products or our product candidates is not successful, or we experience significant delays in commercialization, our business will be harmed.</w:t>
      </w:r>
    </w:p>
    <w:p>
      <w:pPr>
        <w:spacing w:after="0" w:line="159" w:lineRule="exact"/>
        <w:rPr>
          <w:rFonts w:ascii="Times New Roman" w:cs="Times New Roman" w:eastAsia="Times New Roman" w:hAnsi="Times New Roman"/>
          <w:sz w:val="18"/>
          <w:szCs w:val="18"/>
          <w:color w:val="auto"/>
        </w:rPr>
      </w:pPr>
    </w:p>
    <w:p>
      <w:pPr>
        <w:jc w:val="both"/>
        <w:ind w:left="460" w:hanging="229"/>
        <w:spacing w:after="0" w:line="25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Arimoclomol is currently available to Niemann-Pick disease Type C patients in the United States. France, Germany, and other European Union countries through our early access program, or EAP. The EAP is expected to remain in place until arimoclomol becomes commercially available in each of the current EAP markets. If the EAP is terminated prior to commercialization of arimoclomol, it will have a material adverse effect on our business, results of operations, cash flows, financial condition and/or prospects.</w:t>
      </w:r>
    </w:p>
    <w:p>
      <w:pPr>
        <w:spacing w:after="0" w:line="176" w:lineRule="exact"/>
        <w:rPr>
          <w:rFonts w:ascii="Times New Roman" w:cs="Times New Roman" w:eastAsia="Times New Roman" w:hAnsi="Times New Roman"/>
          <w:sz w:val="18"/>
          <w:szCs w:val="18"/>
          <w:color w:val="auto"/>
        </w:rPr>
      </w:pPr>
    </w:p>
    <w:p>
      <w:pPr>
        <w:ind w:left="460" w:hanging="229"/>
        <w:spacing w:after="0" w:line="27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rFonts w:ascii="Times New Roman" w:cs="Times New Roman" w:eastAsia="Times New Roman" w:hAnsi="Times New Roman"/>
          <w:sz w:val="18"/>
          <w:szCs w:val="18"/>
          <w:color w:val="auto"/>
        </w:rPr>
      </w:pPr>
    </w:p>
    <w:p>
      <w:pPr>
        <w:ind w:left="460" w:hanging="229"/>
        <w:spacing w:after="0" w:line="27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need substantial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159" w:lineRule="exact"/>
        <w:rPr>
          <w:rFonts w:ascii="Times New Roman" w:cs="Times New Roman" w:eastAsia="Times New Roman" w:hAnsi="Times New Roman"/>
          <w:sz w:val="18"/>
          <w:szCs w:val="18"/>
          <w:color w:val="auto"/>
        </w:rPr>
      </w:pPr>
    </w:p>
    <w:p>
      <w:pPr>
        <w:ind w:left="460" w:hanging="229"/>
        <w:spacing w:after="0" w:line="27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incurred significant recurring negative net operating losses since our inception. We expect to incur operating losses over the next several years and may never achieve or maintain profitability.</w:t>
      </w:r>
    </w:p>
    <w:p>
      <w:pPr>
        <w:spacing w:after="0" w:line="159" w:lineRule="exact"/>
        <w:rPr>
          <w:rFonts w:ascii="Times New Roman" w:cs="Times New Roman" w:eastAsia="Times New Roman" w:hAnsi="Times New Roman"/>
          <w:sz w:val="18"/>
          <w:szCs w:val="18"/>
          <w:color w:val="auto"/>
        </w:rPr>
      </w:pPr>
    </w:p>
    <w:p>
      <w:pPr>
        <w:jc w:val="both"/>
        <w:ind w:left="460" w:hanging="229"/>
        <w:spacing w:after="0" w:line="25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unable to obtain and maintain trade secret protection or patent protection for our technology, our approved products or our product candidates, or if the scope of the patent protection obtained is not sufficiently broad, our competitors could develop and commercialize technology and drugs similar or identical to ours, and our ability to successfully commercialize our technology, our approved products and our product candidates, if approved, may be impaired.</w:t>
      </w:r>
    </w:p>
    <w:p>
      <w:pPr>
        <w:spacing w:after="0" w:line="176" w:lineRule="exact"/>
        <w:rPr>
          <w:rFonts w:ascii="Times New Roman" w:cs="Times New Roman" w:eastAsia="Times New Roman" w:hAnsi="Times New Roman"/>
          <w:sz w:val="18"/>
          <w:szCs w:val="18"/>
          <w:color w:val="auto"/>
        </w:rPr>
      </w:pPr>
    </w:p>
    <w:p>
      <w:pPr>
        <w:jc w:val="both"/>
        <w:ind w:left="460" w:hanging="229"/>
        <w:spacing w:after="0" w:line="25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attempt to rely on Section 505(b)(2) of the Federal Food, Drug and Cosmetic Act and the FDA does not conclude that our product candidates are sufficiently bioequivalent, or have comparable bioavailability, to approved drugs, or if the FDA does not allow us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76" w:lineRule="exact"/>
        <w:rPr>
          <w:rFonts w:ascii="Times New Roman" w:cs="Times New Roman" w:eastAsia="Times New Roman" w:hAnsi="Times New Roman"/>
          <w:sz w:val="18"/>
          <w:szCs w:val="18"/>
          <w:color w:val="auto"/>
        </w:rPr>
      </w:pPr>
    </w:p>
    <w:p>
      <w:pPr>
        <w:ind w:left="460" w:hanging="229"/>
        <w:spacing w:after="0" w:line="27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FDA may determine that any NDA we may submit under the 505(b)(2) regulatory pathway for any of our product candidates in the future is not sufficiently complete to permit a substantive review.</w:t>
      </w:r>
    </w:p>
    <w:p>
      <w:pPr>
        <w:spacing w:after="0" w:line="159" w:lineRule="exact"/>
        <w:rPr>
          <w:rFonts w:ascii="Times New Roman" w:cs="Times New Roman" w:eastAsia="Times New Roman" w:hAnsi="Times New Roman"/>
          <w:sz w:val="18"/>
          <w:szCs w:val="18"/>
          <w:color w:val="auto"/>
        </w:rPr>
      </w:pPr>
    </w:p>
    <w:p>
      <w:pPr>
        <w:jc w:val="both"/>
        <w:ind w:left="460" w:hanging="229"/>
        <w:spacing w:after="0" w:line="275" w:lineRule="auto"/>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We have entered into collaborations with Commave Therapeutics, S.A., or Commave, to develop, manufacture and commercialize AZSTARYS worldwide and KVK-Tech, Inc., or KVK, to manufacture and commercialize APADAZ in the United States. In addition, we may seek collaborations with third parties for the development, manufacturing or commercialization of our other product candidates, or in other territories. If those collaborations are not successful, we may not be able to capitalize on the market potential of our approved products or other product candidates, if approved.</w:t>
      </w:r>
    </w:p>
    <w:p>
      <w:pPr>
        <w:spacing w:after="0" w:line="164" w:lineRule="exact"/>
        <w:rPr>
          <w:rFonts w:ascii="Times New Roman" w:cs="Times New Roman" w:eastAsia="Times New Roman" w:hAnsi="Times New Roman"/>
          <w:sz w:val="17"/>
          <w:szCs w:val="17"/>
          <w:color w:val="auto"/>
        </w:rPr>
      </w:pPr>
    </w:p>
    <w:p>
      <w:pPr>
        <w:ind w:left="460" w:hanging="229"/>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trading price of the shares of our common stock is likely to be volatile, and purchasers of our common stock could incur substantial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369570</wp:posOffset>
            </wp:positionV>
            <wp:extent cx="713486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COMPANY REFERENCE</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Unless the context otherwise requires, we use the terms “Zevra,” “Company,” “we,” “us” and “our” in this Annual Report on Form 10-K to refer to Zevra Therapeutics, Inc., formerly known as KemPharm, Inc. prior to February 21, 2023. We have proprietary rights to a number of trademarks used in this Annual Report on Form 10-K that are important to our business, including LAT® and the Zevra logo. All other trademarks, trade names and service marks appearing in this Annual Report on Form 10-K are the property of their respective owners. Solely for convenience, the trademarks and trade names in this Annual Report on Form 10-K are referred to without the ® and ™ symbols, but such references should not be construed as any indicator that their respective owners will not assert, to the fullest extent under applicable law, their rights thereto.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MARKET AND INDUSTRY DATA</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statistical data, estimates and forecasts that are based on independent industry publications or other publicly available information, as well as other information based on our internal sources. While we believe the industry and market data included in this Annual Report on Form 10-K is reliable and is based on reasonable assumptions, this data involves many assumptions and limitations, and you are cautioned not to give undue weight to these estimates. We have not independently verified the accuracy or completeness of the data contained in these industry publications and other publicly available information. The industry in which we operate is subject to a high degree of uncertainty and risk due to a variety of factors, including those described in the section titled “Risk Factors” and “Special Note Regarding Forward-Looking Statements”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350520</wp:posOffset>
            </wp:positionV>
            <wp:extent cx="713486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are a rare disease company melding science, data and patient need to create transformational therapies for diseases with limited or no treatment options. With unique, data-driven clinical, regulatory, and commercialization strategies, we are overcoming complex drug development challenges to bring much-needed therapies to patients. We have a diverse portfolio of products and product candidates, which includes a combination of both a clinical stage pipeline and commercial stage assets. The Company’s pipeline includes arimoclomol, an orally-delivered, first in-class investigational product candidate being developed for Niemann-Pick disease Type C, or NPC, which has been granted orphan drug designation, Fast-Track designation, Breakthrough Therapy designation and rare pediatric disease designation for the treatment of NPC by the U.S. Food and Drug Administration, or FDA, and orphan medicinal product designation for the treatment of NPC by the European Medicines Agency, or EMA .KP1077, is our lead clinical development product candidate, which is being developed as a treatment for idiopathic hypersomnia, or IH, a rare neurological sleep disorder, and narcolepsy. KP1077 is comprised solely of serdexmethylphenidate, or SDX, our proprietary prodrug of d-methylphenidate, or d-MPH. The FDA has granted KP1077 orphan drug designation for the treatment of IH, and the U.S. Drug Enforcement Agency, or DEA, has classified SDX as a Schedule IV controlled substance based on evidence suggesting SDX has a lower potential for abuse when compared to d-MPH, a Schedule II controlled substance.</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have specialized expertise and a track record of success in advancing promising therapies that face complex clinical and regulatory challenges with an approach that balances science and data with patient need. The FDA, has approved AZSTARYS®, formerly referred to as KP415, a once-daily treatment for attention deficit hyperactivity disorder, or ADHD, in patients age six years and older containing our prodrug, SDX, and d-MPH. In September 2019, we entered into a collaboration and license agreement, or the AZSTARYS License Agreement, with Commave Therapeutics SA (formerly known as Boston Pharmaceutical S.A.), or Commave, an affiliate of Gurnet Point Capital, L.P. Under the AZSTARYS License Agreement, we granted to Commave an exclusive, worldwide license, to develop, manufacture, and commercialize AZSTARYS and any of our product candidates containing SDX and used to treat ADHD or any other CNS disease. Commave has tasked Corium, Inc., or Corium, an affiliate of Gurnet Point Capital, L.P., to lead all commercialization activities for AZSTARYS in the U.S. under the AZSTARYS License Agreement. Corium commercially launched AZSTARYS in the U.S. during the third quarter of 2021. In December 2021, Commave sublicensed commercialization rights for AZSTARYS in greater China to Shanghai Ark Biopharmaceutical Ltd. The FDA has also approved APADAZ®, an immediate-release combination product containing benzhydrocodone, our prodrug of hydrocodone, and acetaminophen, for the short-term (no more than 14 days) management of acute pain severe enough to require opioid analgesic and for which alternative treatments are inadequate. In October 2018, we entered into a collaboration and license agreement, or the APADAZ License Agreement, with KVK-Tech, Inc., or KVK, under which we granted to KVK the exclusive license to manufacture and commercialize APADAZ in the U.S.</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primary mission is to deliver life-changing treatments to people with rare conditions, their families, and caregivers who desperately need better options. This mission guides our efforts to expand our pipeline through both internal development and through our business development activities to collaborate, partner, and potentially acquire additional assets. We intend to target assets that will allow us to leverage the expertise and infrastructure that we have successfully built in order to mitigate risk and enhance our probability of success. In addition, we are considering external opportunities within neurology and neurodegenerative diseases, psychiatric disorders, and other rare diseases, along with adjacent or related therapeutic categories. We are seeking assets that are undergoing Phase 2 clinical trials or Phase 3 clinical trials, subject to our specific evaluation criteria, that we can in-license or acquire. If we are successful, expanding our development pipeline could be accretive to our value proposition by potentially adding new clinical data catalysts and have the potential to create incremental long-term value for stockholders. In addition, we believe that a multi-channel development program with several product candidates addressing various rare disease indications will diversify risk and potentially create an impactful portfolio of commercial-stage products in the future.</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example, in May 2022, we, through our newly formed wholly-owned subsidiary, Zevra Denmark A/S (formerly known as KemPharm Denmark A/S prior to February 21, 2023), or Zevra DK, entered into an Asset Purchase Agreement, or the Arimoclomol Purchase Agreement, with Orphazyme A/S in restructuring, a Danish public limited liability company, or Orphazyme. The transactions agreed to under the Arimoclomol Purchase Agreement closed on May 31, 2022. Under the terms of the Arimoclomol Purchase Agreement, Zevra DK purchased all of the assets and operations of Orphazyme related to arimoclomol and settled all of Orphazyme’s actual outstanding liabilities to its creditors with a cash payment of $12.8 million. In addition, Zevra DK agreed to assume an estimated reserve liability of $5.2 million related to revenue generated from Orphazyme’s Early Access Program in France, or the Arimoclomol EAP.</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most advanced product candidate, arimoclomol, is being developed for the treatment of NPC, a lysosomal storage disease, or LSD. NPC is a rare neurodegenerative disease characterized by an inability of the body to transport cholesterol and lipids inside of cells. Symptoms of NPC include a progressive impairment of mobility, cognition, speech, and swallowing, often culminating in premature death. The incidence of NPC is estimated to be one in 100,000 live births. We estimate that approximately 1,500 individuals have been diagnosed, of which approximately 300 are in the United States and approximately 1,200 are in Europe. However, diagnostic challenges may affect the number of potential patients, and we believe that the availability of treatment options could increase awareness of the disease and assist in identifying more cases. Therapies to treat NPC are desperately needed, and for this reason, arimoclomol is currently being made available to NPC patients in the United States, France, Germany, and other European Union countries under various early access programs, or EAPs.</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September 16, 2020, the previous sponsor of the arimoclomol program, Orphazyme, submitted a new drug application, or NDA, seeking approval for arimoclomol to treat NPC. In June 2021, the FDA issued a complete response letter, or CRL, which means the FDA determined that it could not approve the NDA in its present form. Our aim is to prepare and resubmit an NDA that presents meaningful evidence of safety and efficacy of arimoclomol for its intended use. To that end, we are continuing to work diligently to characterize the substantial data generated since the CRL, including the recently completed four-year open-label safety trial which was recently presented at the 19th World</w:t>
      </w:r>
      <w:r>
        <w:rPr>
          <w:rFonts w:ascii="Times New Roman" w:cs="Times New Roman" w:eastAsia="Times New Roman" w:hAnsi="Times New Roman"/>
          <w:sz w:val="17"/>
          <w:szCs w:val="17"/>
          <w:i w:val="1"/>
          <w:iCs w:val="1"/>
          <w:color w:val="auto"/>
        </w:rPr>
        <w:t>Symposium</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in February 2023. Results from this analysis, based on up to four years of continuous treatment, suggested that arimoclomol may reduce the long-term progression of NPC. Upon fulfilling the randomized double-blinded portion of the Phase 2/3 clinical trial, both placebo- and arimoclomol-treated patients were given the option to continue into the four-year (48 month) open-label-extension, or OLE, phase of the study with arimoclomol treatment provided in addition to their current standard of care. Progression of NPC disease through the DB and OLE phases was assessed utilizing the five-domain NPC Clinical Severity Scale (5DNPCCSS) and compared with an estimated progression calculated from the combination of untreated patients from the NPC-001 observational trial and placebo patients from the NPC-002 Phase 2/3 trial. We are also investigating correlations between relevant 5DNPCCSS domains and corresponding Scale for the Assessment and Rating of Ataxia, or SARA, test items to potentially provide further supportive evidence for 5DNPCCSS validity as a tool for evaluating NPC progression. The SARA test evaluates impairment related to cerebellar ataxia, which was a secondary endpoint in the Phase 2/3 clinical trial of arimoclomol in NPC (NPC progression based on the 5DNPCCSS was the primary endpoint). Based on a comparative analysis of both measurements, it was determined that individual 5DNPCCSS domains and relevant performance-based SARA test items showed strong associations and alignment between the two instruments for all analysis methods used. These results</w:t>
      </w:r>
    </w:p>
    <w:p>
      <w:pPr>
        <w:sectPr>
          <w:pgSz w:w="11900" w:h="16903" w:orient="portrait"/>
          <w:cols w:equalWidth="0" w:num="1">
            <w:col w:w="11240"/>
          </w:cols>
          <w:pgMar w:left="320" w:top="121" w:right="339" w:bottom="0" w:gutter="0" w:footer="0" w:header="0"/>
        </w:sectPr>
      </w:pPr>
    </w:p>
    <w:bookmarkStart w:id="7" w:name="page8"/>
    <w:bookmarkEnd w:id="7"/>
    <w:p>
      <w:pPr>
        <w:jc w:val="both"/>
        <w:spacing w:after="0" w:line="259" w:lineRule="auto"/>
        <w:rPr>
          <w:sz w:val="20"/>
          <w:szCs w:val="20"/>
          <w:color w:val="auto"/>
        </w:rPr>
      </w:pPr>
      <w:r>
        <w:rPr>
          <w:rFonts w:ascii="Times New Roman" w:cs="Times New Roman" w:eastAsia="Times New Roman" w:hAnsi="Times New Roman"/>
          <w:sz w:val="18"/>
          <w:szCs w:val="18"/>
          <w:color w:val="auto"/>
        </w:rPr>
        <w:t>provided further support that the evaluated 5DNPCCSS domains are appropriately standardized to allow for reliable and reproducible scoring of disease severity in NPC. We plan to include these data as part of the updated NDA for arimoclomol, which is expected to resubmitted to the FDA as early as the third quarter of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We also intend to advance our pipeline of prodrug product candidates for the treatment of IH and other CNS/rare diseases, and we reported top-line data from a Phase 1 proof-of-concept study of SDX in the fourth quarter of 2021 and final data for the Phase 1 proof-of-concept study of SDX in the first quarter of 2022. The proof-of-concept study was a dose-escalation study to evaluate the pharmacokinetics, pharmacodynamic stimulant effects, and safety of single oral doses of SDX in subjects with a history of high-dose stimulant use. In the trial, 240 mg and 360 mg doses of SDX were observed to be well-tolerated and produced d-MPH exposure that appeared to increase proportionally with dose. Mean d-MPH plasma concentrations showed a gradual increase after SDX administration, reaching a broad peak from eight to twelve hours post-dose, followed by a shallow decline thereafter. Increased wakefulness, alertness, hypervigilance, and insomnia effects were reported by study participants, which we believe suggests that SDX produced targeted pharmacodynamic effects that have the potential to benefit patients with IH and other sleep disorders. On November 18, 2022, we announced that the FDA has granted the Orphan Drug Designation to SDX for the treatment of IH.</w:t>
      </w:r>
    </w:p>
    <w:p>
      <w:pPr>
        <w:spacing w:after="0" w:line="187" w:lineRule="exact"/>
        <w:rPr>
          <w:sz w:val="20"/>
          <w:szCs w:val="20"/>
          <w:color w:val="auto"/>
        </w:rPr>
      </w:pPr>
    </w:p>
    <w:p>
      <w:pPr>
        <w:jc w:val="both"/>
        <w:ind w:left="20"/>
        <w:spacing w:after="0" w:line="247" w:lineRule="auto"/>
        <w:rPr>
          <w:sz w:val="20"/>
          <w:szCs w:val="20"/>
          <w:color w:val="auto"/>
        </w:rPr>
      </w:pPr>
      <w:r>
        <w:rPr>
          <w:rFonts w:ascii="Times New Roman" w:cs="Times New Roman" w:eastAsia="Times New Roman" w:hAnsi="Times New Roman"/>
          <w:sz w:val="18"/>
          <w:szCs w:val="18"/>
          <w:color w:val="auto"/>
        </w:rPr>
        <w:t>In January 2022, we announced that we have selected KP1077 for the treatment of IH and narcolepsy as our lead clinical development candidate. KP1077 utilizes SDX, our prodrug of d-MPH, as its active pharmaceutical ingredient. During the first quarter of 2022, we initiated a Phase 1 clinical trial comparing the cardiovascular safety of SDX to immediate-release and long-acting formulations of RITALIN®, a commonly prescribed CNS stimulant. In September 2022, we announced topline data from our exploratory Phase 1 clinical trial, which showed the potential for higher dose formulations of SDX to be safe and well tolerated while avoiding the potential for greater cardiovascular safety risk compared to immediate-release and long-acting formulations of Ritalin. Based on the data, we have identified initial dosing strengths for the planned Phase 2 clinical trial of KP1077 which we believe have the potential to be well-tolerated while providing higher overall exposures to d-MPH compared to other methylphenidate products that are often used off-label as a treatment for IH. In addition, on December 21, 2022, we announced the initiation of a Phase 2 clinical trial evaluating KP1077. The Phase 2 clinical trial is a double-blind, placebo-controlled, randomized-withdrawal, dose-optimizing, multi-center study evaluating the efficacy and safety of KP1077 for the treatment of IH. We expect to enroll approximately 48 adult patients with IH in more than 30 centers in the United States. Part 1 of the trial will consist of a five-week open-label titration phase during which patients will be optimized to one of four doses of SDX (80, 160, 240, or 320 mg/day). Part 2 of the trial will entail a two-week randomized, double-blind, withdrawal phase, during which two-thirds of the trial participants will continue to receive their optimized dose while the remaining one-third will receive placebo. Participants will be further assigned into two evenly divided cohorts. The first cohort will receive a single daily dose just before bedtime, and the second cohort will receive half the daily dose shortly after awakening and half the daily dose prior to bedtime. Interim efficacy and safety data for the Phase 2 trial is expected as early as the third quarter of 2023. We anticipate that we will submit the IND for KP1077 for the treatment of narcolepsy as early as the second quarter of 2023, and subsequently begin a trial in narcolepsy soon after interim data from the Phase 2 IH clinical trial is available.</w:t>
      </w:r>
    </w:p>
    <w:p>
      <w:pPr>
        <w:spacing w:after="0" w:line="195"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May 2021, we announced that SDX, our proprietary prodrug of d-MPH and the primary active pharmaceutical ingredient, or API, in AZSTARYS, was classified as a Schedule IV controlled substance by the DEA. AZSTARYS is classified as a Schedule II controlled substance as its formulation includes a 70:30 mixture of SDX (Schedule IV) and d-MPH (Schedule II),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Ligand Activated Therapy Platform Technology</w:t>
      </w:r>
    </w:p>
    <w:p>
      <w:pPr>
        <w:spacing w:after="0" w:line="219"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We employ our proprietary Ligand Activated Therapy, or LAT® , platform technology to discover and develop prodrugs that are new molecules that may potentially improve one or more of the attributes of approved drugs, such as enhanced bioavailability, extended duration of action, increased safety and reduced susceptibility to abuse. A prodrug is a precursor chemical compound of a drug that is inactive or less than fully active, which is then converted in the body to the active form of the drug through a normal metabolic process. Where possible, we seek, to develop prodrugs that will be eligible for approval under Section 505(b)(2) of the Federal Food, Drug and Cosmetic Act, or the FFDCA, otherwise known as a 505(b)(2) NDA, which allows us to submit an NDA that relies on the FDA’s previous findings of safety and effectiveness for one or more approved products, if we demonstrate such reliance is scientifically appropriate.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proprietary LAT platform technology offers the following potential benefits:</w:t>
      </w:r>
    </w:p>
    <w:p>
      <w:pPr>
        <w:spacing w:after="0" w:line="213" w:lineRule="exact"/>
        <w:rPr>
          <w:sz w:val="20"/>
          <w:szCs w:val="20"/>
          <w:color w:val="auto"/>
        </w:rPr>
      </w:pPr>
    </w:p>
    <w:p>
      <w:pPr>
        <w:ind w:left="480" w:hanging="229"/>
        <w:spacing w:after="0" w:line="278"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Improved drug properties. </w:t>
      </w:r>
      <w:r>
        <w:rPr>
          <w:rFonts w:ascii="Times New Roman" w:cs="Times New Roman" w:eastAsia="Times New Roman" w:hAnsi="Times New Roman"/>
          <w:sz w:val="18"/>
          <w:szCs w:val="18"/>
          <w:color w:val="auto"/>
        </w:rPr>
        <w:t>We seek to discover and develop prodrugs that are new molecules with potentially improved attributes over FDA-approved drugs, such as enhanced bioavailability, extended duration of action, increased safety and reduced susceptibility to abuse.</w:t>
      </w:r>
    </w:p>
    <w:p>
      <w:pPr>
        <w:spacing w:after="0" w:line="156" w:lineRule="exact"/>
        <w:rPr>
          <w:rFonts w:ascii="Times New Roman" w:cs="Times New Roman" w:eastAsia="Times New Roman" w:hAnsi="Times New Roman"/>
          <w:sz w:val="18"/>
          <w:szCs w:val="18"/>
          <w:color w:val="auto"/>
        </w:rPr>
      </w:pPr>
    </w:p>
    <w:p>
      <w:pPr>
        <w:jc w:val="both"/>
        <w:ind w:left="480" w:hanging="229"/>
        <w:spacing w:after="0" w:line="262"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Composition-of-matter patent protection. </w:t>
      </w:r>
      <w:r>
        <w:rPr>
          <w:rFonts w:ascii="Times New Roman" w:cs="Times New Roman" w:eastAsia="Times New Roman" w:hAnsi="Times New Roman"/>
          <w:sz w:val="18"/>
          <w:szCs w:val="18"/>
          <w:color w:val="auto"/>
        </w:rPr>
        <w:t>Our prodrugs are new molecules and thus may be eligible for patent protection as novel compositions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 provided that all other applicable requirements are met. We seek patent protection not only for our product candidates, but also for related compounds with the intention of creating potential heightened barriers to market entry.</w:t>
      </w:r>
    </w:p>
    <w:p>
      <w:pPr>
        <w:spacing w:after="0" w:line="170" w:lineRule="exact"/>
        <w:rPr>
          <w:rFonts w:ascii="Times New Roman" w:cs="Times New Roman" w:eastAsia="Times New Roman" w:hAnsi="Times New Roman"/>
          <w:sz w:val="18"/>
          <w:szCs w:val="18"/>
          <w:color w:val="auto"/>
        </w:rPr>
      </w:pPr>
    </w:p>
    <w:p>
      <w:pPr>
        <w:jc w:val="both"/>
        <w:ind w:left="480" w:hanging="229"/>
        <w:spacing w:after="0" w:line="254"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Eligibility for 505(b)(2) NDA pathway. </w:t>
      </w:r>
      <w:r>
        <w:rPr>
          <w:rFonts w:ascii="Times New Roman" w:cs="Times New Roman" w:eastAsia="Times New Roman" w:hAnsi="Times New Roman"/>
          <w:sz w:val="18"/>
          <w:szCs w:val="18"/>
          <w:color w:val="auto"/>
        </w:rPr>
        <w:t>Our proprietary LAT platform technology allows us to discover and develop prodrugs that may be eligible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the 505(b)(2) NDA pathway. Under that regulatory pathway, if we are able to provide an adequate bridge between our product candidates and appropriate FDA-approved drugs, we will then be able to reference the FDA’s previous findings of safety and effectiveness of the approved drugs in our 505(b)(2) NDA submissions. This approach may allow us to avoid some of the significant time and expense of conducting large clinical trials and potentially eliminate the need for some preclinical activities.</w:t>
      </w:r>
    </w:p>
    <w:p>
      <w:pPr>
        <w:spacing w:after="0" w:line="181"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7"/>
          <w:szCs w:val="17"/>
          <w:color w:val="auto"/>
        </w:rPr>
        <w:t>We continue to seek opportunities to expand our pipeline of product candidates through our business development efforts, and by employing our LAT platform technology and development expertise to develop additional product candidates that address significant unmet medical needs in therapeutic indications which have few existing product options. We believe our prodrug product candidates may be eligible for composition-of-matter patent protection and we intend to use the 505(b)(2) NDA pathway when available, which we believe has the potential to reduce drug development time and expense.</w:t>
      </w:r>
    </w:p>
    <w:p>
      <w:pPr>
        <w:sectPr>
          <w:pgSz w:w="11900" w:h="16838" w:orient="portrait"/>
          <w:cols w:equalWidth="0" w:num="1">
            <w:col w:w="11260"/>
          </w:cols>
          <w:pgMar w:left="300" w:top="121"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104140</wp:posOffset>
            </wp:positionV>
            <wp:extent cx="713486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 and Approved Products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have employed our proprietary LAT platform technology to create a portfolio of approved products that we believe will offer, and product candidates that we believe have the potential to offer, significant improvements over currently available FDA-approved drugs.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selection of our product candidates and approved products are summarized in the table below:</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Zevra Partnered and Other Development Assets</w:t>
      </w:r>
    </w:p>
    <w:p>
      <w:pPr>
        <w:spacing w:after="0" w:line="200" w:lineRule="exact"/>
        <w:rPr>
          <w:sz w:val="20"/>
          <w:szCs w:val="20"/>
          <w:color w:val="auto"/>
        </w:rPr>
      </w:pPr>
    </w:p>
    <w:p>
      <w:pPr>
        <w:spacing w:after="0" w:line="229"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Parent Drug (Effect</w:t>
            </w:r>
          </w:p>
        </w:tc>
        <w:tc>
          <w:tcPr>
            <w:tcW w:w="100" w:type="dxa"/>
            <w:vAlign w:val="bottom"/>
          </w:tcPr>
          <w:p>
            <w:pPr>
              <w:spacing w:after="0"/>
              <w:rPr>
                <w:sz w:val="18"/>
                <w:szCs w:val="18"/>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Product Candidate</w:t>
            </w:r>
          </w:p>
        </w:tc>
        <w:tc>
          <w:tcPr>
            <w:tcW w:w="80" w:type="dxa"/>
            <w:vAlign w:val="bottom"/>
          </w:tcPr>
          <w:p>
            <w:pPr>
              <w:spacing w:after="0"/>
              <w:rPr>
                <w:sz w:val="18"/>
                <w:szCs w:val="18"/>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Development Status</w:t>
            </w:r>
          </w:p>
        </w:tc>
        <w:tc>
          <w:tcPr>
            <w:tcW w:w="80" w:type="dxa"/>
            <w:vAlign w:val="bottom"/>
          </w:tcPr>
          <w:p>
            <w:pPr>
              <w:spacing w:after="0"/>
              <w:rPr>
                <w:sz w:val="18"/>
                <w:szCs w:val="18"/>
                <w:color w:val="auto"/>
              </w:rPr>
            </w:pP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Next Milestone(s)</w:t>
            </w:r>
          </w:p>
        </w:tc>
        <w:tc>
          <w:tcPr>
            <w:tcW w:w="0" w:type="dxa"/>
            <w:vAlign w:val="bottom"/>
          </w:tcPr>
          <w:p>
            <w:pPr>
              <w:spacing w:after="0"/>
              <w:rPr>
                <w:sz w:val="1"/>
                <w:szCs w:val="1"/>
                <w:color w:val="auto"/>
              </w:rPr>
            </w:pPr>
          </w:p>
        </w:tc>
      </w:tr>
      <w:tr>
        <w:trPr>
          <w:trHeight w:val="127"/>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Profile) - Indication</w:t>
            </w:r>
          </w:p>
        </w:tc>
        <w:tc>
          <w:tcPr>
            <w:tcW w:w="10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00" w:type="dxa"/>
            <w:vAlign w:val="bottom"/>
            <w:tcBorders>
              <w:bottom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Arimoclomol (ER) - NPC</w:t>
            </w:r>
          </w:p>
        </w:tc>
        <w:tc>
          <w:tcPr>
            <w:tcW w:w="100" w:type="dxa"/>
            <w:vAlign w:val="bottom"/>
          </w:tcPr>
          <w:p>
            <w:pPr>
              <w:spacing w:after="0"/>
              <w:rPr>
                <w:sz w:val="17"/>
                <w:szCs w:val="17"/>
                <w:color w:val="auto"/>
              </w:rPr>
            </w:pPr>
          </w:p>
        </w:tc>
        <w:tc>
          <w:tcPr>
            <w:tcW w:w="21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Arimoclomol</w:t>
            </w:r>
          </w:p>
        </w:tc>
        <w:tc>
          <w:tcPr>
            <w:tcW w:w="80" w:type="dxa"/>
            <w:vAlign w:val="bottom"/>
          </w:tcPr>
          <w:p>
            <w:pPr>
              <w:spacing w:after="0"/>
              <w:rPr>
                <w:sz w:val="17"/>
                <w:szCs w:val="17"/>
                <w:color w:val="auto"/>
              </w:rPr>
            </w:pPr>
          </w:p>
        </w:tc>
        <w:tc>
          <w:tcPr>
            <w:tcW w:w="17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NDA Preparation</w:t>
            </w:r>
          </w:p>
        </w:tc>
        <w:tc>
          <w:tcPr>
            <w:tcW w:w="80" w:type="dxa"/>
            <w:vAlign w:val="bottom"/>
          </w:tcPr>
          <w:p>
            <w:pPr>
              <w:spacing w:after="0"/>
              <w:rPr>
                <w:sz w:val="17"/>
                <w:szCs w:val="17"/>
                <w:color w:val="auto"/>
              </w:rPr>
            </w:pPr>
          </w:p>
        </w:tc>
        <w:tc>
          <w:tcPr>
            <w:tcW w:w="28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NDA Submission - as early as Q3 2023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Methylphenidate (ER) - IH</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KP1077H*</w:t>
            </w:r>
          </w:p>
        </w:tc>
        <w:tc>
          <w:tcPr>
            <w:tcW w:w="80" w:type="dxa"/>
            <w:vAlign w:val="bottom"/>
            <w:shd w:val="clear" w:color="auto" w:fill="CCEEFF"/>
          </w:tcPr>
          <w:p>
            <w:pPr>
              <w:spacing w:after="0"/>
              <w:rPr>
                <w:sz w:val="16"/>
                <w:szCs w:val="16"/>
                <w:color w:val="auto"/>
              </w:rPr>
            </w:pP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Clinical - Phase 2</w:t>
            </w:r>
          </w:p>
        </w:tc>
        <w:tc>
          <w:tcPr>
            <w:tcW w:w="80" w:type="dxa"/>
            <w:vAlign w:val="bottom"/>
            <w:shd w:val="clear" w:color="auto" w:fill="CCEEFF"/>
          </w:tcPr>
          <w:p>
            <w:pPr>
              <w:spacing w:after="0"/>
              <w:rPr>
                <w:sz w:val="16"/>
                <w:szCs w:val="16"/>
                <w:color w:val="auto"/>
              </w:rPr>
            </w:pPr>
          </w:p>
        </w:tc>
        <w:tc>
          <w:tcPr>
            <w:tcW w:w="286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Pivotal Phase 2 Trial ongoing - interim</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results as early as Q3 2023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Methylphenidate (ER) -</w:t>
            </w: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Narcolepsy Types I and</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KP1077N*</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Clinical - Phase 1/2</w:t>
            </w:r>
          </w:p>
        </w:tc>
        <w:tc>
          <w:tcPr>
            <w:tcW w:w="8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IND filing as early as Q2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II</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Methylphenidate (ER) -</w:t>
            </w:r>
          </w:p>
        </w:tc>
        <w:tc>
          <w:tcPr>
            <w:tcW w:w="100" w:type="dxa"/>
            <w:vAlign w:val="bottom"/>
            <w:shd w:val="clear" w:color="auto" w:fill="CCEEFF"/>
          </w:tcPr>
          <w:p>
            <w:pPr>
              <w:spacing w:after="0"/>
              <w:rPr>
                <w:sz w:val="16"/>
                <w:szCs w:val="16"/>
                <w:color w:val="auto"/>
              </w:rPr>
            </w:pP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KP879</w:t>
            </w:r>
          </w:p>
        </w:tc>
        <w:tc>
          <w:tcPr>
            <w:tcW w:w="80" w:type="dxa"/>
            <w:vAlign w:val="bottom"/>
            <w:shd w:val="clear" w:color="auto" w:fill="CCEEFF"/>
          </w:tcPr>
          <w:p>
            <w:pPr>
              <w:spacing w:after="0"/>
              <w:rPr>
                <w:sz w:val="16"/>
                <w:szCs w:val="16"/>
                <w:color w:val="auto"/>
              </w:rPr>
            </w:pP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Clinical - Phase 2</w:t>
            </w:r>
          </w:p>
        </w:tc>
        <w:tc>
          <w:tcPr>
            <w:tcW w:w="80" w:type="dxa"/>
            <w:vAlign w:val="bottom"/>
            <w:shd w:val="clear" w:color="auto" w:fill="CCEEFF"/>
          </w:tcPr>
          <w:p>
            <w:pPr>
              <w:spacing w:after="0"/>
              <w:rPr>
                <w:sz w:val="16"/>
                <w:szCs w:val="16"/>
                <w:color w:val="auto"/>
              </w:rPr>
            </w:pPr>
          </w:p>
        </w:tc>
        <w:tc>
          <w:tcPr>
            <w:tcW w:w="286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Awaiting results of NIH grant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SUD</w:t>
            </w:r>
          </w:p>
        </w:tc>
        <w:tc>
          <w:tcPr>
            <w:tcW w:w="100" w:type="dxa"/>
            <w:vAlign w:val="bottom"/>
            <w:shd w:val="clear" w:color="auto" w:fill="CCEEFF"/>
          </w:tcPr>
          <w:p>
            <w:pPr>
              <w:spacing w:after="0"/>
              <w:rPr>
                <w:sz w:val="10"/>
                <w:szCs w:val="10"/>
                <w:color w:val="auto"/>
              </w:rPr>
            </w:pPr>
          </w:p>
        </w:tc>
        <w:tc>
          <w:tcPr>
            <w:tcW w:w="21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application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Methylphenidate  (ER)  -</w:t>
            </w:r>
          </w:p>
        </w:tc>
        <w:tc>
          <w:tcPr>
            <w:tcW w:w="100" w:type="dxa"/>
            <w:vAlign w:val="bottom"/>
          </w:tcPr>
          <w:p>
            <w:pPr>
              <w:spacing w:after="0"/>
              <w:rPr>
                <w:sz w:val="16"/>
                <w:szCs w:val="16"/>
                <w:color w:val="auto"/>
              </w:rPr>
            </w:pPr>
          </w:p>
        </w:tc>
        <w:tc>
          <w:tcPr>
            <w:tcW w:w="21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AZSTARYS</w:t>
            </w:r>
          </w:p>
        </w:tc>
        <w:tc>
          <w:tcPr>
            <w:tcW w:w="80" w:type="dxa"/>
            <w:vAlign w:val="bottom"/>
          </w:tcPr>
          <w:p>
            <w:pPr>
              <w:spacing w:after="0"/>
              <w:rPr>
                <w:sz w:val="16"/>
                <w:szCs w:val="16"/>
                <w:color w:val="auto"/>
              </w:rPr>
            </w:pPr>
          </w:p>
        </w:tc>
        <w:tc>
          <w:tcPr>
            <w:tcW w:w="1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FDA</w:t>
            </w:r>
          </w:p>
        </w:tc>
        <w:tc>
          <w:tcPr>
            <w:tcW w:w="80" w:type="dxa"/>
            <w:vAlign w:val="bottom"/>
          </w:tcPr>
          <w:p>
            <w:pPr>
              <w:spacing w:after="0"/>
              <w:rPr>
                <w:sz w:val="16"/>
                <w:szCs w:val="16"/>
                <w:color w:val="auto"/>
              </w:rPr>
            </w:pP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Tracking TRx's</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ADHD</w:t>
            </w:r>
          </w:p>
        </w:tc>
        <w:tc>
          <w:tcPr>
            <w:tcW w:w="1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Approved/Partnered</w:t>
            </w:r>
          </w:p>
        </w:tc>
        <w:tc>
          <w:tcPr>
            <w:tcW w:w="8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Hydrocodone / APAP (IR)</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5"/>
              </w:rPr>
              <w:t>APADAZ</w:t>
            </w: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FDA</w:t>
            </w:r>
          </w:p>
        </w:tc>
        <w:tc>
          <w:tcPr>
            <w:tcW w:w="80" w:type="dxa"/>
            <w:vAlign w:val="bottom"/>
            <w:shd w:val="clear" w:color="auto" w:fill="CCEEFF"/>
          </w:tcPr>
          <w:p>
            <w:pPr>
              <w:spacing w:after="0"/>
              <w:rPr>
                <w:sz w:val="16"/>
                <w:szCs w:val="16"/>
                <w:color w:val="auto"/>
              </w:rPr>
            </w:pPr>
          </w:p>
        </w:tc>
        <w:tc>
          <w:tcPr>
            <w:tcW w:w="2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Tracking Payor Contracts and TRx's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Pain</w:t>
            </w: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Approved/Partnered</w:t>
            </w:r>
          </w:p>
        </w:tc>
        <w:tc>
          <w:tcPr>
            <w:tcW w:w="80" w:type="dxa"/>
            <w:vAlign w:val="bottom"/>
            <w:shd w:val="clear" w:color="auto" w:fill="CCEEFF"/>
          </w:tcPr>
          <w:p>
            <w:pPr>
              <w:spacing w:after="0"/>
              <w:rPr>
                <w:sz w:val="10"/>
                <w:szCs w:val="10"/>
                <w:color w:val="auto"/>
              </w:rPr>
            </w:pPr>
          </w:p>
        </w:tc>
        <w:tc>
          <w:tcPr>
            <w:tcW w:w="2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1320" w:right="1120" w:hanging="190"/>
        <w:spacing w:after="0" w:line="304" w:lineRule="auto"/>
        <w:tabs>
          <w:tab w:leader="none" w:pos="1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product candidate is subject to a right of first negotiation upon completion of a Phase 1 proof-of-concept study in favor of Commave under the terms of the AZSTARYS License Agreement, but is not currently licensed to Commave, thereunder.</w:t>
      </w:r>
    </w:p>
    <w:p>
      <w:pPr>
        <w:spacing w:after="0" w:line="140" w:lineRule="exact"/>
        <w:rPr>
          <w:rFonts w:ascii="Times New Roman" w:cs="Times New Roman" w:eastAsia="Times New Roman" w:hAnsi="Times New Roman"/>
          <w:sz w:val="17"/>
          <w:szCs w:val="17"/>
          <w:color w:val="auto"/>
        </w:rPr>
      </w:pPr>
    </w:p>
    <w:p>
      <w:pPr>
        <w:jc w:val="both"/>
        <w:ind w:left="1320" w:right="112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These anticipated milestones are based on information currently available to us. Our current plans and expectations are subject to a number of uncertainties, risks and other important factors that could materially impact our plans, including risks which are not solely within our control. See Part I, Item 1A. “Risk Factors” in this Annual Report on Form 10-K.</w:t>
      </w:r>
    </w:p>
    <w:p>
      <w:pPr>
        <w:spacing w:after="0" w:line="3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Arimoclomol</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Arimoclomol is an orally-delivered, first-in-class investigational product candidate being developed as a treatment for NPC. NPC is a rare neurodegenerative disease characterized by an inability of the body to transport cholesterol and lipids inside of cells. Symptoms of NPC include a progressive impairment of mobility, cognition, speech, and swallowing, often culminating in premature death. The incidence of NPC is estimated to be one in 100,000 live births. Based on these incidence rates, the number of NPC patients in the United States, France, Germany, and other European Union countries is estimated to be approximately 1,800 individuals. Of these, we estimate that approximately 1,500 individuals have been diagnosed, of which approximately 300 are in the United States and approximately 1,200 are in Europe. However, diagnostic challenges may affect the number of potential patients, and we believe that the availability of treatment options could increase awareness of the disease and assist in identifying more cases. Therapies to treat NPC are desperately needed, and for this reason, arimoclomol is currently being made available to NPC patients in the United States, France, Germany, and other European Union countries under various early access programs, or EAPs.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September 16, 2020, the previous sponsor of the arimoclomol program, Orphazyme, submitted an NDA seeking approval of arimoclomol for the treatment of NPC. In June 2021, the FDA issued a CRL, which means the FDA determined that it could not approve the NDA in its present form. Our aim is to prepare and resubmit an NDA that presents meaningful evidence of safety and efficacy of arimoclomol for its intended use. To that end, we are continuing to work diligently to characterize the substantial data generated since the CRL, including the recently completed four-year open-label safety trial. We expect to resubmit the arimoclomol NDA to the FDA as early as the third quarter of 2023.</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Arimoclomol has received Orphan Drug Designation from the FDA for the treatment of NPC and orphan medicinal product designation from the European Medicines Agency for the treatment of NPC, as well as Fast-Track Designation, Breakthrough Therapy Designation, and Rare Pediatric Disease Designation from the FDA, each for the treatment of NPC.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KP1077</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KP1077 is based on SDX and is our lead prodrug product candidate in development for the treatment of IH, an underserved indication. IH is a rare neurological sleep disorder affecting approximately 37,000 patients in the United States. The cardinal feature of IH is excessive daytime sleepiness, or EDS, characterized by daytime lapses into sleep, or an irrepressible need to sleep that persists even with adequate or prolonged nighttime sleep. Additionally, those with IH have extreme difficulty waking, otherwise known as “sleep inertia,” suffer from severe and debilitating brain fog, and may fall asleep unintentionally or at inappropriate times, also known as narcolepsy. These symptoms often further lead to reported memory problems, difficulty maintaining focus, and depression. In the fourth quarter of 2022, we initiated a Phase 2 clinical trial in the U.S. investigating KP1077 as a treatment for IH. Interim safety and efficacy data are expected in the third quarter of 2023 and top-line data are expected by year end 2023. We plan to use our learnings from the ongoing Phase 2 trial to design Phase 3 clinical studies of SDX, the sole pharmaceutical agent in KP1077, in IH and narcolepsy with or without cataplexy. We intend to submit an IND for KP1077 for the treatment of narcolepsy as early as the second quarter of 2023, and subsequently begin a trial in narcolepsy soon after interim data from the Phase 2 IH clinical trial is available.</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is currently only one approved product for the treatment of IH, XYWAV®, developed by Jazz Pharmaceuticals. A second product, WAKIX®, developed by Harmony Biosciences and originally approved for the treatment of EDS or cataplexy in adult patients with narcolepsy, is planned to be studied in a Phase 3 trial with IH patients. Prescribers also utilize narcolepsy medications and various stimulant products “off-label” to treat IH symptoms, with methylphenidate, a Schedule IV controlled substance, being one of the most commonly used stimulants for treating IH. While each of these medications can help to address certain IH symptoms, there are also potential shortcomings, including dosing inconvenience, serious adverse events, such as elevated blood pressure and heart rate, and significant drug-to-drug interactions, or DDIs, including with medications used to manage contraception and depression. In addition, patients have indicated that the effectiveness of their current medication was poor.</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Narcolepsy is a rare, chronic, debilitating neurologic disorder of sleep-wake state instability that impacts up to 200,000 Americans and is primarily characterized by EDS and cataplexy (sudden loss of muscle tone while a person is awake) along with other manifestations of rapid eye movement, or REM, sleep dysregulation, which intrude into wakefulness. In most patients, narcolepsy is caused by the loss of hypocretin, a neuropeptide in the brain that supports sleep-wake state stability. Typical symptom onset occurs in adolescence or young adulthood, but it can take up to a decade to be properly diagnosed. Although there are several approved medications for narcolepsy, we believe a treatment option based on SDX, our proprietary prodrug of d-MPH, with superior exposure/duration characteristics and low abuse potential may be beneficial.</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Based on our preclinical and clinical data, we believe KP1077, if approved by the FDA, may have valuable product features and may provide significant benefits to patients and physicians:</w:t>
      </w:r>
    </w:p>
    <w:p>
      <w:pPr>
        <w:spacing w:after="0" w:line="159" w:lineRule="exact"/>
        <w:rPr>
          <w:sz w:val="20"/>
          <w:szCs w:val="20"/>
          <w:color w:val="auto"/>
        </w:rPr>
      </w:pPr>
    </w:p>
    <w:p>
      <w:pPr>
        <w:ind w:left="460" w:hanging="229"/>
        <w:spacing w:after="0" w:line="278"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Dosing flexibility. </w:t>
      </w:r>
      <w:r>
        <w:rPr>
          <w:rFonts w:ascii="Times New Roman" w:cs="Times New Roman" w:eastAsia="Times New Roman" w:hAnsi="Times New Roman"/>
          <w:sz w:val="18"/>
          <w:szCs w:val="18"/>
          <w:color w:val="auto"/>
        </w:rPr>
        <w:t>Either one or two doses daily, which is designed to address the two primary issues associated with IH: (i) nighttime dose would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 sleep inertia, and (ii) morning dose would address daytime brain fog.</w:t>
      </w:r>
    </w:p>
    <w:p>
      <w:pPr>
        <w:spacing w:after="0" w:line="156" w:lineRule="exact"/>
        <w:rPr>
          <w:rFonts w:ascii="Times New Roman" w:cs="Times New Roman" w:eastAsia="Times New Roman" w:hAnsi="Times New Roman"/>
          <w:sz w:val="18"/>
          <w:szCs w:val="18"/>
          <w:color w:val="auto"/>
        </w:rPr>
      </w:pPr>
    </w:p>
    <w:p>
      <w:pPr>
        <w:ind w:left="460" w:hanging="229"/>
        <w:spacing w:after="0" w:line="278"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drug-to-drug interactions. </w:t>
      </w:r>
      <w:r>
        <w:rPr>
          <w:rFonts w:ascii="Times New Roman" w:cs="Times New Roman" w:eastAsia="Times New Roman" w:hAnsi="Times New Roman"/>
          <w:sz w:val="18"/>
          <w:szCs w:val="18"/>
          <w:color w:val="auto"/>
        </w:rPr>
        <w:t>Our data indicate that there is no drug-to-drug interaction potential, especially with hormonal contraceptives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antidepressants.</w:t>
      </w:r>
    </w:p>
    <w:p>
      <w:pPr>
        <w:spacing w:after="0" w:line="156" w:lineRule="exact"/>
        <w:rPr>
          <w:rFonts w:ascii="Times New Roman" w:cs="Times New Roman" w:eastAsia="Times New Roman" w:hAnsi="Times New Roman"/>
          <w:sz w:val="18"/>
          <w:szCs w:val="18"/>
          <w:color w:val="auto"/>
        </w:rPr>
      </w:pPr>
    </w:p>
    <w:p>
      <w:pPr>
        <w:jc w:val="both"/>
        <w:ind w:left="460" w:hanging="229"/>
        <w:spacing w:after="0" w:line="26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Reduced abuse potential as a Schedule IV controlled substance. </w:t>
      </w:r>
      <w:r>
        <w:rPr>
          <w:rFonts w:ascii="Times New Roman" w:cs="Times New Roman" w:eastAsia="Times New Roman" w:hAnsi="Times New Roman"/>
          <w:sz w:val="18"/>
          <w:szCs w:val="18"/>
          <w:color w:val="auto"/>
        </w:rPr>
        <w:t>All other methylphenidate-based products have been designated as Schedule 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controlled substances, which indicates stricter control over the prescribing and use of such products. KP1077 is based on SDX, which has been designated a Schedule IV controlled substance.</w:t>
      </w:r>
    </w:p>
    <w:p>
      <w:pPr>
        <w:spacing w:after="0" w:line="170" w:lineRule="exact"/>
        <w:rPr>
          <w:rFonts w:ascii="Times New Roman" w:cs="Times New Roman" w:eastAsia="Times New Roman" w:hAnsi="Times New Roman"/>
          <w:sz w:val="18"/>
          <w:szCs w:val="18"/>
          <w:color w:val="auto"/>
        </w:rPr>
      </w:pPr>
    </w:p>
    <w:p>
      <w:pPr>
        <w:jc w:val="both"/>
        <w:ind w:left="460" w:hanging="229"/>
        <w:spacing w:after="0" w:line="26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generic equivalent product. </w:t>
      </w:r>
      <w:r>
        <w:rPr>
          <w:rFonts w:ascii="Times New Roman" w:cs="Times New Roman" w:eastAsia="Times New Roman" w:hAnsi="Times New Roman"/>
          <w:sz w:val="18"/>
          <w:szCs w:val="18"/>
          <w:color w:val="auto"/>
        </w:rPr>
        <w:t>KP1077 contains SDX, our proprietary prodrug of d-methylphenidate that was given a new chemical name,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serdexmethylphenidate, by the USAN, which means that there may be no generic equivalent product for KP1077 in most states, making drug-equivalent substitution potentially difficult at the pharmacy.</w:t>
      </w:r>
    </w:p>
    <w:p>
      <w:pPr>
        <w:spacing w:after="0" w:line="170" w:lineRule="exact"/>
        <w:rPr>
          <w:rFonts w:ascii="Times New Roman" w:cs="Times New Roman" w:eastAsia="Times New Roman" w:hAnsi="Times New Roman"/>
          <w:sz w:val="18"/>
          <w:szCs w:val="18"/>
          <w:color w:val="auto"/>
        </w:rPr>
      </w:pPr>
    </w:p>
    <w:p>
      <w:pPr>
        <w:ind w:left="460" w:hanging="229"/>
        <w:spacing w:after="0" w:line="278"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Composition-of-matter patent protection. </w:t>
      </w:r>
      <w:r>
        <w:rPr>
          <w:rFonts w:ascii="Times New Roman" w:cs="Times New Roman" w:eastAsia="Times New Roman" w:hAnsi="Times New Roman"/>
          <w:sz w:val="18"/>
          <w:szCs w:val="18"/>
          <w:color w:val="auto"/>
        </w:rPr>
        <w:t>KP1077 is generally protected by a U.S. composition-of-matter patent that will expire, after utilizing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appropriate patent term adjustments but excluding possible term extensions, in 2037.</w:t>
      </w:r>
    </w:p>
    <w:p>
      <w:pPr>
        <w:spacing w:after="0" w:line="156" w:lineRule="exact"/>
        <w:rPr>
          <w:rFonts w:ascii="Times New Roman" w:cs="Times New Roman" w:eastAsia="Times New Roman" w:hAnsi="Times New Roman"/>
          <w:sz w:val="18"/>
          <w:szCs w:val="18"/>
          <w:color w:val="auto"/>
        </w:rPr>
      </w:pPr>
    </w:p>
    <w:p>
      <w:pPr>
        <w:jc w:val="both"/>
        <w:ind w:left="460" w:hanging="229"/>
        <w:spacing w:after="0" w:line="26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Orphan drug designation potential. </w:t>
      </w:r>
      <w:r>
        <w:rPr>
          <w:rFonts w:ascii="Times New Roman" w:cs="Times New Roman" w:eastAsia="Times New Roman" w:hAnsi="Times New Roman"/>
          <w:sz w:val="18"/>
          <w:szCs w:val="18"/>
          <w:color w:val="auto"/>
        </w:rPr>
        <w:t>Because there are limited treatments available for the extremely small IH patient population, KP1077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eligible to receive the orphan drug designation by the FDA, as well as fast-track and breakthrough therapy designation eligibility, which may provide various regulatory benefits for the development program.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KP879</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KP879 is based on SDX and is our product candidate in development for the treatment of stimulant use disorder, or SUD, including, for example, abuse or misuse of cocaine, methamphetamine and prescription stimulants. Currently there are no approved drugs in the United States for SUD. We submitted an IND to the FDA for KP879 in December 2020. In January 2021, the FDA completed its review of the KP879 IND, concluding that we may proceed with its planned clinical investigation of the product candidate. We initiated the clinical program in October 2021, reported top-line data from a Phase 1 proof-of-concept study for KP879 in the fourth quarter of 2021 and final data from the Phase 1 proof-of-concept study for KP879 in the first quarter of 2022.</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2022, we conducted a second Phase 1 trial to evaluate the cardiovascular safety of KP879 compared to immediate-release Ritalin and Ritalin LA in healthy volunteers, and reported top-line data in the third quarter of 2022. In this study, the doses of SDX evaluated were observed to be well-tolerated. d-MPH was observed to have been released as designed and in a manner which we believe to be well-suited for further study in patients with SUD but also in patients with sleep disorders characterized with EDS (see KP1077 above).</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January 2023, we submitted a grant proposal to the National Institute of Drug Abuse (NIDA) for a Phase 1 study in cocaine-dependent volunteers to evaluate the safety of concomitant administration of KP879 and cocaine, in preparation of a Phase 3 trial thereafter. If the grant is approved, a Phase 1 study is planned to be conducted subsequently.</w:t>
      </w:r>
    </w:p>
    <w:p>
      <w:pPr>
        <w:sectPr>
          <w:pgSz w:w="11900" w:h="16838" w:orient="portrait"/>
          <w:cols w:equalWidth="0" w:num="1">
            <w:col w:w="11240"/>
          </w:cols>
          <w:pgMar w:left="320" w:top="121" w:right="339" w:bottom="681"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681"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AZSTARYS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AZSTARYS contains dexmethylphenidate and our prodrug, SDX. On March 2, 2021, the FDA approved the NDA for AZSTARYS in patients age six years and older. In May 2021, we announced that SDX, our proprietary prodrug of d-MPH and the primary API in AZSTARYS, was classified as a Schedule IV controlled substance by the DEA. AZSTARYS is classified as a Schedule II controlled substance as its formulation includes a 70:30 mixture of SDX (Schedule IV) and d-MPH (Schedule II),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2019, we entered into the AZSTARYS License Agreement with Commave. Under the AZSTARYS License Agreement, we granted to Commave an exclusive, worldwide license, to develop, manufacture, and commercialize AZSTARYS and any of our product candidates containing SDX for the treatment of ADHD. Commave has tasked Corium with leading all commercialization activities for AZSTARYS in the United States under the AZSTARYS License Agreement. Corium commercially launched AZSTARYS in the United States during the third quarter of 2021.</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AZSTARYS License Agreement, Commave agreed to pay up to $63.0 million in milestone payments upon the occurrence of specified regulatory milestones related to the AZSTARYS, including FDA approval and specified conditions with respect to the final approval label. In addition, Corium agreed to make additional payments upon the achievement of specified U.S. sales milestones of up to $420 million in the aggregate. Further, Commave will pay us quarterly, tiered royalty payments based on a percentage of net sales on a product-by-product basis. Corium also agreed to be responsible for and reimburse us for all of development, commercialization and regulatory expenses for any products or product candidates containing SDX, subject to certain limitations as set forth in the AZSTARYS License Agreement, including consultation fees to be paid to us for services provided to Corium in performing such activities.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2021, we entered into the AZSTARYS Amendment. Pursuant to the AZSTARYS Amendment, we and Corium agreed to modify the compensation terms of the AZSTARYS License Agreement. Corium paid us $10.0 million in connection with the entry into the AZSTARYS Amendment as a result of the FDA approval of AZSTARYS in the United States. Corium also paid us $10.0 million following the receipt of the scheduling determination of the compound SDX by the DEA, which occurred on May 7, 2021. In addition, the AZSTARYS Amendment increased the total remaining future regulatory and sales milestone payments related to AZSTARYS up to an aggregate of $590.0 million.</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AZSTARYS License Agreement will continue on a product-by-product basis (i) until expiration of the royalty term for the applicable product candidate in the United States and (ii) perpetually for all other countries.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APADAZ</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APADAZ is approved by the FDA for the short-term (no more than 14 days) management of acute pain severe enough to require an opioid analgesic and for which alternative treatments are inadequate. APADAZ is an IR combination of our prodrug, benzhydrocodone, and acetaminophen, or APAP. APADAZ contains benzhydrocodone, a Schedule II controlled substance. Benzhydrocodone was developed with our proprietary LAT platform technology.</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2018, we entered into the APADAZ License Agreement with KVK pursuant to which we have granted an exclusive license to KVK to conduct regulatory activities for the manufacture and commercialization of APADAZ in the United States. We have retained the right to license the international commercial rights to APADAZ to one or more collaborators outside of the U.S. We will be solely responsible for all development activities except for regulatory activities relating to APADAZ in the United States.</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APADAZ License Agreement, KVK agreed to pay us certain payments and cost reimbursements of an estimated total of $3.4 million, which includes a payment of $2.0 million within 10 days of the achievement of a specified milestone related to the initial formulary adoption of APADAZ, or the Initial Adoption Milestone. In addition, KVK has agreed to make additional payments to us upon the achievement of specified sales milestones of up to $53.0 million in the aggregate. Further, we and KVK will share the quarterly net profits of APADAZ by KVK in the United States at specified tiered percentages, ranging from us receiving 30% to 50% of net profits, based on the amount of net sales on a rolling four quarter basis. We are responsible for a portion of commercialization and regulatory expenses for APADAZ until the Initial Adoption Milestone is achieved, after which KVK will be responsible for all expenses incurred in connection with commercialization and maintaining regulatory approval in the United States.</w:t>
      </w:r>
    </w:p>
    <w:p>
      <w:pPr>
        <w:spacing w:after="0" w:line="18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In November 2019, APADAZ and its authorized generic became nationally available. To date, KVK has utilized targeted non-traditional efforts to build product awareness for APADAZ as a responsible alternative to currently available hydrocodone/acetaminophen products and there has been limited adoption of the product by prescribers.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intellectual property strategy includes seeking composition-of-matter patents, among other patents, for our prodrugs and product candidates and conjugates of our prodrugs while also protecting, where appropriate as trade secrets, our proprietary LAT platform technology, the process by which we identify, screen, evaluate and select ligands to be conjugated with parent drugs to create our prodrugs. Our current prodrugs all consist of an approved parent drug and one or more ligands that we have selected using our proprietary LAT platform technology. The parent drug and ligand or ligands together may potentially constitute a new molecule and thus may be eligible for composition-of-matter patent protection, among other patent protections, in the United States and abroad.</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of December 31, 2022, we have been granted and maintain 62 active patents within the United States, and an additional 241 active foreign patents covering our selected prodrugs and product candidates. The terms of the 62 issued U.S. patents extend to various dates ranging, for example, between 2029 and 2040. The term of our overall domestic and foreign patent portfolio related to our selected prodrugs and product candidates, including patent term adjustments but excluding possible patent term extensions, extend to various dates ranging, for example, between 2029 and 2042, if pending patent applications in each of our patent families issue as patents. As of December 31, 2022, we had 19 pending patent applications under active prosecution in the United States, and an additional 117 pending foreign patent applications potentially covering our selected prodrugs and product candidates. Our issued and granted patents provide protection in jurisdictions that include the United States, Australia, Canada, Chile, China, European Countries, Hong Kong, India, Indonesia, Israel, Japan, Kazakhstan, Malaysia, Mexico, New Zealand, Philippines, Romania, Russia, Singapore, South Africa, South Korea, and Vietnam.</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received composition-of-matter patents and also additionally filed composition-of-matter and method of treatment patent applications related to the AZSTARYS families in the United States and in Argentina, Australia, Brazil, Canada, Chile, China, Egypt, Hong Kong, European Countries, India, Israel, Indonesia, Japan, South Korea, Kazakhstan, Mexico, Malaysia, New Zealand, Philippines, Russia, Singapore, South Africa, Thailand, Ukraine, and Vietnam. We anticipate filing additional patent applications for our prodrugs and product candidates.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2013, the United States Patent and Trademark Office, or the USPTO, has issued 14 composition-of-matter or method of treatment patents covering benzhydrocodone, which will expire, after utilizing all appropriate patent term adjustments but excluding possible patent term extensions, no earlier than 2030. Further, there are granted or recently allowed compositions-of-matter patents covering benzhydrocodone in Australia, Canada, Chile, China, Israel, Mexico, South Africa, and South Korea. Patent applications covering benzhydrocodone were pending as of December 31, 2022, in Thailand and Vietnam.</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additionally received method of use and method of treatment patents, and have filed related patent applications, related to the arimoclomol families (pursuant to the recent acquisition of Orphazyme) in various jurisdictions, including the United States, European countries, Israel, Japan, South Korea, Canada, China, Brazil, Russia and Turkey, with anticipated patent expiration date of 2029, excluding any potential patent term adjustments or extensions. We anticipate filing additional patent applications related to the arimoclomol families.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depend upon the skills, knowledge and experience of our scientific and technical personnel, as well as that of our advisors, consultants and other contractors. To help protect our LAT platform technology, as well as any proprietary know-how and show-how beyond that which is patentable, we rely on trade secret protection and confidentiality agreements to protect our interests. To this end, we generally require our employees, consultants and advisors to enter into confidentiality agreements prohibiting the disclosure of confidential information and, in some cases, requiring disclosure and assignment to us of the ideas, developments, discoveries, inventions and improvements important to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March 2021, we announced that the FDA approved the NDA for AZSTARYS, a once-daily product for the treatment of ADHD in patients ranging from six years and older. Corium is leading the commercialization of AZSTARYS per the AZSTARYS License Agreement. Corium commercially launched AZSTARYS in the United States during the third quarter of 2021.</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February 2018, we announced that the FDA approved APADAZ for the short-term (no more than 14 days) management of acute pain severe enough to require an opioid analgesic and for which alternative treatments are inadequate. In October 2018, we entered into the APADAZ License Agreement with KVK pursuant to which we have granted an exclusive license to KVK to conduct regulatory activities for, manufacture and commercialize APADAZ in the United States. In November 2019, APADAZ and its authorized generic (AG-APADAZ) became nationally available. To date, KVK has utilized targeted non-traditional efforts to build product awareness for APADAZ as a responsible alternative to currently available hydrocodone/acetaminophen products and there has been limited adoption of the product by prescribers.</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With the exception of AZSTARYS and APADAZ, commercialization activities for our product candidates in active development have not yet begun. It is our intention to build a small, nimble commercial team which will be able to fully service the patients and prescribers within the rare disease indications for which we are successful in gaining approval for our product candidates. However, if our product candidates have large potential market opportunities that would require significant marketing resources, we may conclude that the most appropriate approach to their commercialization, if they receive regulatory approval, will involve forming a commercial collaboration or strategic relationship similar to those we have entered into with Corium and KVK, or consummating some type of strategic transaction, with a larger pharmaceutical or other marketing organization. As we get closer to potential approval of our product candidates which are not currently subject to the AZSTARYS License Agreement, we will work to identify and implement the commercialization strategies that we conclude are the most desirable with regard to the specific product candidates.</w:t>
      </w:r>
    </w:p>
    <w:p>
      <w:pPr>
        <w:sectPr>
          <w:pgSz w:w="11900" w:h="16838" w:orient="portrait"/>
          <w:cols w:equalWidth="0" w:num="1">
            <w:col w:w="11240"/>
          </w:cols>
          <w:pgMar w:left="320" w:top="121" w:right="3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19" w:lineRule="exact"/>
        <w:rPr>
          <w:sz w:val="20"/>
          <w:szCs w:val="20"/>
          <w:color w:val="auto"/>
        </w:rPr>
      </w:pPr>
    </w:p>
    <w:p>
      <w:pPr>
        <w:jc w:val="both"/>
        <w:ind w:left="20" w:right="100"/>
        <w:spacing w:after="0" w:line="252" w:lineRule="auto"/>
        <w:rPr>
          <w:sz w:val="20"/>
          <w:szCs w:val="20"/>
          <w:color w:val="auto"/>
        </w:rPr>
      </w:pPr>
      <w:r>
        <w:rPr>
          <w:rFonts w:ascii="Times New Roman" w:cs="Times New Roman" w:eastAsia="Times New Roman" w:hAnsi="Times New Roman"/>
          <w:sz w:val="18"/>
          <w:szCs w:val="18"/>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w:t>
      </w:r>
    </w:p>
    <w:p>
      <w:pPr>
        <w:spacing w:after="0" w:line="185" w:lineRule="exact"/>
        <w:rPr>
          <w:sz w:val="20"/>
          <w:szCs w:val="20"/>
          <w:color w:val="auto"/>
        </w:rPr>
      </w:pPr>
    </w:p>
    <w:p>
      <w:pPr>
        <w:jc w:val="both"/>
        <w:ind w:left="20" w:right="100"/>
        <w:spacing w:after="0" w:line="252" w:lineRule="auto"/>
        <w:rPr>
          <w:sz w:val="20"/>
          <w:szCs w:val="20"/>
          <w:color w:val="auto"/>
        </w:rPr>
      </w:pPr>
      <w:r>
        <w:rPr>
          <w:rFonts w:ascii="Times New Roman" w:cs="Times New Roman" w:eastAsia="Times New Roman" w:hAnsi="Times New Roman"/>
          <w:sz w:val="18"/>
          <w:szCs w:val="18"/>
          <w:color w:val="auto"/>
        </w:rPr>
        <w:t>While there are currently no approved products for the treatment of NPC in the U.S., if approved, we expect the most direct competitor with respect to arimoclomol to be ZAVESCA (miglustat), which was originally developed by Actelion Pharmaceuticals and is now owned by Johnson &amp; Johnson. Miglustat is available as a generic product in several countries, including the U.S., where it is currently approved for the treatment of another LSD, Gaucher disease. Miglustat is currently approved for the treatment of NPC in Europe, Canada, Australia, New Zealand, and several countries in Asia and South America where it is marketed as ZAVESCA, and marketed as BRAZAVES in Japan.</w:t>
      </w:r>
    </w:p>
    <w:p>
      <w:pPr>
        <w:spacing w:after="0" w:line="185"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If approved, we intend for KP1077 to compete against Jazz Pharmaceuticals’ XYWAV, and potentially with other products that are currently in development for the treatment of IH, including Harmony Biosciences’ WAKIX. KP1077 could face potential competition from any products for the treatment of IH that are currently in or which may enter into clinical development.</w:t>
      </w:r>
    </w:p>
    <w:p>
      <w:pPr>
        <w:spacing w:after="0" w:line="1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Currently, there are no approved drugs in the United States for the treatment of SUD. If approved, KP879 will face potential competition from any products fo the treatment of SUD that are currently in, or which may enter into, clinical development.</w:t>
      </w:r>
    </w:p>
    <w:p>
      <w:pPr>
        <w:spacing w:after="0" w:line="163" w:lineRule="exact"/>
        <w:rPr>
          <w:sz w:val="20"/>
          <w:szCs w:val="20"/>
          <w:color w:val="auto"/>
        </w:rPr>
      </w:pPr>
    </w:p>
    <w:p>
      <w:pPr>
        <w:jc w:val="both"/>
        <w:ind w:left="20" w:right="100"/>
        <w:spacing w:after="0" w:line="251" w:lineRule="auto"/>
        <w:rPr>
          <w:sz w:val="20"/>
          <w:szCs w:val="20"/>
          <w:color w:val="auto"/>
        </w:rPr>
      </w:pPr>
      <w:r>
        <w:rPr>
          <w:rFonts w:ascii="Times New Roman" w:cs="Times New Roman" w:eastAsia="Times New Roman" w:hAnsi="Times New Roman"/>
          <w:sz w:val="18"/>
          <w:szCs w:val="18"/>
          <w:color w:val="auto"/>
        </w:rPr>
        <w:t>AZSTARYS competes against currently marketed, branded and generic methylphenidate products for the treatment of ADHD. Some of these currently marketed products include Janssen’s CONCERTA, Supernus' QUELBREE, Tris Pharma’s QUILLIVANT XR and QUILLICHEW ER, Novartis’ RITALIN, FOCALIN and FOCALIN XR, UCB’s METADATE CD, Noven’s DAYTRANA, Neos Therapeutics’ CONTEMPLA XR-ODT, Ironshore Pharmaceuticals, Inc.’s JORNAY PM and Adlon Therapeutics’ ADHANSIA XR, in addition to multiple other branded and generic methylphenidate products. In addition, AZSTARYS will face potential competition from any other methylphenidate products for the treatment of ADHD that are currently in or which may enter into clinical development.</w:t>
      </w:r>
    </w:p>
    <w:p>
      <w:pPr>
        <w:spacing w:after="0" w:line="185" w:lineRule="exact"/>
        <w:rPr>
          <w:sz w:val="20"/>
          <w:szCs w:val="20"/>
          <w:color w:val="auto"/>
        </w:rPr>
      </w:pPr>
    </w:p>
    <w:p>
      <w:pPr>
        <w:jc w:val="both"/>
        <w:ind w:left="20" w:right="100"/>
        <w:spacing w:after="0" w:line="255" w:lineRule="auto"/>
        <w:rPr>
          <w:sz w:val="20"/>
          <w:szCs w:val="20"/>
          <w:color w:val="auto"/>
        </w:rPr>
      </w:pPr>
      <w:r>
        <w:rPr>
          <w:rFonts w:ascii="Times New Roman" w:cs="Times New Roman" w:eastAsia="Times New Roman" w:hAnsi="Times New Roman"/>
          <w:sz w:val="18"/>
          <w:szCs w:val="18"/>
          <w:color w:val="auto"/>
        </w:rPr>
        <w:t>APADAZ competes against currently marketed, branded and generic hydrocodone/APAP products for short-term (no more than 14 days) management of acute pain severe enough to require an opioid analgesic and for which alternative treatments are inadequate. In addition, APADAZ may face potential competition from any other hydrocodone/APAP products for short-term (no more than 14 days) management of acute pain severe enough to require an opioid analgesic and for which alternative treatments are inadequate that are currently in or which may enter into clinical development.</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19" w:lineRule="exact"/>
        <w:rPr>
          <w:sz w:val="20"/>
          <w:szCs w:val="20"/>
          <w:color w:val="auto"/>
        </w:rPr>
      </w:pPr>
    </w:p>
    <w:p>
      <w:pPr>
        <w:jc w:val="both"/>
        <w:ind w:left="20" w:right="100"/>
        <w:spacing w:after="0" w:line="252" w:lineRule="auto"/>
        <w:rPr>
          <w:sz w:val="20"/>
          <w:szCs w:val="20"/>
          <w:color w:val="auto"/>
        </w:rPr>
      </w:pPr>
      <w:r>
        <w:rPr>
          <w:rFonts w:ascii="Times New Roman" w:cs="Times New Roman" w:eastAsia="Times New Roman" w:hAnsi="Times New Roman"/>
          <w:sz w:val="18"/>
          <w:szCs w:val="18"/>
          <w:color w:val="auto"/>
        </w:rPr>
        <w:t>Our manufacturing strategy is to rely on contract manufacturers to produce our product candidates for clinical trials and, if approved, drug product for commercial sale. We currently have no manufacturing facilities and limited personnel with manufacturing experience. We have contracted with a third-party manufacturer to supply arimoclomol, and to supply SDX, which is the primary API for KP1077 and KP879, to be used in our non-clinical, clinical and formulation development programs necessary to support an NDA submission. We expect to contract with third-party manufacturers for the manufacture of all API supply needs outside the United States if and when we receive approval from regulatory authorities outside the United States.</w:t>
      </w:r>
    </w:p>
    <w:p>
      <w:pPr>
        <w:spacing w:after="0" w:line="185" w:lineRule="exact"/>
        <w:rPr>
          <w:sz w:val="20"/>
          <w:szCs w:val="20"/>
          <w:color w:val="auto"/>
        </w:rPr>
      </w:pPr>
    </w:p>
    <w:p>
      <w:pPr>
        <w:jc w:val="both"/>
        <w:ind w:left="20" w:right="100"/>
        <w:spacing w:after="0" w:line="250" w:lineRule="auto"/>
        <w:rPr>
          <w:sz w:val="20"/>
          <w:szCs w:val="20"/>
          <w:color w:val="auto"/>
        </w:rPr>
      </w:pPr>
      <w:r>
        <w:rPr>
          <w:rFonts w:ascii="Times New Roman" w:cs="Times New Roman" w:eastAsia="Times New Roman" w:hAnsi="Times New Roman"/>
          <w:sz w:val="18"/>
          <w:szCs w:val="18"/>
          <w:color w:val="auto"/>
        </w:rPr>
        <w:t>Our current and any future third-party manufacturers, their facilities and all lots of drug substance and drug products used in our clinical trials are required to be in compliance with current good manufacturing practices, or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requirements and FDA satisfaction before any product is approved and we can manufacture commercial products. Our current and any future third-party manufacturers are also subject to periodic inspections of facilities by the FDA and other authorities, including procedures and operations used in the testing and manufacture of our products to assess our compliance with applicable regulations.</w:t>
      </w:r>
    </w:p>
    <w:p>
      <w:pPr>
        <w:spacing w:after="0" w:line="187" w:lineRule="exact"/>
        <w:rPr>
          <w:sz w:val="20"/>
          <w:szCs w:val="20"/>
          <w:color w:val="auto"/>
        </w:rPr>
      </w:pPr>
    </w:p>
    <w:p>
      <w:pPr>
        <w:jc w:val="both"/>
        <w:ind w:left="20" w:right="100"/>
        <w:spacing w:after="0" w:line="250" w:lineRule="auto"/>
        <w:rPr>
          <w:sz w:val="20"/>
          <w:szCs w:val="20"/>
          <w:color w:val="auto"/>
        </w:rPr>
      </w:pPr>
      <w:r>
        <w:rPr>
          <w:rFonts w:ascii="Times New Roman" w:cs="Times New Roman" w:eastAsia="Times New Roman" w:hAnsi="Times New Roman"/>
          <w:sz w:val="18"/>
          <w:szCs w:val="18"/>
          <w:color w:val="auto"/>
        </w:rPr>
        <w:t>Failure to comply with statutory and regulatory requirements subjects a manufacturer to possible legal or regulatory action, including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additional reporting requirements and oversight if we become subject to a corporate integrity agreement or similar agreements to resolve allegations of non-compliance with these laws, refusals of government contracts and new orders under existing contracts, exclusion from participation in federal and state healthcare programs, restitution, disgorgement or civil or criminal penalties, including fines and individual imprisonments.</w:t>
      </w:r>
    </w:p>
    <w:p>
      <w:pPr>
        <w:spacing w:after="0" w:line="3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Payor Coverage and Reimbursement</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Sales of pharmaceutical products depend in significant part on the availability of coverage and adequate reimbursement by third-party payors, such as state and federal governmental authorities, including those that administer the Medicare and Medicaid programs, and private managed care organizations and health insurers. Decisions regarding the extent of coverage and amount of reimbursement to be provided for each of our product and product candidates is and will be made on a plan-by-plan basis. One payor’s determination to provide coverage for a product does not assure that other payors will also provide coverage, and adequate reimbursement, for the product. Each third-party payor determines whether or not it will provide coverage for a drug, what amount it will pay providers for the drug, and on what tier of its formulary the drug will be placed. These decisions are influenced by the existence of multiple drug products within a therapeutic class and the net cost to the plan, including the amount of the prescription price, if any, rebated by the drug’s manufacturer. Typically, generic versions of drugs are placed in a preferred tier. The position of a drug on the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Additionally, a third-party payor’s decision to provide coverage for a drug does not imply that an adequate reimbursement rate will be approved. Also, third-party payors are developing increasingly sophisticated methods of controlling healthcare costs. As a result, coverage, reimbursement and placement determinations are complex and are often the subject of extensive negotiations between the payor and the owner of the drug.</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Unless we enter into a strategic collaboration under which our collaborator assumes responsibility for seeking coverage and reimbursement for a given product, we will be responsible for negotiating coverage, reimbursement and placement decisions for our product candidates, if approved. Coverage, reimbursement and placement decisions for a new product are based on many factors including the coverage, reimbursement and placement of already marketed branded drugs for the same or similar indications, the safety and efficacy of the new product, availability of generics for similar indications, the clinical need for the new product and the cost-effectiveness of the product. Increasingly, both purchasers and payors are also conducting comparative clinical and cost effectiveness analyses involving application of metrics, including data on patient outcomes, provided by manufacturers.</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Within the Medicare program, as self-administered drugs, our product and product candidates would be reimbursed under the expanded prescription drug benefit known as Medicare Part D. This program is a voluntary Medicare benefit administered by private plans that operate under contracts with the federal government. These plans develop formularies that determine which products are covered and what co-pay will apply to covered drugs. The plans have considerable discretion in establishing formularies and tiered co-pay structures, negotiating rebates with manufacturers and placing prior authorization and other restrictions on the utilization of specific products, subject to review by the Centers for Medicare &amp; Medicaid Services, or CMS, for discriminatory practices. These Part D plans negotiate discounts with drug manufacturers, which are passed on, in whole or in part, to each of the plan’s enrollees through reduced premiums.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transitioning patient responsibility in that coverage range from 100% in 2010 to only 25% currently. To help achieve this reduction, pharmaceutical manufacturers are required to provide quarterly discounts of 70%, which commenced January 1, 2019. In 2020, drug manufacturers became be responsible for a larger share of total drug costs due to an increase to the catastrophic threshold. Such increase will also result in a higher out-of-pocket threshold paid by Part D beneficiaries.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If a drug product is available for reimbursement by Medicare or Medicaid, its manufacturer must comply with various health regulatory requirements and price reporting metrics, which may include, as applicable, the Medicare Prescription Drug, Improvement, and Modernization Act of 2003, the Medicaid rebate requirements of the Omnibus Budget Reconciliation Act of 1990, or the OBRA, and the Veterans Health Care Act of 1992, or the VHCA, each as amended. Among other things, the OBRA requires drug manufacturers with certain drugs covered by Medicaid to pay rebates on prescription drugs to state Medicaid programs. States may also negotiate “supplemental” Medicaid rebates on drug products dispensed under Medicaid. Manufacturers participating in Medicaid are also generally required to participate in the Public Health Service 340B Drug Discount Program, which imposes a mandatory discount on purchases by certain customers. Manufacturers of innovator drugs, including 505(b)(2) drugs, that participate in the Medicaid program are also required to offer the drugs on the Federal Supply Schedule purchasing program of the General Services Administration for purchase by the Department of Veterans Affairs, the Department of Defense and other authorized users at a mandatory discount. Additional laws and requirements apply to these contracts. Participation in such federal programs may result in prices for our future products that will likely be lower than the prices we might otherwise obtain.</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Third-party payors, including the U.S. government, continue to apply downward pressure on the reimbursement of pharmaceutical products. Also, the trend towards managed health care in the United States and the concurrent growth of organizations such as health maintenance organizations may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 and product candidates. A new drug must be approved by the FDA through the NDA process before it may be legally marketed in the United States. The process of obtaining regulatory approvals and the subsequent compliance with applicable federal, state, local and foreign statutes and regulations require the expenditure of substantial time and financial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product candidates may be marketed in the United States generally involves the following:</w:t>
      </w:r>
    </w:p>
    <w:p>
      <w:pPr>
        <w:spacing w:after="0" w:line="217" w:lineRule="exact"/>
        <w:rPr>
          <w:sz w:val="20"/>
          <w:szCs w:val="20"/>
          <w:color w:val="auto"/>
        </w:rPr>
      </w:pPr>
    </w:p>
    <w:p>
      <w:pPr>
        <w:ind w:left="460" w:hanging="229"/>
        <w:spacing w:after="0" w:line="274"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laboratory and animal tests that must be conducted in accordance with good laboratory practices, or GLP, requirements and other applicable regulations;</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IND, which must be received by the FDA and become effective before human clinical trials may begin;</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or centrally before each trial may be initiated;</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and efficacy of the proposed product candidate for its intended use, performed in accordance with good clinical practice requirements, or GCPs;</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of a NDA to the FDA;</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pre-approval inspection of manufacturing facilities at which the drug is produced to assess their compliance with cGMPs and of selected clinical investigation sites to assess compliance with GCPs; and</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approval of an NDA to permit commercial marketing for particular indications for use.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testing and regulatory approval process requires substantial time, effort and financial resources. Preclinical studies include laboratory evaluation of drug substance chemistry, pharmacology, toxicity and drug product formulation, as well as animal studies to assess potential safety and efficacy. Prior to commencing the first human clinical trial with a product candidate, we must submit the results of the preclinical tests and preclinical literature, together with manufacturing information, analytical data and any available clinical data or literature, among other things, to the FDA as part of an IND. An IND is a request for authorization from the FDA to administer an investigational new drug product to humans. The central focus of an IND submission is on the general investigational plan and the protocol(s) for clinical studies.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IND becomes effective 30 days after receipt by the FDA, unless the FDA, within the 30-day time period, raises safety concerns or questions about the conduct of the clinical trial by imposing a clinical hold. In such a case, the IND sponsor and the FDA must resolve any outstanding concerns before the clinical trial can begin. Submission of an IND may not result in FDA authorization to commence a clinical trial.</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as well as amendments to previously submitted clinical trials. Further, an independent IRB for each study site proposing to conduct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subjects, or based on evolving business objectives or competitive climate. Some studies also include a data safety monitoring board, which receives special access to unblinded data during the clinical trial and may advise us to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for purposes of NDA approval, human clinical trials are typically conducted in three sequential phases that may overlap.</w:t>
      </w:r>
    </w:p>
    <w:p>
      <w:pPr>
        <w:spacing w:after="0" w:line="215" w:lineRule="exact"/>
        <w:rPr>
          <w:sz w:val="20"/>
          <w:szCs w:val="20"/>
          <w:color w:val="auto"/>
        </w:rPr>
      </w:pPr>
    </w:p>
    <w:p>
      <w:pPr>
        <w:jc w:val="both"/>
        <w:ind w:left="460" w:hanging="229"/>
        <w:spacing w:after="0" w:line="261"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The product candidate is initially introduced into healthy subjects or patients with the target disease or condition. These studies are conducted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test the product candidate for safety, dosage tolerance, structure-activity relationships, mechanism of action, absorption, metabolism, distribution and excretion. If possible, Phase 1 trials may also be used to gain early evidence of product effectiveness.</w:t>
      </w:r>
    </w:p>
    <w:p>
      <w:pPr>
        <w:spacing w:after="0" w:line="172" w:lineRule="exact"/>
        <w:rPr>
          <w:rFonts w:ascii="Times New Roman" w:cs="Times New Roman" w:eastAsia="Times New Roman" w:hAnsi="Times New Roman"/>
          <w:sz w:val="18"/>
          <w:szCs w:val="18"/>
          <w:color w:val="auto"/>
        </w:rPr>
      </w:pPr>
    </w:p>
    <w:p>
      <w:pPr>
        <w:jc w:val="both"/>
        <w:ind w:left="460" w:hanging="229"/>
        <w:spacing w:after="0" w:line="261"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The product candidate is administered to a limited patient population with a specified disease or condition to evaluate the preliminary efficacy,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optimal dosage and dosing schedule and to identify possible adverse side effects and safety risks. Multiple Phase 2 clinical trials may be conducted to obtain information prior to beginning larger and more expensive Phase 3 clinical trials.</w:t>
      </w:r>
    </w:p>
    <w:p>
      <w:pPr>
        <w:spacing w:after="0" w:line="172" w:lineRule="exact"/>
        <w:rPr>
          <w:rFonts w:ascii="Times New Roman" w:cs="Times New Roman" w:eastAsia="Times New Roman" w:hAnsi="Times New Roman"/>
          <w:sz w:val="18"/>
          <w:szCs w:val="18"/>
          <w:color w:val="auto"/>
        </w:rPr>
      </w:pPr>
    </w:p>
    <w:p>
      <w:pPr>
        <w:jc w:val="both"/>
        <w:ind w:left="460" w:hanging="229"/>
        <w:spacing w:after="0" w:line="261"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The product candidate is administered to an expanded patient population to further evaluate dosage to provide statistically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 of clinical efficacy and to further test for safety in an expanded subject population at multiple clinical trial sites. These clinical trials are intended to establish the overall risk/benefit ratio of the product and provide an adequate basis for product labeling.</w:t>
      </w:r>
    </w:p>
    <w:p>
      <w:pPr>
        <w:sectPr>
          <w:pgSz w:w="11900" w:h="16838" w:orient="portrait"/>
          <w:cols w:equalWidth="0" w:num="1">
            <w:col w:w="11240"/>
          </w:cols>
          <w:pgMar w:left="320" w:top="121" w:right="339" w:bottom="3"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81915</wp:posOffset>
            </wp:positionV>
            <wp:extent cx="71348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case of a 505(b)(2) NDA, some of the above-described studies and preclinical studies may not be required or may be abbreviated. Pharmacokinetic and other bridging studies may be needed, however, to demonstrate the relevance of the studies that were previously conducted by other sponsors to the drug that is the subject of the NDA.</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FDA may require, or companies may pursue, additional clinical trials after a product is approved. These so-called Phase 4, or post-market, studies may be used to gain additional experience from the treatment of patients in the intended therapeutic indication. In certain instances, the FDA may mandate the performance of Phase 4 clinical trials as a condition of approval of an NDA.</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FFDCA. In addition, 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investigator’s brochure.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NDA Submission and Review by the FDA</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requires payment of a substantial application user fee to the FDA. These user fees must be filed at the time of the first submission of the application, even if the application is being submitted on a rolling basis. Fee waivers or reductions are available in some circumstances.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may refer drugs which present difficult questions of safety or efficacy to an advisory committee. An advisory committee is a panel that typically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The timeline for the FDA to complete its review of a NDA may differ based on whether the application is a standard review or priority review application. The FDA may give a priority review to applications for drugs that are intended to treat serious conditions and if approved, would provide significant improvements in the safety or effectiveness of the treatment, diagnosis, or prevention of such serious conditions. Under the goals and policies agreed to by the FDA under the Prescription Drug User Fee Act, or PDUFA, the FDA has set the review goal of ten months from the 60-day filing date to complete its initial review of a standard NDA for a new molecular entity, or NME, and make a decision on the application. For non-NME standard applications, the FDA has set the review goal of ten months from the submission date to complete its initial review and to make a decision on the application. For priority review applications, the FDA has set the review goal of reviewing NME NDAs within six months of the 60-day filing date and non-NME applications within six months of the date of receipt. Such deadlines are referred to as the PDUFA date. The review process and the PDUFA date may also be extended if the FDA requests or the NDA sponsor otherwise provides additional information or clarification regarding the submission.</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Once the FDA’s review of the application is complete, the FDA will issue either a CRL or approval letter. A CRL indicates that the review cycle of the application is complete, and the application cannot be approved in its current form. A CRL will describe all of the deficiencies that the FDA has identified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ectPr>
          <w:pgSz w:w="11900" w:h="16838" w:orient="portrait"/>
          <w:cols w:equalWidth="0" w:num="1">
            <w:col w:w="11240"/>
          </w:cols>
          <w:pgMar w:left="320" w:top="121" w:right="339" w:bottom="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45"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risk evaluation and mitigation strategy, or REMS, as a condition of approval or following approval.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may entail limitations on the indicated uses for which such product may be marketed or may include contraindications, warnings or precautions in the product labeling, including a boxed warning. If the FDA requires a boxed warning, the sponsor may also be subject to specified promotional restrictions, such as the prohibition of reminder advertisements. The FDA also may not approve the inclusion of labeling claims necessary for successful marketing.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Any products manufactured or distributed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are subject to prior FDA review and approval. There also are continuing, annual human prescription drug program fee requirements for approved products.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 upon us and our third-party manufacturers. We cannot be certain that we or our present or future suppliers will be able to comply with the cGMP regulations and other FDA regulatory requirements.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FDA closely regulates the marketing and promotion of drugs. A company can make only those claims relating to safety and efficacy, purity and potency that are approved by the FDA. Physicians, in their independent professional medical judgment,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including samples,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tracking and tracing.</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Failure to comply with any of the FDA’s requirements could result in significant adverse enforcement actions. These include a variety of administrative or judicial sanctions, such as refusal to approve pending applications,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additional reporting requirements and oversight if we become subject to a corporate integrity agreement or similar agreement to resolve allegations of non-compliance with these laws, refusals of government contracts and new orders under existing contracts, exclusion from participation in federal and state healthcare programs, restitution, disgorgement or civil or criminal penalties, including fines and individual imprisonment. Any of these sanctions could result in adverse publicity, among other adverse consequences.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defined as a disease or condition with a patient population of fewer than 200,000 individuals in the U.S., or a patient population greater than 200,000 individuals in the U.S. and when there is no reasonable expectation that the cost of developing and making available the drug in the U.S.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Hatch-Waxman Act</w:t>
      </w:r>
    </w:p>
    <w:p>
      <w:pPr>
        <w:spacing w:after="0" w:line="2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The FDA may also require 505(b)(2) applicants to perform additional studies or measurements to support any changes from the reference listed drug. The FDA may then approve the new product candidate for all or some of the labeled indications for which the referenced product has been approved, as well as for any new indication sought by the 505(b)(2) applicant.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seeking approval for a drug through an NDA, including a 505(b)(2) NDA, applicants are required to list with the FDA patents whose claims cover the applicant’s product. Upon approval of an NDA, each of the patents listed in the application for the drug is then published in the Orange Book. These products may be cited by potential competitors in support of approval of an ANDA or 505(b)(2) NDA.</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Any applicant who files an ANDA seeking approval of a generic equivalent version of a drug listed in the Orange Book or a 505(b)(2) NDA referencing a drug listed in the Orange Book must certify to the FDA that (1) no patent information on the drug or method of use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This last certification is known as a Paragraph IV certification. Generally, the ANDA or 505(b)(2) NDA cannot be approved until all listed patents have expired, except where the ANDA or 505(b)(2) NDA applicant challenges a listed patent through a Paragraph IV certification. If the applicant does not challenge the listed patents or does not indicate that it is not seeking approval of a patented method of use, the ANDA or 505(b)(2) NDA application will not be approved until all of the listed patents claiming the referenced product have expired, or, if permissible, are carved out.</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If the ANDA or 505(b)(2) NDA applicant has provided a Paragraph IV certification to the FDA, the applicant must also send notice of the Paragraph IV certification to the holder of the NDA for the reference listed drug and the patent owner once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prevents the FDA from approving the application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30-month stay. In instances where an ANDA or 505(b)(2) NDA applicant files a Paragraph IV certification, the NDA holder or patent owner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The applicant may also elect to submit a statement certifying that its proposed label does not contain, or carves out, any language regarding the patented method-of-use rather than certify to a listed method-of-use patent.</w:t>
      </w:r>
    </w:p>
    <w:p>
      <w:pPr>
        <w:sectPr>
          <w:pgSz w:w="11900" w:h="16838" w:orient="portrait"/>
          <w:cols w:equalWidth="0" w:num="1">
            <w:col w:w="11240"/>
          </w:cols>
          <w:pgMar w:left="320" w:top="121"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FDA provides periods of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exclusivity period, the FDA may not accept for review or approve an ANDA or a 505(b)(2) NDA submitted by another company that contains the previously approved active moiety. An ANDA or 505(b)(2) application, however, may be submitted one year before NCE exclusivity expires if a Paragraph IV certification is filed. Applicants may also seek to carve out certain drug labeling that is protected by exclusivity.</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was essential to the approval of the application and was conducted or sponsored by the applicant. This three-year exclusivity period protects against FDA approval of ANDAs and 505(b)(2) NDAs for the condition of the new drug’s approval.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 Regulation</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products and certain of our product candidates are, or if approved, will be regulated as “controlled substances” as defined in the Controlled Substances Act of 1970, or CSA, and the DEA’s implementing regulations, which establish registration, security, recordkeeping, reporting, storage, distribution, importation, exportation, inventory, quota and other requirements administered by the DEA. These requirements are directly applicable to us and also applicable to our contract manufacturers and to distributors, prescribers and dispensers of our product candidates. The DEA regulates the handling of controlled substances through a closed chain of distribution. This control extends to the equipment and raw materials used in their manufacture and packaging in order to prevent loss and diversion into illicit channels of commerce.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criteria:</w:t>
      </w:r>
    </w:p>
    <w:p>
      <w:pPr>
        <w:spacing w:after="0" w:line="180" w:lineRule="exact"/>
        <w:rPr>
          <w:sz w:val="20"/>
          <w:szCs w:val="20"/>
          <w:color w:val="auto"/>
        </w:rPr>
      </w:pPr>
    </w:p>
    <w:p>
      <w:pPr>
        <w:ind w:left="460" w:hanging="229"/>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has a high potential for abuse;</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has a currently accepted medical use in treatment in the United States or a currently accepted medical use with severe restrictions; and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abuse of the drug may lead to severe psychological or physical dependence.</w:t>
      </w:r>
    </w:p>
    <w:p>
      <w:pPr>
        <w:spacing w:after="0" w:line="2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APADAZ and AZSTARYS are listed as Schedule II controlled substances under the CSA. For Schedule II controlled substances, the importation of APIs for our product candidates, as well as the manufacture, shipping, storage, sales and use of the products, are subject to a high degree of regulation. In addition to maintaining an importer and/or exporter registration, importers and exporters of controlled substances must obtain a permit for every import of a Schedule I or</w:t>
      </w:r>
    </w:p>
    <w:p>
      <w:pPr>
        <w:spacing w:after="0" w:line="1" w:lineRule="exact"/>
        <w:rPr>
          <w:sz w:val="20"/>
          <w:szCs w:val="20"/>
          <w:color w:val="auto"/>
        </w:rPr>
      </w:pPr>
    </w:p>
    <w:p>
      <w:pPr>
        <w:jc w:val="both"/>
        <w:ind w:firstLine="6"/>
        <w:spacing w:after="0" w:line="246" w:lineRule="auto"/>
        <w:tabs>
          <w:tab w:leader="none" w:pos="1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substance and a narcotic substance in Schedule III, IV and V, as well as every export of a Schedule I or II substance and a narcotic substance in Schedule III and IV. For all other drugs in Schedule III, IV and V, importers and exporters must submit an import or export declaration.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 Electronic prescriptions may also be permissible depending on the state, so long as the prescription complies with the DEA’s requirements for electronic prescriptions.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SDX, which is the sole API in KP1077 and KP879, has been listed as a Schedule IV controlled substance under the CSA. Controlled substances classified in Schedule III, IV, and V are also subject to registration, recordkeeping, reporting, and security requirements. For example, Schedule III drug prescriptions must be authorized by a physician and may not be refilled more than six months after the date of the original prescription or more than five times. A prescription for controlled substances classified in Schedules III, IV, and V issued by a physician, may be communicated either orally, in writing or by facsimile to the pharmacies. Controlled substances that are also classified as narcotics, such as hydrocodone, oxycodone and hydromorphone, are also subject to additional DEA requirements, such as manufacturer reporting of the import of narcotic raw material.</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 Acquisition and distribution transactions must also be reported for Schedule I and II controlled substances, as well as Schedule III narcotic substances.</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permits and notification requirements apply to imports and exports of narcotic drugs.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action that could have a material adverse effect on our business, results of operations and financial condition. The DEA may seek civil penalties, refuse to renew necessary registrations, or initiate administrative proceedings to revoke those registrations. In some circumstances, violations could result in criminal proceedings.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a DEA quota system controls and limits the availability and production of controlled substances in Schedule I or II. Distributions of any Schedule I or II controlled substance or Schedule III narcotic must also be accompanied by special order forms, with copies provided to the DEA. Because AZSTARYS, APADAZ and our product candidates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The limited aggregate amount of stimulants that the DEA allows to be produced in the United States each year is allocated among individual companies, which must submit applications annually to the DEA for individual production and procurement quotas. We and our contract manufacturers must receive an annual quota from the DEA in order to produce or procure any Schedule I or Schedule II substances for use in manufacturing of our product candidates. The DEA may adjust aggregate production quotas and individual production and procurement quotas from time to time during the year, although the DEA has substantial discretion in whether or not to make such adjustments. Our, or our contract manufacturers’, quota of an active ingredient may not be sufficient to meet commercial demand or complete clinical trials. Any delay, limitation or refusal by the DEA in establishing our, or our contract manufacturers’, quota for controlled substances could delay or stop our clinical trials or product launches, which could have a material adverse effect on our business, financial position and results of operations.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Individual states also independently regulate controlled substances. We and our contract manufacturers will be subject to state regulation on distribution of these products, including, for example, state requirements for licensures or registration.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Regulatory Frameworks</w:t>
      </w:r>
    </w:p>
    <w:p>
      <w:pPr>
        <w:spacing w:after="0" w:line="2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potentially the Department of Justice, the U.S. Department of Health and Human Services and its various divisions, including the CMS and the Health Resources and Services Administration, the Department of Veterans Affairs, the Department of Defense and state and local governments. Our business activities must comply with numerous healthcare laws, including those described below. Compliance with government regulations requires the expenditure of substantial time and financial resources.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a person or entity does not need to have actual knowledge of the federal Anti-Kickback Statute, or the specific intent to violate it to have committed a violation.</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federal civil and criminal false claims laws, including the federal False Claims Act, which can be enforced by private citizens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prohibit, among other things, any person or entity from knowingly presenting, or causing to be presented, a false claim for payment to, or approval by, the federal government, including the Medicare and Medicaid programs, or knowingly making, using, or causing to be made or used a false record or statement material to a false or fraudulent claim or to avoid, decrease or conceal an obligation to pay money to the federal government. In addition, a claim for payment of items or services resulting from a violation of the federal Anti-Kickback Statute constitutes a false or fraudulent claim for purposes of the False Claims Act.</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federal Health Insurance Portability and Accountability Act of 1996, or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the specific intent to violate it, to have committed a violation.</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Additionally, the federal Physician Payments Sunshine Act and its implementing regulations, require certain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(defined to include doctors, dentists, optometrists, podiatrists and chiropractors), certain other healthcare providers (physician assistants, nurse practitioners, clinical nurse specialists, certified nurse anesthetists, anesthesiologist assistants, and certified nurse-midwives) and teaching hospitals, or to entities or individuals at the request of, or designated on behalf of, such providers and teaching hospitals and to report annually specified ownership and investment interests held by physicians and their immediate family members.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Depending on the circumstances, failure to comply with these laws can result in significant penalties, including criminal, civil and/or administrative penalties, damages, fines, disgorgement, debarment from government contracts, individual imprisonment, additional reporting requirements and oversight if we become subject to a corporate integrity agreement or similar agreement to resolve allegations of non-compliance with these laws, exclusion from government programs, refusal to allow us to enter into supply contracts, including government contracts, reputational harm, diminished profits and future earnings and the curtailment or restructuring of our operations, any of which could adversely affect our business.</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21" w:lineRule="exact"/>
        <w:rPr>
          <w:sz w:val="20"/>
          <w:szCs w:val="20"/>
          <w:color w:val="auto"/>
        </w:rPr>
      </w:pPr>
    </w:p>
    <w:p>
      <w:pPr>
        <w:jc w:val="both"/>
        <w:ind w:left="20" w:right="80"/>
        <w:spacing w:after="0" w:line="250" w:lineRule="auto"/>
        <w:rPr>
          <w:sz w:val="20"/>
          <w:szCs w:val="20"/>
          <w:color w:val="auto"/>
        </w:rPr>
      </w:pPr>
      <w:r>
        <w:rPr>
          <w:rFonts w:ascii="Times New Roman" w:cs="Times New Roman" w:eastAsia="Times New Roman" w:hAnsi="Times New Roman"/>
          <w:sz w:val="18"/>
          <w:szCs w:val="18"/>
          <w:color w:val="auto"/>
        </w:rPr>
        <w:t>We may be subject to data privacy and security laws, regulations, and standards by foreign, federal, state and local governments that govern the collection, use, access to, confidentiality and security of health-related and other personal information.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w:t>
      </w:r>
    </w:p>
    <w:p>
      <w:pPr>
        <w:spacing w:after="0" w:line="221" w:lineRule="exact"/>
        <w:rPr>
          <w:sz w:val="20"/>
          <w:szCs w:val="20"/>
          <w:color w:val="auto"/>
        </w:rPr>
      </w:pPr>
    </w:p>
    <w:p>
      <w:pPr>
        <w:jc w:val="both"/>
        <w:ind w:left="20" w:right="80"/>
        <w:spacing w:after="0" w:line="252"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5" w:lineRule="exact"/>
        <w:rPr>
          <w:sz w:val="20"/>
          <w:szCs w:val="20"/>
          <w:color w:val="auto"/>
        </w:rPr>
      </w:pPr>
    </w:p>
    <w:p>
      <w:pPr>
        <w:jc w:val="both"/>
        <w:ind w:left="20" w:right="80"/>
        <w:spacing w:after="0" w:line="249" w:lineRule="auto"/>
        <w:rPr>
          <w:sz w:val="20"/>
          <w:szCs w:val="20"/>
          <w:color w:val="auto"/>
        </w:rPr>
      </w:pPr>
      <w:r>
        <w:rPr>
          <w:rFonts w:ascii="Times New Roman" w:cs="Times New Roman" w:eastAsia="Times New Roman" w:hAnsi="Times New Roman"/>
          <w:sz w:val="18"/>
          <w:szCs w:val="18"/>
          <w:color w:val="auto"/>
        </w:rPr>
        <w:t>For example, in March 2010, the ACA was passed, which has substantially changed health care financing by both governmental and private insurers, and significantly affected the U.S. pharmaceutical industry. The ACA, among other things, subjected manufacturers to new annual fees and taxes for specified branded prescription drugs, increased the minimum Medicaid rebates owed by most manufacturers under the Medicaid Drug Rebate Program, expanded health care fraud and abuse laws, revised the methodology by which rebates owed by manufacturers to the state and federal government for covered outpatient drugs under the Medicaid Drug Rebate Program are calculated, imposed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90" w:lineRule="exact"/>
        <w:rPr>
          <w:sz w:val="20"/>
          <w:szCs w:val="20"/>
          <w:color w:val="auto"/>
        </w:rPr>
      </w:pPr>
    </w:p>
    <w:p>
      <w:pPr>
        <w:jc w:val="both"/>
        <w:ind w:left="20" w:right="80"/>
        <w:spacing w:after="0" w:line="250"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7" w:lineRule="exact"/>
        <w:rPr>
          <w:sz w:val="20"/>
          <w:szCs w:val="20"/>
          <w:color w:val="auto"/>
        </w:rPr>
      </w:pPr>
    </w:p>
    <w:p>
      <w:pPr>
        <w:jc w:val="both"/>
        <w:ind w:left="20" w:right="80"/>
        <w:spacing w:after="0" w:line="250"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August 2011, the Budget Control Act of 2011, among other things, included aggregate reductions of Medicare payments to providers, which went into effect in April 2013, and, due to subsequent legislative amendments, will remain in effect through 2032 with the exception of a temporary suspension from May 1, 2020, through March 31, 2022, unless additional Congressional action is taken. In addition, in January 2013, the American Taxpayer Relief Act of 2012 was signed into law, which, among other things, reduced Medicare payments to several categories of healthcare providers and increased the statute of limitations period for the government to recover overpayments to providers from three to five years. On March 11, 2021, the American Rescue Plan Act of 2021 was signed into law, which eliminates the statutory Medicaid drug rebate cap, currently set at 100% of a drug’s average manufacturer price, beginning January 1, 2024.</w:t>
      </w:r>
    </w:p>
    <w:p>
      <w:pPr>
        <w:spacing w:after="0" w:line="187" w:lineRule="exact"/>
        <w:rPr>
          <w:sz w:val="20"/>
          <w:szCs w:val="20"/>
          <w:color w:val="auto"/>
        </w:rPr>
      </w:pPr>
    </w:p>
    <w:p>
      <w:pPr>
        <w:jc w:val="both"/>
        <w:ind w:left="20" w:right="80"/>
        <w:spacing w:after="0" w:line="248" w:lineRule="auto"/>
        <w:rPr>
          <w:sz w:val="20"/>
          <w:szCs w:val="20"/>
          <w:color w:val="auto"/>
        </w:rPr>
      </w:pPr>
      <w:r>
        <w:rPr>
          <w:rFonts w:ascii="Times New Roman" w:cs="Times New Roman" w:eastAsia="Times New Roman" w:hAnsi="Times New Roman"/>
          <w:sz w:val="18"/>
          <w:szCs w:val="18"/>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is also possible that additional governmental action is taken in response to the COVID-19 pandemic.</w:t>
      </w:r>
    </w:p>
    <w:p>
      <w:pPr>
        <w:spacing w:after="0" w:line="189"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7"/>
          <w:szCs w:val="17"/>
          <w:color w:val="auto"/>
        </w:rPr>
        <w:t>We expect that additional state and federal healthcare reform measures will be adopted in the future, any of which could limit the amounts that federal and stat governments will pay for healthcare product candidates and services, which could result in reduced demand for our products or additional pricing pressures.</w:t>
      </w:r>
    </w:p>
    <w:p>
      <w:pPr>
        <w:spacing w:after="0" w:line="3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00" w:top="121" w:right="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2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we employed 36 employees, 32 of which were full-time employees.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1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We were incorporated under the laws of the State of Iowa in October 2006 and were reincorporated under the laws of the State of Delaware in May 2014. We changed our name from KemPharm, Inc. to Zevra Therapeutics, Inc. effective as of February 21, 2023.</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w:t>
        <w:tab/>
        <w:t>RISK FACTORS.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1A.</w:t>
      </w:r>
    </w:p>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You should carefully consider all the risk factors and uncertainties described below, in addition to other information contained in this Annual Report on Form 10-K, including the section of this report titled “Management’s Discussion and Analysis of Financial Condition and Results of Operations” and our financial statements and related notes, before investing in our common stock. If any of the following risks materialize, our business, financial condition and results of operations could be seriously harmed. This Annual Report on Form 10-K also contains forward-looking statements that involve risks and uncertainties. Our actual results could differ materially from those anticipated in the forward-looking statements because of factors that are described below and elsewhere in this Annual Report on Form 10-K.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21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commercialization of our approved products, or any of our product candidates, if approved, are not successful, or we experience significant delays i commercialization, our business will be harmed.</w:t>
      </w:r>
    </w:p>
    <w:p>
      <w:pPr>
        <w:spacing w:after="0" w:line="160" w:lineRule="exact"/>
        <w:rPr>
          <w:sz w:val="20"/>
          <w:szCs w:val="20"/>
          <w:color w:val="auto"/>
        </w:rPr>
      </w:pPr>
    </w:p>
    <w:p>
      <w:pPr>
        <w:jc w:val="both"/>
        <w:ind w:left="20" w:right="60"/>
        <w:spacing w:after="0" w:line="255" w:lineRule="auto"/>
        <w:rPr>
          <w:sz w:val="20"/>
          <w:szCs w:val="20"/>
          <w:color w:val="auto"/>
        </w:rPr>
      </w:pPr>
      <w:r>
        <w:rPr>
          <w:rFonts w:ascii="Times New Roman" w:cs="Times New Roman" w:eastAsia="Times New Roman" w:hAnsi="Times New Roman"/>
          <w:sz w:val="18"/>
          <w:szCs w:val="18"/>
          <w:color w:val="auto"/>
        </w:rPr>
        <w:t>We currently generate minimal commercial revenue from the sale of our approved products and we may never be able to successfully commercialize a product candidate. We cannot guarantee that we, Corium, or any other collaborators will be able to successfully develop, manufacture or commercialize our approved products, or product candidates, if approved, or that we will ever receive any future payments under the AZSTARYS License Agreement or the APADAZ License Agreement.</w:t>
      </w:r>
    </w:p>
    <w:p>
      <w:pPr>
        <w:spacing w:after="0" w:line="180" w:lineRule="exact"/>
        <w:rPr>
          <w:sz w:val="20"/>
          <w:szCs w:val="20"/>
          <w:color w:val="auto"/>
        </w:rPr>
      </w:pPr>
    </w:p>
    <w:p>
      <w:pPr>
        <w:jc w:val="both"/>
        <w:ind w:left="20" w:right="60"/>
        <w:spacing w:after="0" w:line="255" w:lineRule="auto"/>
        <w:rPr>
          <w:sz w:val="20"/>
          <w:szCs w:val="20"/>
          <w:color w:val="auto"/>
        </w:rPr>
      </w:pPr>
      <w:r>
        <w:rPr>
          <w:rFonts w:ascii="Times New Roman" w:cs="Times New Roman" w:eastAsia="Times New Roman" w:hAnsi="Times New Roman"/>
          <w:sz w:val="18"/>
          <w:szCs w:val="18"/>
          <w:color w:val="auto"/>
        </w:rPr>
        <w:t>We have invested substantially all of our internal discovery and development efforts and much of our financial resources in the development of our proprietary LAT ® platform technology, the identification of potential product candidates and the development of our product candidates. Our ability to generate revenue from our approved products and any of our product candidates, if approved, will depend heavily on their successful development and eventual commercialization. The success of our approved products and any of our product candidates will depend on several factors, including:</w:t>
      </w:r>
    </w:p>
    <w:p>
      <w:pPr>
        <w:spacing w:after="0" w:line="180" w:lineRule="exact"/>
        <w:rPr>
          <w:sz w:val="20"/>
          <w:szCs w:val="20"/>
          <w:color w:val="auto"/>
        </w:rPr>
      </w:pPr>
    </w:p>
    <w:p>
      <w:pPr>
        <w:ind w:left="480" w:hanging="229"/>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requisite clinical trials;</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and achievement of endpoints in our clinical trials;</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that the risks involved with our approved products and any of our product candidates are outweighed by the benefits;</w:t>
      </w:r>
    </w:p>
    <w:p>
      <w:pPr>
        <w:spacing w:after="0" w:line="217" w:lineRule="exact"/>
        <w:rPr>
          <w:rFonts w:ascii="Times New Roman" w:cs="Times New Roman" w:eastAsia="Times New Roman" w:hAnsi="Times New Roman"/>
          <w:sz w:val="18"/>
          <w:szCs w:val="18"/>
          <w:color w:val="auto"/>
        </w:rPr>
      </w:pPr>
    </w:p>
    <w:p>
      <w:pPr>
        <w:ind w:left="480" w:right="60" w:hanging="229"/>
        <w:spacing w:after="0" w:line="181" w:lineRule="auto"/>
        <w:tabs>
          <w:tab w:leader="none" w:pos="480" w:val="left"/>
        </w:tabs>
        <w:numPr>
          <w:ilvl w:val="0"/>
          <w:numId w:val="1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successful development of our manufacturing processes for our approved products and for any of our product candidates, including entering into and maintaining arrangements with third-party manufacturers;</w:t>
      </w:r>
    </w:p>
    <w:p>
      <w:pPr>
        <w:spacing w:after="0" w:line="193" w:lineRule="exact"/>
        <w:rPr>
          <w:rFonts w:ascii="Times New Roman" w:cs="Times New Roman" w:eastAsia="Times New Roman" w:hAnsi="Times New Roman"/>
          <w:sz w:val="34"/>
          <w:szCs w:val="34"/>
          <w:color w:val="auto"/>
          <w:vertAlign w:val="subscript"/>
        </w:rPr>
      </w:pPr>
    </w:p>
    <w:p>
      <w:pPr>
        <w:ind w:left="480" w:right="60" w:hanging="229"/>
        <w:spacing w:after="0" w:line="181" w:lineRule="auto"/>
        <w:tabs>
          <w:tab w:leader="none" w:pos="480" w:val="left"/>
        </w:tabs>
        <w:numPr>
          <w:ilvl w:val="0"/>
          <w:numId w:val="1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successful completion of an FDA preapproval inspection of the facilities used to manufacture any of our product candidates for which we may submit an NDA;</w:t>
      </w:r>
    </w:p>
    <w:p>
      <w:pPr>
        <w:spacing w:after="0" w:line="193" w:lineRule="exact"/>
        <w:rPr>
          <w:rFonts w:ascii="Times New Roman" w:cs="Times New Roman" w:eastAsia="Times New Roman" w:hAnsi="Times New Roman"/>
          <w:sz w:val="34"/>
          <w:szCs w:val="34"/>
          <w:color w:val="auto"/>
          <w:vertAlign w:val="subscript"/>
        </w:rPr>
      </w:pPr>
    </w:p>
    <w:p>
      <w:pPr>
        <w:ind w:left="480" w:right="60" w:hanging="229"/>
        <w:spacing w:after="0" w:line="181" w:lineRule="auto"/>
        <w:tabs>
          <w:tab w:leader="none" w:pos="480" w:val="left"/>
        </w:tabs>
        <w:numPr>
          <w:ilvl w:val="0"/>
          <w:numId w:val="1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receipt of timely marketing approvals from applicable regulatory authorities, including, if applicable, the determination by the DEA of the controlled substance schedule for a product candidate, taking into account the recommendation of the FDA;</w:t>
      </w:r>
    </w:p>
    <w:p>
      <w:pPr>
        <w:spacing w:after="0" w:line="193" w:lineRule="exact"/>
        <w:rPr>
          <w:rFonts w:ascii="Times New Roman" w:cs="Times New Roman" w:eastAsia="Times New Roman" w:hAnsi="Times New Roman"/>
          <w:sz w:val="34"/>
          <w:szCs w:val="34"/>
          <w:color w:val="auto"/>
          <w:vertAlign w:val="subscript"/>
        </w:rPr>
      </w:pPr>
    </w:p>
    <w:p>
      <w:pPr>
        <w:ind w:left="480" w:hanging="229"/>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differentiating claims in the labels for our product candidates;</w:t>
      </w:r>
    </w:p>
    <w:p>
      <w:pPr>
        <w:spacing w:after="0" w:line="217" w:lineRule="exact"/>
        <w:rPr>
          <w:rFonts w:ascii="Times New Roman" w:cs="Times New Roman" w:eastAsia="Times New Roman" w:hAnsi="Times New Roman"/>
          <w:sz w:val="18"/>
          <w:szCs w:val="18"/>
          <w:color w:val="auto"/>
        </w:rPr>
      </w:pPr>
    </w:p>
    <w:p>
      <w:pPr>
        <w:ind w:left="480" w:right="60" w:hanging="229"/>
        <w:spacing w:after="0" w:line="181" w:lineRule="auto"/>
        <w:tabs>
          <w:tab w:leader="none" w:pos="480" w:val="left"/>
        </w:tabs>
        <w:numPr>
          <w:ilvl w:val="0"/>
          <w:numId w:val="1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obtaining and maintaining patent, trademark and trade secret protection and regulatory exclusivity for our approved products and any of our product candidates and otherwise protecting our rights in our intellectual property portfolio;</w:t>
      </w:r>
    </w:p>
    <w:p>
      <w:pPr>
        <w:spacing w:after="0" w:line="193" w:lineRule="exact"/>
        <w:rPr>
          <w:rFonts w:ascii="Times New Roman" w:cs="Times New Roman" w:eastAsia="Times New Roman" w:hAnsi="Times New Roman"/>
          <w:sz w:val="34"/>
          <w:szCs w:val="34"/>
          <w:color w:val="auto"/>
          <w:vertAlign w:val="subscript"/>
        </w:rPr>
      </w:pPr>
    </w:p>
    <w:p>
      <w:pPr>
        <w:ind w:left="480" w:hanging="229"/>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regulatory requirements, including cGMPs;</w:t>
      </w:r>
    </w:p>
    <w:p>
      <w:pPr>
        <w:spacing w:after="0" w:line="217" w:lineRule="exact"/>
        <w:rPr>
          <w:rFonts w:ascii="Times New Roman" w:cs="Times New Roman" w:eastAsia="Times New Roman" w:hAnsi="Times New Roman"/>
          <w:sz w:val="18"/>
          <w:szCs w:val="18"/>
          <w:color w:val="auto"/>
        </w:rPr>
      </w:pPr>
    </w:p>
    <w:p>
      <w:pPr>
        <w:ind w:left="480" w:right="60" w:hanging="229"/>
        <w:spacing w:after="0" w:line="181" w:lineRule="auto"/>
        <w:tabs>
          <w:tab w:leader="none" w:pos="480" w:val="left"/>
        </w:tabs>
        <w:numPr>
          <w:ilvl w:val="0"/>
          <w:numId w:val="1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launching commercial sales of our approved products, and any of our product candidates, if and when approved, whether alone or in collaboration with Corium or others;</w:t>
      </w:r>
    </w:p>
    <w:p>
      <w:pPr>
        <w:spacing w:after="0" w:line="193" w:lineRule="exact"/>
        <w:rPr>
          <w:rFonts w:ascii="Times New Roman" w:cs="Times New Roman" w:eastAsia="Times New Roman" w:hAnsi="Times New Roman"/>
          <w:sz w:val="34"/>
          <w:szCs w:val="34"/>
          <w:color w:val="auto"/>
          <w:vertAlign w:val="subscript"/>
        </w:rPr>
      </w:pPr>
    </w:p>
    <w:p>
      <w:pPr>
        <w:ind w:left="480" w:hanging="229"/>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approved products and any of our product candidates, if approved, by patients, the medical community and third-party payors;</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with other therapies;</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and</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and efficacy profile of any of our products following approval.</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20"/>
          </w:cols>
          <w:pgMar w:left="300" w:top="121" w:right="27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ind w:left="20" w:right="80"/>
        <w:spacing w:after="0" w:line="250" w:lineRule="auto"/>
        <w:rPr>
          <w:sz w:val="20"/>
          <w:szCs w:val="20"/>
          <w:color w:val="auto"/>
        </w:rPr>
      </w:pPr>
      <w:r>
        <w:rPr>
          <w:rFonts w:ascii="Times New Roman" w:cs="Times New Roman" w:eastAsia="Times New Roman" w:hAnsi="Times New Roman"/>
          <w:sz w:val="18"/>
          <w:szCs w:val="18"/>
          <w:color w:val="auto"/>
        </w:rPr>
        <w:t>Whether regulatory approval will be granted is unpredictable and depends upon numerous factors, including the substantial discretion of the regulatory authorities. If, following submission, our NDA for a product candidate is not accepted for substantive review or approval, the FDA or other comparable foreign regulatory authorities may require that we conduct additional studies or clinical trials, provide additional data, take additional manufacturing steps or require other conditions before they will reconsider our application. If the FDA or other comparable foreign 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8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It is possible that none of our product candidates in clinical development or any of our future product candidates will ever obtain regulatory approval, even if w expend substantial time and resources seeking such approval.</w:t>
      </w:r>
    </w:p>
    <w:p>
      <w:pPr>
        <w:spacing w:after="0" w:line="163" w:lineRule="exact"/>
        <w:rPr>
          <w:sz w:val="20"/>
          <w:szCs w:val="20"/>
          <w:color w:val="auto"/>
        </w:rPr>
      </w:pPr>
    </w:p>
    <w:p>
      <w:pPr>
        <w:jc w:val="both"/>
        <w:ind w:left="20" w:right="80"/>
        <w:spacing w:after="0" w:line="259"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we could experience an inability to successfully commercialize any of our approved products or product candidates, if approved, or we could experience an inability to successfully commercialize any of our product candidates approved for marketing in the future, if any, which would harm our business.</w:t>
      </w:r>
    </w:p>
    <w:p>
      <w:pPr>
        <w:spacing w:after="0" w:line="17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are focused on discovering and developing proprietary prodrugs, and we are taking an innovative approach t discovering and developing prodrugs, which may never lead to marketable prodrug products.</w:t>
      </w:r>
    </w:p>
    <w:p>
      <w:pPr>
        <w:spacing w:after="0" w:line="160" w:lineRule="exact"/>
        <w:rPr>
          <w:sz w:val="20"/>
          <w:szCs w:val="20"/>
          <w:color w:val="auto"/>
        </w:rPr>
      </w:pPr>
    </w:p>
    <w:p>
      <w:pPr>
        <w:jc w:val="both"/>
        <w:ind w:left="20" w:right="80"/>
        <w:spacing w:after="0" w:line="248" w:lineRule="auto"/>
        <w:rPr>
          <w:sz w:val="20"/>
          <w:szCs w:val="20"/>
          <w:color w:val="auto"/>
        </w:rPr>
      </w:pPr>
      <w:r>
        <w:rPr>
          <w:rFonts w:ascii="Times New Roman" w:cs="Times New Roman" w:eastAsia="Times New Roman" w:hAnsi="Times New Roman"/>
          <w:sz w:val="18"/>
          <w:szCs w:val="18"/>
          <w:color w:val="auto"/>
        </w:rPr>
        <w:t>A key element of our strategy is to use our proprietary LAT platform technology to build a pipeline of prodrugs and progress product candidates based on these prodrugs through clinical development for the treatment of a variety of diseases and conditions. The scientific discoveries that form the basis for our efforts to discover and develop prodrugs are relatively new. As our scientific efforts are primarily focused on discovering novel prodrugs with new molecular structures, the evidence to support the feasibility of developing product candidates based on these discoveries is both preliminary and limited. Although our research and development efforts to date have resulted in a pipeline of prodrug product candidates, we may not be able to develop those product candidates into prodrugs that are bioequivalent, safe and/or effective or that offer commercially significant improvements over already approved drugs. Even if we are successful in continuing to build our pipeline, the potential product candidates that we identify may not be suitable for clinical development, for reasons including being shown to have harmful side effects, a lack of efficacy, or other characteristics that indicate that they are unlikely to be prodrugs that will receive marketing approval and achieve market acceptance. If our approved products are not successfully commercialized and we do not successfully develop and commercialize any of our product candidates based upon our proprietary LAT platform technology, we will not be able to obtain product revenue in future periods, which likely would result in significant harm to our financial position and adversely affect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436245</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40"/>
          </w:cols>
          <w:pgMar w:left="300" w:top="121"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required regulatory approvals for any of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and change over time. We are not permitted to market any of our product candidates in the United States until we receive approval of an NDA from the FDA, or in any foreign countries until we receive the requisite approvals in such countries. In the United States, the FDA generally requires the completion of non-clinical testing and clinical trials of each drug to establish its safety and efficacy and extensive pharmaceutical development to ensure its quality and other factors before an NDA is approved. Regulatory authorities in other jurisdictions impose similar requirements. Of the large number of drugs in development, only a small percentage result in the submission of an NDA to the FDA and even fewer are approved for commercialization.</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Even if regulatory approval is obtained, subsequent safety, efficacy, quality or other issues can result in a product approval being suspended or withdrawn, or the approved label for any approved product may not be sufficiently differentiated from other competing products to support market adoption thereof. In March 2021, the FDA approved the NDA for AZSTARYS, a once-daily product for the treatment of ADHD in patients ranging from six years and older. In February 2018, we announced that the FDA approved the NDA for APADAZ for the short-term (no more than 14 days) management of acute pain severe enough to require an opioid analgesic and for which alternative treatments are inadequate. Even with the regulatory approval of AZSTARYS and APADAZ by the FDA, we cannot guarantee that the FDA will approve any of our product candidates for commercial sale or approve any proposed label we may have for any such product candidate. If our development efforts for our product candidates, including our efforts to obtain regulatory approval, are not successful for their planned indications or are delayed, or if adequate demand for our product candidates that are approved for marketing, if any, is not generated, our business will be harmed.</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success of our product candidates will depend on the receipt and maintenance of regulatory approval and the issuance and maintenance of such approval is uncertain and subject to a number of risks, including the following:</w:t>
      </w:r>
    </w:p>
    <w:p>
      <w:pPr>
        <w:spacing w:after="0" w:line="163" w:lineRule="exact"/>
        <w:rPr>
          <w:sz w:val="20"/>
          <w:szCs w:val="20"/>
          <w:color w:val="auto"/>
        </w:rPr>
      </w:pPr>
    </w:p>
    <w:p>
      <w:pPr>
        <w:ind w:left="460" w:hanging="229"/>
        <w:spacing w:after="0" w:line="274"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institutional review boards, or IRBs, or ethics committees may disagree with the design or conduct of our clinical trials;</w:t>
      </w:r>
    </w:p>
    <w:p>
      <w:pPr>
        <w:spacing w:after="0" w:line="163"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or other regulatory agencies for marketing approval or for us to receive approval for claims that are necessary for commercialization;</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dosing in a particular clinical trial may not be at an optimal level;</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in our clinical trials may suffer adverse effects for reasons that may or may not be related to our product candidates;</w:t>
      </w:r>
    </w:p>
    <w:p>
      <w:pPr>
        <w:spacing w:after="0" w:line="243"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may not be sufficient to support submissions to regulatory authorities or to obtain regulatory approval in the United States or elsewhere;</w:t>
      </w:r>
    </w:p>
    <w:p>
      <w:pPr>
        <w:spacing w:after="0" w:line="163"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or may later suspend or withdraw such approval;</w:t>
      </w:r>
    </w:p>
    <w:p>
      <w:pPr>
        <w:spacing w:after="0" w:line="163"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 and</w:t>
      </w:r>
    </w:p>
    <w:p>
      <w:pPr>
        <w:spacing w:after="0" w:line="163"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marketing approval in one or more countries, future safety or other issues could result in the suspension or withdrawal of regulatory approval in such countries.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only limited experience in submitting the applications necessary to gain regulatory approvals and have relied, and expect to continue to rely, on consultants and third-party contract research organizations, or CROs, with expertise in this area to assist us in this process. Securing FDA approval requires the submission of extensive non-clinical and clinical data, information about product manufacturing processes and inspection of facilities and supporting information to the FDA for each therapeutic indication to establish a product candidate’s safety and efficacy for each indication and manufacturing quality. Additionally, we cannot guarantee that regulators will agree with our assessment of the results of the clinical trials we have conducted or that any future trials will be successful.</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Any product candidates we develop may prove to have undesirable or unintended side effects, toxicities or other characteristics that may preclude our obtaining regulatory approval or prevent or limit commercial use with respect to one or all intended indications.</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the regulatory approval policy during the development period, changes in or the enactment of additional statutes or regulations, or changes in regulatory review for a submitted product application may cause delays in the approval or rejection of an application or may result in future withdrawal of approval.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marketing approval of our product candidates in any indication will prevent us from commercializing those product candidates for that indication, and our ability to generate revenue will be impaired.</w:t>
      </w:r>
    </w:p>
    <w:p>
      <w:pPr>
        <w:spacing w:after="0" w:line="186"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response to the COVID-19 pandemic, the FDA announced its intention to postpone most inspections of foreign and domestic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 delays.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our product candidates satisfy the requirements for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 key element of our strategy is to seek FDA approval for most of our product candidates under Section 505(b)(2) of the FFDCA, otherwise known as the 505(b)(2) NDA pathway with any NDA submitted thereunder a 505(b)(2) NDA, where possible. The 505(b)(2) NDA pathway permits the filing of an NDA where at least some of the information required for approval comes from studies not conducted by or for the applicant and for which the applicant has not obtained a right of reference. Section 505(b)(2), if applicable to us under the FFDCA, would allow an NDA we submit to the FDA to rely in part on data in the public domain or the FDA’s prior conclusions regarding the safety and effectiveness of approved compounds, which could expedite the development program for our future product candidates by potentially decreasing the amount of nonclinical and/or clinical data that we would need to generate in order to obtain FDA approval. Such reliance is typically predicated on a showing of bioequivalence or comparable bioavailability to an approved drug. AZSTARYS was approved via the 505(b)(2) NDA pathway on March 2, 2021, and APADAZ was approved via the 505(b)(2) NDA pathway on February 23, 2018.</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the FDA does not allow us to pursue the 505(b)(2) NDA pathway as anticipated, or if we cannot demonstrate bioequivalence or comparable bioavailability of our product candidates to approved products, we may need to conduct additional clinical trials, provide additional data and information, and meet additional standards for regulatory approval. Moreover, even if the FDA does allow us to pursue the 505(b)(2) NDA pathway, depending on the product candidate, we may still need to conduct additional clinical trials, including clinical trials to assess product safety or efficacy. If this were to occur, the time and financial resources required to obtain FDA approval for our product candidates, and complications and risks associated with our product candidates, would likely substantially increase.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Moreover, our inability to pursue the 505(b)(2) NDA pathway could result in new competitive products reaching the market more quickly than our product candidates, which could hurt our competitive position and our business prospects. Even if we are allowed to pursue the 505(b)(2) NDA pathway, we cannot assure you that our product candidates will receive the requisite approvals for commercialization on a timely basis, if at all. Other companies may achieve product approval of similar products before we do, which would delay our ability to obtain product approval, expose us to greater competition, and would require that we seek approval via alternative pathways.</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notwithstanding the approval of several products by the FDA under Section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under Section 505(b)(2). In addition, the pharmaceutical industry is highly competitive, and Section 505(b)(2) NDAs are subject to certain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a new product. Even if the FDA ultimately denies such a petition, the FDA may substantially delay approval while it considers and responds to the petition. In addition, even if we are able to utilize the Section 505(b)(2) regulatory pathway, there is no guarantee this would ultimately lead to streamlined product development or earlier approval.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risk of failure for our product candidates is high. It is impossible to predict when or if any of our current product candidates will prove effective or safe in humans and will receive regulatory approval. Before obtaining marketing approval from regulatory authorities for the sale of any product candidate, we must complete preclinical development and then conduct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Interpretation of results from early, usually smaller, studies that suggest positive trends in some subjects, requires caution. Results from later stages of clinical trials enrolling more subjects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 commercialize our product candidates, including:</w:t>
      </w:r>
    </w:p>
    <w:p>
      <w:pPr>
        <w:spacing w:after="0" w:line="163" w:lineRule="exact"/>
        <w:rPr>
          <w:sz w:val="20"/>
          <w:szCs w:val="20"/>
          <w:color w:val="auto"/>
        </w:rPr>
      </w:pPr>
    </w:p>
    <w:p>
      <w:pPr>
        <w:ind w:left="480" w:right="100" w:hanging="229"/>
        <w:spacing w:after="0" w:line="27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conduct a clinical trial at a prospective trial site or amend clinical trial protocols as needed;</w:t>
      </w:r>
    </w:p>
    <w:p>
      <w:pPr>
        <w:spacing w:after="0" w:line="163" w:lineRule="exact"/>
        <w:rPr>
          <w:rFonts w:ascii="Times New Roman" w:cs="Times New Roman" w:eastAsia="Times New Roman" w:hAnsi="Times New Roman"/>
          <w:sz w:val="18"/>
          <w:szCs w:val="18"/>
          <w:color w:val="auto"/>
        </w:rPr>
      </w:pPr>
    </w:p>
    <w:p>
      <w:pPr>
        <w:ind w:left="480" w:right="100" w:hanging="229"/>
        <w:spacing w:after="0" w:line="27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CROs;</w:t>
      </w:r>
    </w:p>
    <w:p>
      <w:pPr>
        <w:spacing w:after="0" w:line="163" w:lineRule="exact"/>
        <w:rPr>
          <w:rFonts w:ascii="Times New Roman" w:cs="Times New Roman" w:eastAsia="Times New Roman" w:hAnsi="Times New Roman"/>
          <w:sz w:val="18"/>
          <w:szCs w:val="18"/>
          <w:color w:val="auto"/>
        </w:rPr>
      </w:pPr>
    </w:p>
    <w:p>
      <w:pPr>
        <w:jc w:val="both"/>
        <w:ind w:left="480" w:right="100" w:hanging="229"/>
        <w:spacing w:after="0" w:line="259"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including failure to demonstrate statistical significance in cases where that is required, and we may decide, or regulators may require us, to conduct additional clinical trials or abandon prodrug development programs;</w:t>
      </w:r>
    </w:p>
    <w:p>
      <w:pPr>
        <w:spacing w:after="0" w:line="177" w:lineRule="exact"/>
        <w:rPr>
          <w:rFonts w:ascii="Times New Roman" w:cs="Times New Roman" w:eastAsia="Times New Roman" w:hAnsi="Times New Roman"/>
          <w:sz w:val="18"/>
          <w:szCs w:val="18"/>
          <w:color w:val="auto"/>
        </w:rPr>
      </w:pPr>
    </w:p>
    <w:p>
      <w:pPr>
        <w:ind w:left="480" w:right="100" w:hanging="229"/>
        <w:spacing w:after="0" w:line="27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sufficient or adequate supply or quality of product candidates or other materials necessary for use in clinical trials, or experience delays in sufficiently developing, characterizing or controlling a manufacturing process suitable for clinical trials;</w:t>
      </w:r>
    </w:p>
    <w:p>
      <w:pPr>
        <w:spacing w:after="0" w:line="163" w:lineRule="exact"/>
        <w:rPr>
          <w:rFonts w:ascii="Times New Roman" w:cs="Times New Roman" w:eastAsia="Times New Roman" w:hAnsi="Times New Roman"/>
          <w:sz w:val="18"/>
          <w:szCs w:val="18"/>
          <w:color w:val="auto"/>
        </w:rPr>
      </w:pPr>
    </w:p>
    <w:p>
      <w:pPr>
        <w:ind w:left="480" w:right="100" w:hanging="229"/>
        <w:spacing w:after="0" w:line="27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manufacturing, testing, releasing, validating or importing/exporting sufficient stable quantities of our product candidates for use in clinical trials or the inability to do any of the foregoing;</w:t>
      </w:r>
    </w:p>
    <w:p>
      <w:pPr>
        <w:spacing w:after="0" w:line="163" w:lineRule="exact"/>
        <w:rPr>
          <w:rFonts w:ascii="Times New Roman" w:cs="Times New Roman" w:eastAsia="Times New Roman" w:hAnsi="Times New Roman"/>
          <w:sz w:val="18"/>
          <w:szCs w:val="18"/>
          <w:color w:val="auto"/>
        </w:rPr>
      </w:pPr>
    </w:p>
    <w:p>
      <w:pPr>
        <w:ind w:left="480" w:right="100" w:hanging="229"/>
        <w:spacing w:after="0" w:line="27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3" w:lineRule="exact"/>
        <w:rPr>
          <w:rFonts w:ascii="Times New Roman" w:cs="Times New Roman" w:eastAsia="Times New Roman" w:hAnsi="Times New Roman"/>
          <w:sz w:val="18"/>
          <w:szCs w:val="18"/>
          <w:color w:val="auto"/>
        </w:rPr>
      </w:pPr>
    </w:p>
    <w:p>
      <w:pPr>
        <w:ind w:left="480" w:right="100" w:hanging="229"/>
        <w:spacing w:after="0" w:line="27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trial protocols, or meet their contractual obligations to us in a timely manner, or at all;</w:t>
      </w:r>
    </w:p>
    <w:p>
      <w:pPr>
        <w:spacing w:after="0" w:line="163" w:lineRule="exact"/>
        <w:rPr>
          <w:rFonts w:ascii="Times New Roman" w:cs="Times New Roman" w:eastAsia="Times New Roman" w:hAnsi="Times New Roman"/>
          <w:sz w:val="18"/>
          <w:szCs w:val="18"/>
          <w:color w:val="auto"/>
        </w:rPr>
      </w:pPr>
    </w:p>
    <w:p>
      <w:pPr>
        <w:ind w:left="480" w:right="100" w:hanging="229"/>
        <w:spacing w:after="0" w:line="27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163" w:lineRule="exact"/>
        <w:rPr>
          <w:rFonts w:ascii="Times New Roman" w:cs="Times New Roman" w:eastAsia="Times New Roman" w:hAnsi="Times New Roman"/>
          <w:sz w:val="18"/>
          <w:szCs w:val="18"/>
          <w:color w:val="auto"/>
        </w:rPr>
      </w:pPr>
    </w:p>
    <w:p>
      <w:pPr>
        <w:ind w:left="480" w:right="100" w:hanging="229"/>
        <w:spacing w:after="0" w:line="27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including if we are not able to pursue the 505(b)(2) NDA pathway for approval of our product candidates;</w:t>
      </w:r>
    </w:p>
    <w:p>
      <w:pPr>
        <w:spacing w:after="0" w:line="163"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pay substantial application user fees, which we may not be able to afford;</w:t>
      </w:r>
    </w:p>
    <w:p>
      <w:pPr>
        <w:spacing w:after="0" w:line="243" w:lineRule="exact"/>
        <w:rPr>
          <w:rFonts w:ascii="Times New Roman" w:cs="Times New Roman" w:eastAsia="Times New Roman" w:hAnsi="Times New Roman"/>
          <w:sz w:val="18"/>
          <w:szCs w:val="18"/>
          <w:color w:val="auto"/>
        </w:rPr>
      </w:pPr>
    </w:p>
    <w:p>
      <w:pPr>
        <w:ind w:left="480" w:right="100" w:hanging="229"/>
        <w:spacing w:after="0" w:line="27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transfer manufacturing processes to larger-scale facilities operated by a contract manufacturing organization, and we may experience delays or failures by our contract manufacturers to make any necessary changes to such manufacturing process;</w:t>
      </w:r>
    </w:p>
    <w:p>
      <w:pPr>
        <w:spacing w:after="0" w:line="163"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abandon our development program or programs based on the changing regulatory or commercial environment;</w:t>
      </w:r>
    </w:p>
    <w:p>
      <w:pPr>
        <w:spacing w:after="0" w:line="243"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not agree with our trial design or implementation; and</w:t>
      </w:r>
    </w:p>
    <w:p>
      <w:pPr>
        <w:spacing w:after="0" w:line="243" w:lineRule="exact"/>
        <w:rPr>
          <w:rFonts w:ascii="Times New Roman" w:cs="Times New Roman" w:eastAsia="Times New Roman" w:hAnsi="Times New Roman"/>
          <w:sz w:val="18"/>
          <w:szCs w:val="18"/>
          <w:color w:val="auto"/>
        </w:rPr>
      </w:pPr>
    </w:p>
    <w:p>
      <w:pPr>
        <w:ind w:left="480" w:right="100" w:hanging="229"/>
        <w:spacing w:after="0" w:line="27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1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78" w:lineRule="exact"/>
        <w:rPr>
          <w:sz w:val="20"/>
          <w:szCs w:val="20"/>
          <w:color w:val="auto"/>
        </w:rPr>
      </w:pPr>
    </w:p>
    <w:p>
      <w:pPr>
        <w:ind w:left="460" w:hanging="229"/>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but without the claims necessary for us to successfully commercialize our product candidates;</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surveillance, or other requirements, such as REMS; or</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disruptions caused by the COVID-19 pandemic may increase the likelihood that we encounter such difficulties or delays in initiating, enrolling, conducting or completing our planned and ongoing clinical trials. 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Delays in the completion of any clinical trial of our product candidates will increase our costs, slow down our product development and the regulatory approval processes and delay or potentially jeopardize our ability to commence product sales and generate product revenue. Any of these occurrences may harm our business, financial condition and prospects significantly.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subjects in clinical trials, our receipt of necessary regulatory approvals could be delayed or prevented.</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may not be able to initiate or continue clinical trials for our product candidates if we are unable to locate and enroll a sufficient number of eligible subjects to participate in these trials as may be required by the FDA or similar regulatory authorities outside the United States. We cannot predict how successful we will be at enrolling subjects in future clinical trials. If we are not successful at enrolling subjects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subjects who would otherwise be eligible for our clinical trials may instead enroll in clinical trials of our competitors. Subject enrollment is affected by other factors including:</w:t>
      </w:r>
    </w:p>
    <w:p>
      <w:pPr>
        <w:spacing w:after="0" w:line="169" w:lineRule="exact"/>
        <w:rPr>
          <w:sz w:val="20"/>
          <w:szCs w:val="20"/>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subject population specified in the trial protocol;</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study in question;</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product candidate is a controlled substance;</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adverse events experienced by subjects in a clinical trial;</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drugs approved to treat the diseases or conditions under study;</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subject informed consent;</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subjects in the clinical trial and their return for follow-up;</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trial design, including required tests, procedures and follow-up;</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subjects adequately during and after treatment;</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investigators and clinical sites;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clinical trials; and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subjects.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inability to enroll a sufficient number of subjects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preliminary or topline data should be viewed with caution until the final data are available.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Further, disclosure of interim data by us or by our competitors could result in volatility in the price of our common stock.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designations which we pursue for any of our product candidates, and we may be unable to maintain the benefits associated with orphan drug designation, including the potential for market exclusivity.</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for relatively small patient populations as orphan drugs. Under the Orphan Drug Act of 1983, the FDA may designate a drug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We have not received orphan drug designation in for any product candidate. We may seek to obtain orphan drug designation for product but there can be no assurance that the FDA will grant orphan designation for any indication for which we apply, or that we will be able to maintain such designation.</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an NDA,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because it is shown to be safer, more effective or makes a major contribution to patient care.</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Orphan drug exclusivity may also be lost if the FDA later determines that the initial request for designation was materially defective. In addition, orphan drug exclusivity does not prevent the FDA from approving competing drugs for the same or similar indication containing a different active ingredient. In addition, if a subsequent drug is approved for marketing for the same or a similar indication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approved products and certain of our product candidates contain controlled substances, the manufacture, use, sale, importation, exportation, prescribing and distribution of which are subject to regulation by the DEA and other regulatory agencies.</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Our approved products and certain of our product candidates are regulated as controlled substances, which are subject to state, federal, and foreign laws and regulations regarding their manufacture, use, sale, importation, exportation, and distribution. Among other things, controlled substances are regulated under the federal Controlled Substances Act of 1970, or CSA, and regulations of the DEA. Before we can commercialize any of our products or product candidates, if approved, the DEA will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The DEA determined APADAZ and AZSTARYS to be Schedule II controlled substances. In addition, the DEA scheduled SDX as a Schedule IV substance. We expect that most of our product candidates, including KP879 and KP1077, if approved, will also be regulated as “controlled substances” by the DEA, which subjects AZSTARYS, APADAZ and these product candidates to additional restrictions regarding their manufacture, shipment, storage, sale and use, depending on the scheduling of the active ingredients, and may limit the commercial potential of our products and any of our product candidates, if approved.</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any of our products or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For example, a DEA quota system controls and limits the availability and production of controlled substances in Schedule I or II. Because our products and most of our product candidates are or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Manufacturers of Schedule I and II controlled substances are required to apply for quotas on an annual basis. If we or our contract manufacturers or suppliers do not obtain a sufficient quota from the DEA, we may not be able to obtain sufficient quantities of these controlled substances in order to complete our clinical trials or meet commercial demand for any of our products or product candidates classified under Schedule II.</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products or product candidates that are classified as controlled substances.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Adverse events or other undesirable side effects caused by our products or product candidates could cause us or regulatory authorities to interrupt, delay or halt clinical trials and could result in a more restrictive label or the delay or denial of regulatory approvals by the FDA or other comparable foreign regulatory authorities.</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any serious adverse events occur, clinical trials or commercial distribution of any product candidates or products we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and/or require us to cease selling our products or product candidates, if approved, for any or all targeted indications. If we are required to delay, suspend or terminate any clinical trial or commercialization efforts, the commercial prospects of our products or product candidates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90" w:lineRule="exact"/>
        <w:rPr>
          <w:sz w:val="20"/>
          <w:szCs w:val="20"/>
          <w:color w:val="auto"/>
        </w:rPr>
      </w:pPr>
    </w:p>
    <w:p>
      <w:pPr>
        <w:ind w:left="460" w:hanging="229"/>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limit or withdraw approvals of such product, or seek an injunction against its manufacture or distribution;</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post-approval studies;</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or REMS, which could include a medication guide outlining the risks of such side effects for distribution to patients;</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criminal penalties;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1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products or any of our product candidates, if approved, and could seriously harm our business.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Social issues around the abuse of opioids and stimulants, including law enforcement concerns over diversion and regulatory efforts to combat abuse, could decrease the potential market for our approved products or any of our other applicable product candidates.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Media stories regarding prescription drug abuse and the diversion of opioids, stimulants and other controlled substances are commonplace. Law enforcement and regulatory agencies may apply policies that seek to limit the availability of opioids and stimulants. Such efforts may inhibit the ability to commercialize our approved products or any of our other applicable product candidates. Aggressive enforcement and unfavorable publicity regarding, for example, the use or misuse of hydrocodone or other opioid drugs and stimulants, the limitations of abuse-deterrent formulations, public inquiries and investigations into prescription drug abuse, litigation or regulatory activity, sales, marketing, distribution or storage of our products could harm our reputation. Such negative publicity could reduce the potential size of the market for our approved products or any of our other applicable product candidates and decrease the revenue we are able to generate from their sale, if approved. Similarly, to the extent prescription drug abuse becomes a less prevalent or less urgent public health issue, regulators and third-party payors may not be willing to pay a premium for formulations with improved attributes of opioids or stimulants.</w:t>
      </w:r>
    </w:p>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Additionally, efforts by the FDA and other regulatory bodies to combat abuse of opioids and stimulants may negatively impact the market for our approved products and any of our other applicable product candidates. For example, in April 2014, the FDA approved class-wide labeling changes to the indications for use of all approved ER/LA opioids, so that ER/LA opioids will be indicated only for the management of pain severe enough to require daily, around-the-clock, long-term opioid treatment and for which alternative treatment options are inadequate. These changes have reduced the number of prescriptions for opioids written by physicians and negatively impact the potential market for APADAZ or our other applicable product candidates. The FDA also held a public meeting in October 2014, on the development and regulation of abuse-deterrent formulations of opioid medications. Further, the Centers for Disease Control and Prevention previously issued draft guidelines for the prescribing of opioids for chronic pain, providing recommendations for primary care providers prescribing opioids for chronic pain on when to initiate or continue opioids, opioid selection and discontinuation, and the assessment of the risk and addressing harms of opioid use, among other areas. It is possible that FDA, or other regulatory bodies, will announce new regulatory initiatives at any time that may increase the regulatory burden or decrease the commercial opportunity for our approved products or any of our other applicable product candidates.</w:t>
      </w:r>
    </w:p>
    <w:p>
      <w:pPr>
        <w:spacing w:after="0" w:line="1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Arimoclomol EAP is terminated prior to commercialization of arimoclomol, if approved, it will have a material adverse effect on our business, results of operations, cash flows, financial condition and/or prospects.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Arimoclomol is currently available to NPC patients in the United States France, Germany, and other European Union countries through the Arimoclomol EAP.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EAP is expected to remain in place until arimoclomol becomes commercially available in each of the current EAP markets. If the Arimoclomol EAP is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prior to commercialization of arimoclomol, it will have a material adverse effect on our business, results of operations, cash flows, financial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and/or prospects.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maintain effective internal control over financial reporting could harm us.</w:t>
      </w:r>
    </w:p>
    <w:p>
      <w:pPr>
        <w:spacing w:after="0" w:line="221" w:lineRule="exact"/>
        <w:rPr>
          <w:sz w:val="20"/>
          <w:szCs w:val="20"/>
          <w:color w:val="auto"/>
        </w:rPr>
      </w:pPr>
    </w:p>
    <w:p>
      <w:pPr>
        <w:jc w:val="both"/>
        <w:ind w:left="20" w:right="100"/>
        <w:spacing w:after="0" w:line="249"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If our management is unable to conclude that we have effective internal control over financial reporting, or to certify the effectiveness of such controls, or if material weaknesses in our internal control over financial reporting are identified in the future, we could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results of operations and financial condition.</w:t>
      </w:r>
    </w:p>
    <w:p>
      <w:pPr>
        <w:spacing w:after="0" w:line="18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recurring negative net operating cash flows. We expect to incur minimal positive net operating cash flows or negative ne operating cash flows over the next several years and may never achieve or maintain profitability.</w:t>
      </w:r>
    </w:p>
    <w:p>
      <w:pPr>
        <w:spacing w:after="0" w:line="160" w:lineRule="exact"/>
        <w:rPr>
          <w:sz w:val="20"/>
          <w:szCs w:val="20"/>
          <w:color w:val="auto"/>
        </w:rPr>
      </w:pPr>
    </w:p>
    <w:p>
      <w:pPr>
        <w:jc w:val="both"/>
        <w:ind w:left="20" w:right="100"/>
        <w:spacing w:after="0" w:line="252" w:lineRule="auto"/>
        <w:rPr>
          <w:sz w:val="20"/>
          <w:szCs w:val="20"/>
          <w:color w:val="auto"/>
        </w:rPr>
      </w:pPr>
      <w:r>
        <w:rPr>
          <w:rFonts w:ascii="Times New Roman" w:cs="Times New Roman" w:eastAsia="Times New Roman" w:hAnsi="Times New Roman"/>
          <w:sz w:val="18"/>
          <w:szCs w:val="18"/>
          <w:color w:val="auto"/>
        </w:rPr>
        <w:t>We have historically had significant negative net operating cash flows since inception. For the year ended December 31, 2022, net cash used in operations was ($18.7) million. While for the year ended December 31, 2021, we had net cash provided by operations of $10.4 million. We have financed our operations through December 31, 2022 with funds raised in private placements of redeemable convertible preferred stock, the issuance of convertible promissory notes and term debt, our initial public offering and other public and private offerings of our common stock, as well as through revenue received under the AZSTARYS License Agreement, sales of arimoclomol under the Arimoclomol EAP, and the Corium Consulting Agreement.</w:t>
      </w:r>
    </w:p>
    <w:p>
      <w:pPr>
        <w:spacing w:after="0" w:line="185" w:lineRule="exact"/>
        <w:rPr>
          <w:sz w:val="20"/>
          <w:szCs w:val="20"/>
          <w:color w:val="auto"/>
        </w:rPr>
      </w:pPr>
    </w:p>
    <w:p>
      <w:pPr>
        <w:jc w:val="both"/>
        <w:ind w:left="20" w:right="100"/>
        <w:spacing w:after="0" w:line="255"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research and development, including preclinical studies and clinical trials. We are in various stages of development of our product candidates, and we have only completed development of, and received regulatory approval for, two products, AZSTARYS and APADAZ. We expect to continue to incur significant expenses and operating losses over the next several years and our net losses may fluctuate significantly from quarter to quarter and year to year as we:</w:t>
      </w:r>
    </w:p>
    <w:p>
      <w:pPr>
        <w:spacing w:after="0" w:line="180" w:lineRule="exact"/>
        <w:rPr>
          <w:sz w:val="20"/>
          <w:szCs w:val="20"/>
          <w:color w:val="auto"/>
        </w:rPr>
      </w:pPr>
    </w:p>
    <w:p>
      <w:pPr>
        <w:ind w:left="480" w:hanging="22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 clinical trials and our product development activities for our pipeline of product candidates;</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product candidates that successfully complete clinical trials;</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and initiate clinical trials of our product candidates;</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either internally or in partnership with other pharmaceutical companies;</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 and</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systems and personnel, if needed, to support any future commercialization efforts.</w:t>
      </w:r>
    </w:p>
    <w:p>
      <w:pPr>
        <w:spacing w:after="0" w:line="2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prodrugs that generate significant revenue. This will require us to be successful in a range of challenging activities, including completing preclinical studies and clinical trials and obtaining regulatory approval of our product candidates, and manufacturing, marketing and selling, whether ourselves or through a license with a third party, any of our product candidates for which we may obtain regulatory approval, as well as discovering and developing additional product candidates. We are in various stages of these activities for our product candidates and we cannot guarantee that any strategy we adopt will be successful. We may never succeed in commercialization activities and, even if we do, may never generate revenue that is significant enough to achieve profitability.</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we cannot predict what the long-term effects of the COVID-19 pandemic or a future public health crisis and the resulting economic disruptions may have on our liquidity and results of operations. The extent of a future public health crisis on our liquidity and results of operations will depend on a number of future developments, including the duration, spread and intensity of such crisis, and governmental, regulatory and private sector responses, all of which are uncertain and difficult to predict. A future public health crisis may make it more difficult for us to enroll patients in any future clinical trials or cause delays in the regulatory approval of our product candidates. A portion of our projected revenue is based upon the achievement of milestones in the AZSTARYS License Agreement associated with regulatory matters that may be impacted by the COVID-19 pandemic. As a result, we cannot predict what, if any, impact that the COVID-19 pandemic or a future public health crisis may have on our ability to achieve these milestones. If the pandemic continues to be a severe worldwide crisis, or a future public health crisis prevails, it could have a material adverse effect on our business, results of operations, financial condition, and cash flows.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prodrug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obtain product approvals, diversify our product offerings or continue our operations. A decline in our value could also cause you to lose all or part of your investment.</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not generate the necessary data or results required to obtain regulatory approval for our product candidates or claims necessary to make such candidates profitable and achieve product sales. In addition, our approved products or any of our product candidates, if approved, may not achieve commercial success. Our commercial revenue will be derived from sales of prodrug products. We cannot guarantee that Corium will be able to successfully commercialize AZSTARYS to any certain level, or any of the product candidates subject to the AZSTARYS License Agreement, even if approved, or that we will ever receive any additional payments under the AZSTARYS License Agreement from the commercial sales of AZSTARYS or any future payments under the AZSTARYS License Agreement, or that KVK will be able to successfully commercialize APADAZ, or that we will receive any future payments under the APADAZ License Agreement from commercial sales of APADAZ. Accordingly, we will need to continue to rely on additional financing to achieve our business objectives. Adequate additional financing may not be available to us on acceptable terms, or at all. To the extent that we raise additional capital through the sale of equity or debt securities, the terms of those securities or debt may restrict our ability to operate.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that our only sources of revenues will be through payments arising from our license agreements with Corium, the Arimoclomol EAP, or through the Corium Consulting Agreement or other potential consulting arrangements and any other future arrangements related to one of our other product candidates. We cannot guarantee that we will be able to generate sufficient proceeds from the AZSTARYS License Agreement, the Arimoclomol EAP, Corium Consulting Agreement or other consulting arrangements, or be successful in completing other transactions, that will fully fund our operating expenses. Further, the recent economic uncertainty, may dramatically reduce our ability to secure debt or equity financing necessary to support our operations. If we are delayed in obtaining additional funding or are unable to complete a strategic transaction, we may discontinue our development activities on our product candidates or discontinue our operations. Our future capital requirements will depend on many factors, including:</w:t>
      </w:r>
    </w:p>
    <w:p>
      <w:pPr>
        <w:spacing w:after="0" w:line="187" w:lineRule="exact"/>
        <w:rPr>
          <w:sz w:val="20"/>
          <w:szCs w:val="20"/>
          <w:color w:val="auto"/>
        </w:rPr>
      </w:pPr>
    </w:p>
    <w:p>
      <w:pPr>
        <w:ind w:left="460" w:hanging="229"/>
        <w:spacing w:after="0" w:line="181" w:lineRule="auto"/>
        <w:tabs>
          <w:tab w:leader="none" w:pos="460" w:val="left"/>
        </w:tabs>
        <w:numPr>
          <w:ilvl w:val="0"/>
          <w:numId w:val="1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progress and results of our preclinical studies, clinical trials, chemistry, manufacturing and controls, or CMC, and other product development and commercialization activities;</w:t>
      </w:r>
    </w:p>
    <w:p>
      <w:pPr>
        <w:spacing w:after="0" w:line="193" w:lineRule="exact"/>
        <w:rPr>
          <w:rFonts w:ascii="Times New Roman" w:cs="Times New Roman" w:eastAsia="Times New Roman" w:hAnsi="Times New Roman"/>
          <w:sz w:val="34"/>
          <w:szCs w:val="34"/>
          <w:color w:val="auto"/>
          <w:vertAlign w:val="subscript"/>
        </w:rPr>
      </w:pPr>
    </w:p>
    <w:p>
      <w:pPr>
        <w:ind w:left="460" w:hanging="229"/>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product candidates;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differentiating claims in the labels for our product candidates;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necessary to institute post-approval regulatory compliance requirements;</w:t>
      </w:r>
    </w:p>
    <w:p>
      <w:pPr>
        <w:spacing w:after="0" w:line="217" w:lineRule="exact"/>
        <w:rPr>
          <w:rFonts w:ascii="Times New Roman" w:cs="Times New Roman" w:eastAsia="Times New Roman" w:hAnsi="Times New Roman"/>
          <w:sz w:val="18"/>
          <w:szCs w:val="18"/>
          <w:color w:val="auto"/>
        </w:rPr>
      </w:pPr>
    </w:p>
    <w:p>
      <w:pPr>
        <w:ind w:left="460" w:hanging="229"/>
        <w:spacing w:after="0" w:line="181" w:lineRule="auto"/>
        <w:tabs>
          <w:tab w:leader="none" w:pos="460" w:val="left"/>
        </w:tabs>
        <w:numPr>
          <w:ilvl w:val="0"/>
          <w:numId w:val="1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193" w:lineRule="exact"/>
        <w:rPr>
          <w:rFonts w:ascii="Times New Roman" w:cs="Times New Roman" w:eastAsia="Times New Roman" w:hAnsi="Times New Roman"/>
          <w:sz w:val="34"/>
          <w:szCs w:val="34"/>
          <w:color w:val="auto"/>
          <w:vertAlign w:val="subscript"/>
        </w:rPr>
      </w:pPr>
    </w:p>
    <w:p>
      <w:pPr>
        <w:jc w:val="both"/>
        <w:ind w:left="460" w:hanging="229"/>
        <w:spacing w:after="0" w:line="25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revenue received from commercial sales of our approved products, or any of our product candidates subject to the terms of the AZSTARYS License Agreement, or sales of our product candidates for which we receive marketing approval in the future, which may be affected by market conditions, including obtaining coverage and adequate reimbursement of our approved products, or any of our product candidates, from third-party payors, including government programs and managed care organizations, and competition within the therapeutic class to which our approved products, or any our product candidates are assigned;</w:t>
      </w:r>
    </w:p>
    <w:p>
      <w:pPr>
        <w:spacing w:after="0" w:line="185"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partner, Corium, in commercializing AZSTARYS;</w:t>
      </w:r>
    </w:p>
    <w:p>
      <w:pPr>
        <w:spacing w:after="0" w:line="217" w:lineRule="exact"/>
        <w:rPr>
          <w:rFonts w:ascii="Times New Roman" w:cs="Times New Roman" w:eastAsia="Times New Roman" w:hAnsi="Times New Roman"/>
          <w:sz w:val="18"/>
          <w:szCs w:val="18"/>
          <w:color w:val="auto"/>
        </w:rPr>
      </w:pPr>
    </w:p>
    <w:p>
      <w:pPr>
        <w:ind w:left="460" w:hanging="229"/>
        <w:spacing w:after="0" w:line="181" w:lineRule="auto"/>
        <w:tabs>
          <w:tab w:leader="none" w:pos="460" w:val="left"/>
        </w:tabs>
        <w:numPr>
          <w:ilvl w:val="0"/>
          <w:numId w:val="1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193" w:lineRule="exact"/>
        <w:rPr>
          <w:rFonts w:ascii="Times New Roman" w:cs="Times New Roman" w:eastAsia="Times New Roman" w:hAnsi="Times New Roman"/>
          <w:sz w:val="34"/>
          <w:szCs w:val="34"/>
          <w:color w:val="auto"/>
          <w:vertAlign w:val="subscript"/>
        </w:rPr>
      </w:pPr>
    </w:p>
    <w:p>
      <w:pPr>
        <w:ind w:left="460" w:hanging="229"/>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rely on and expect to continue to rely on third parties to conduct our clinical trials for our product candidates, and those third parties may not perform satisfactorily, including failing to meet deadlines for the completion of such trials.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engaged and expect to continue to engage CROs for our planned clinical trials of our product candidates. We rely on and expect to continue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our drug development activities would be delayed.</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investigators and trial sites. We also are required to register specified ongoing clinical trials and post the results of completed clinical trials on a government-sponsored database, ClinicalTrials.gov, within specified timeframes. In addition, we must conduct our clinical trials with product produced under cGMP requirements. Failure to comply with these regulations may require us to repeat preclinical studies and clinical trials, which would delay the regulatory approval process. Failure to comply with the applicable requirements related to clinical investigations by us, our CROs or clinical trial sites can also result in clinical holds and termination of clinical trials, debarment, FDA refusal to approve applications based on the clinical data, warning letters, withdrawal of marketing approval if the product has already been approved, fines and other monetary penalties, delays, adverse publicity and civil and criminal sanctions, among other consequences.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we submit by the FDA. Any such delay or rejection could prevent us from commercializing our product candidates. Further, our arrangements with investigators are also subject to scrutiny under other health care regulatory laws, such as the Anti-Kickback Statute.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rely on and expect to continue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the third parties with whom we contract do not successfully carry out their contractual duties or obligations or meet expected deadlines or if the quality or accuracy of the clinical data they obtain is compromised due to the failure to adhere to our clinical protocols or regulatory requirements or for other reasons, our clinical trials may be extended, delayed or terminated, we may need to conduct additional trials, and we may not be able to obtain regulatory approval for or successfully commercialize our product candidates. As a result,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adversely affected.</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contract with third parties for the manufacture of our partnered products and product candidates that utilize benzhydrocodone and SDX as the API used in our clinical trials and with a sole source supplier for the manufacture of bulk quantities of benzhydrocodone and SDX used in the partnered products and product candidates that utilize these moieties as the API and we expect to continue to do so. This reliance on third-party manufacturers increases the risk that we will not have sufficient quantities of benzhydrocodone and SDX, or such quantities at an acceptable cost, which could delay, prevent or impair our development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do not have any manufacturing facilities. We procure the bulk drug substances for our approved products and product candidates from sole-source, third-party manufacturers and the partnered products and product candidates that utilize these moieties as the API used in our clinical trials from other third parties. We anticipate we will continue to do so for the foreseeable future. We also expect to continue to rely on third parties as we proceed with preclinical and clinical testing of our product candidates, as well as for commercial manufacture of our approved products, or any of our product candidates should such candidates receive marketing approval. This reliance on third parties increases the risk that we will not have sufficient quantities of benzhydrocodone, SDX, other bulk drug substances or our partnered product or product candidates, or such quantities at an acceptable cost or quality, which could delay, prevent or impair our ability to timely conduct our clinical trials or our other development or commercialization efforts.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may be unable to establish any future agreements with third-party manufacturers or to do so on acceptable terms. Even if we are able to maintain our existing third-party relationships or establish any such agreements with other third-party manufacturers, reliance on third-party manufacturers entails additional risks, including:</w:t>
      </w:r>
    </w:p>
    <w:p>
      <w:pPr>
        <w:spacing w:after="0" w:line="178" w:lineRule="exact"/>
        <w:rPr>
          <w:sz w:val="20"/>
          <w:szCs w:val="20"/>
          <w:color w:val="auto"/>
        </w:rPr>
      </w:pPr>
    </w:p>
    <w:p>
      <w:pPr>
        <w:ind w:left="460" w:hanging="229"/>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FDA and DEA regulatory compliance and quality assurance;</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 costs associated with changing suppliers, including additional regulatory filings;</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termination or nonrenewal of the agreement by the third party at a time that is costly or inconvenient for us;</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or inability to procure or expand sufficient manufacturing capacity;</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product quality issues related to scale-up of manufacturing;</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negotiate manufacturing agreements with third parties under commercially reasonable terms;</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243" w:lineRule="exact"/>
        <w:rPr>
          <w:rFonts w:ascii="Times New Roman" w:cs="Times New Roman" w:eastAsia="Times New Roman" w:hAnsi="Times New Roman"/>
          <w:sz w:val="18"/>
          <w:szCs w:val="18"/>
          <w:color w:val="auto"/>
        </w:rPr>
      </w:pPr>
    </w:p>
    <w:p>
      <w:pPr>
        <w:jc w:val="both"/>
        <w:ind w:left="460" w:hanging="229"/>
        <w:spacing w:after="0" w:line="259"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a limited number of sources, and in some cases, single sources for product components, such that if we are unable to secure a sufficient supply of these product components, we will be unable to manufacture and sell our product candidates in a timely fashion, in sufficient quantities or under acceptable terms; and</w:t>
      </w:r>
    </w:p>
    <w:p>
      <w:pPr>
        <w:spacing w:after="0" w:line="17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w:t>
      </w:r>
    </w:p>
    <w:p>
      <w:pPr>
        <w:spacing w:after="0" w:line="244"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7"/>
          <w:szCs w:val="17"/>
          <w:color w:val="auto"/>
        </w:rPr>
        <w:t>Any of these events could lead to clinical trial delays, failure to obtain regulatory approval or impact our ability to successfully commercialize our products, if approved. Some of these events could be the basis for FDA action, including injunction, recall, seizure or total or partial suspension of production.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ind w:left="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facilities used by our contract manufacturers to manufacture our approved products, and any of our product candidates are subject to review by the FDA pursuant to inspections that will be conducted after we submit our marketing application to the FDA, and such inspections could result in findings that lead to failure to obtain FDA approval of such marketing applications.</w:t>
      </w:r>
    </w:p>
    <w:p>
      <w:pPr>
        <w:spacing w:after="0" w:line="174" w:lineRule="exact"/>
        <w:rPr>
          <w:sz w:val="20"/>
          <w:szCs w:val="20"/>
          <w:color w:val="auto"/>
        </w:rPr>
      </w:pPr>
    </w:p>
    <w:p>
      <w:pPr>
        <w:jc w:val="both"/>
        <w:ind w:left="20" w:right="100"/>
        <w:spacing w:after="0" w:line="265" w:lineRule="auto"/>
        <w:rPr>
          <w:sz w:val="20"/>
          <w:szCs w:val="20"/>
          <w:color w:val="auto"/>
        </w:rPr>
      </w:pPr>
      <w:r>
        <w:rPr>
          <w:rFonts w:ascii="Times New Roman" w:cs="Times New Roman" w:eastAsia="Times New Roman" w:hAnsi="Times New Roman"/>
          <w:sz w:val="17"/>
          <w:szCs w:val="17"/>
          <w:color w:val="auto"/>
        </w:rPr>
        <w:t>We do not, other than through our contractual arrangements, control the manufacturing process of our approved products, or any of our other product candidates, and we are completely dependent on, our contract manufacturing partners for compliance with cGMP requirements and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 maintain regulatory approval of our marketing applications for the use of their manufacturing facilities for our products.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manufacturing of our approved products, or any of our other product candidates, or if it withdraws any such approval in the future, we may need to find alternative manufacturing facilities, which would significantly impact our ability to develop, obtain marketing approval for or market our approved products, or any of our other product candidates, if approved.</w:t>
      </w:r>
    </w:p>
    <w:p>
      <w:pPr>
        <w:spacing w:after="0" w:line="177" w:lineRule="exact"/>
        <w:rPr>
          <w:sz w:val="20"/>
          <w:szCs w:val="20"/>
          <w:color w:val="auto"/>
        </w:rPr>
      </w:pPr>
    </w:p>
    <w:p>
      <w:pPr>
        <w:jc w:val="both"/>
        <w:ind w:left="20" w:right="100"/>
        <w:spacing w:after="0" w:line="252" w:lineRule="auto"/>
        <w:rPr>
          <w:sz w:val="20"/>
          <w:szCs w:val="20"/>
          <w:color w:val="auto"/>
        </w:rPr>
      </w:pPr>
      <w:r>
        <w:rPr>
          <w:rFonts w:ascii="Times New Roman" w:cs="Times New Roman" w:eastAsia="Times New Roman" w:hAnsi="Times New Roman"/>
          <w:sz w:val="18"/>
          <w:szCs w:val="18"/>
          <w:color w:val="auto"/>
        </w:rPr>
        <w:t>Further, for our approved products and any of our product candidates, if approved, our suppliers will be subject to regulatory requirements, covering manufacturing, testing, quality control and record keeping relating to our approved products or any of our product candidates, if approved,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5" w:lineRule="exact"/>
        <w:rPr>
          <w:sz w:val="20"/>
          <w:szCs w:val="20"/>
          <w:color w:val="auto"/>
        </w:rPr>
      </w:pPr>
    </w:p>
    <w:p>
      <w:pPr>
        <w:jc w:val="both"/>
        <w:ind w:left="20" w:right="100"/>
        <w:spacing w:after="0" w:line="266" w:lineRule="auto"/>
        <w:rPr>
          <w:sz w:val="20"/>
          <w:szCs w:val="20"/>
          <w:color w:val="auto"/>
        </w:rPr>
      </w:pPr>
      <w:r>
        <w:rPr>
          <w:rFonts w:ascii="Times New Roman" w:cs="Times New Roman" w:eastAsia="Times New Roman" w:hAnsi="Times New Roman"/>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warning letters, clinical holds or termination of clinical trials, fines, injunctions, restitution, disgorgement, civil penalties, delays, suspension or withdrawal of approvals or other permits, FDA refusal to approve pending applications, product detentions, FDA or DEA consent decrees placing significant restrictions on or suspending manufacturing and distribution operations, debarment, refusal to allow import or export, product detentions, adverse publicity, dear-health-care-provider letters or other warnings, license revocation, seizures or recalls of product candidates, operating restrictions, refusal of government contracts or future orders under existing contracts and civil and criminal liability, including False Claims Act liability, exclusion from participation in federal health care programs, and corporate integrity agreements among other consequences, any of which could significantly and adversely affect supplies of our prodrugs.</w:t>
      </w:r>
    </w:p>
    <w:p>
      <w:pPr>
        <w:spacing w:after="0" w:line="17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and any prodrugs that we may develop may compete with other product candidates and drugs for access to manufacturing facilities and we may be unable to obtain access to these facilities on favorable terms.</w:t>
      </w:r>
    </w:p>
    <w:p>
      <w:pPr>
        <w:spacing w:after="0" w:line="160" w:lineRule="exact"/>
        <w:rPr>
          <w:sz w:val="20"/>
          <w:szCs w:val="20"/>
          <w:color w:val="auto"/>
        </w:rPr>
      </w:pPr>
    </w:p>
    <w:p>
      <w:pPr>
        <w:jc w:val="both"/>
        <w:ind w:left="20" w:right="100"/>
        <w:spacing w:after="0" w:line="251" w:lineRule="auto"/>
        <w:rPr>
          <w:sz w:val="20"/>
          <w:szCs w:val="20"/>
          <w:color w:val="auto"/>
        </w:rPr>
      </w:pPr>
      <w:r>
        <w:rPr>
          <w:rFonts w:ascii="Times New Roman" w:cs="Times New Roman" w:eastAsia="Times New Roman" w:hAnsi="Times New Roman"/>
          <w:sz w:val="18"/>
          <w:szCs w:val="18"/>
          <w:color w:val="auto"/>
        </w:rPr>
        <w:t>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our approved products or product candidates bulk drug substance. If our current contract manufacturer for our approved products or product candidates bulk drug substance cannot perform as agreed, we may be required to replace such manufacturer and we may incur added costs and delays in identifying and qualifying any such replacement. Any performance failure or significant delay could negatively affect our business, results of operations and financial condition.</w:t>
      </w:r>
    </w:p>
    <w:p>
      <w:pPr>
        <w:spacing w:after="0" w:line="3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with Commave, to develop, manufacture and commercialize AZSTARYS worldwide, and KVK, for the commercialization of APADAZ in the United States. In addition, we may seek collaborations with third parties for the development or commercialization of APADAZ or our other product candidates, or in other territories. If those collaborations are not successful, we may not be able to capitalize on the market potential of AZSTARYS, APADAZ, or any of our other product candidates, if approved.</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entered into the AZSTARYS License Agreement with Commave pursuant to which we granted an exclusive, worldwide license to Commave to develop, manufacture and commercialize AZSTARYS. Corium was tasked by Commave to lead all commercialization activities for AZSTARYS under the AZSTARYS License Agreement. We cannot guarantee that the AZSTARYS License Agreement will be successful or that we will receive any future payments under the AZSTARYS License Agreement. For instance, Commave has the option to terminate the AZSTARYS License Agreement, in its entirety or on a product-by-product and country-by-country basis, at their convenience either (i) prior to the first regulatory approval of a product upon sixty days prior written notice or (ii) subsequent to the first regulatory approval of a product upon one hundred twenty days prior written notice. Further, even if Commave does not terminate the AZSTARYS License Agreement, we cannot guarantee that we will receive any additional milestone or royalty payments under the AZSTARYS License Agreement. In addition, under the AZSTARYS License Agreement, we have limited control over the amount and timing of resources that Corium will dedicate to the development, manufacturing or commercialization of AZSTARYS, and we may not always agree with Corium’s efforts. Our ability to generate revenue under the AZSTARYS License Agreement will depend, in part, on Corium’s ability to successfully perform the functions assigned to it under the AZSTARYS License Agreement.</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we have entered into the APADAZ License Agreement with KVK pursuant to which we granted an exclusive license to KVK to commercialize APADAZ in the United States. We cannot guarantee that our collaboration with KVK will be successful or that we will ever receive any payments under the APADAZ License Agreement. For instance, if the Initial Adoption Milestone under the APADAZ License Agreement is not achieved, KVK may terminate the APADAZ License Agreement without making any payments to us. Further, even if the Initial Adoption Milestone under the APADAZ License Agreement is achieved, we cannot guarantee that we will receive any additional milestone or royalty payments under the APADAZ License Agreement. Further, under the APADAZ License Agreement, we have limited control over the amount and timing of resources that KVK will dedicate to the commercialization of APADAZ, and we may not always agree with KVK’s commercialization efforts. Our ability to generate revenue under the APADAZ License Agreement will depend on KVK’s ability to successfully perform the functions assigned to it under the APADAZ License Agreement. The commercialization strategy under the APADAZ License Agreement is novel and untested, and, even if successful we expect that the pricing for any sales of APADAZ will be at or near the prices of currently available generic equivalent drugs. As a result, even if KVK does successfully perform its functions under the APADAZ License Agreement, we cannot guarantee that there will be sufficient market demand for APADAZ for us to receive any revenue under the APADAZ License Agreement.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also seek additional third-party collaborators for the commercialization of APADAZ or for the development or commercialization of any of our other product candidates, which are not subject to the AZSTARYS License Agreement, or those that are subject to the AZSTARYS License Agreement, but the option is not exercised by Commave. In such cases, our likely collaborators would include large and mid-size pharmaceutical companies, regional, national and international pharmaceutical companies and biotechnology companies. If we do enter into any such collaboration arrangements with any third parties, we will likely have limited control over the amount and timing of resources that our collaborators dedicate to the development or commercialization of our approved products or any of our other product candidates. Our ability to generate revenue from these arrangements will depend on our collaborators’ abilities to successfully perform the functions assigned to them in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collaborations with Commave and KVK, or combined, the Collaborators, pose the following risks to us:</w:t>
      </w:r>
    </w:p>
    <w:p>
      <w:pPr>
        <w:spacing w:after="0" w:line="217" w:lineRule="exact"/>
        <w:rPr>
          <w:sz w:val="20"/>
          <w:szCs w:val="20"/>
          <w:color w:val="auto"/>
        </w:rPr>
      </w:pPr>
    </w:p>
    <w:p>
      <w:pPr>
        <w:ind w:left="460" w:hanging="229"/>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Collaborators have significant discretion in determining the efforts and resources that they will apply to these collaborations;</w:t>
      </w:r>
    </w:p>
    <w:p>
      <w:pPr>
        <w:spacing w:after="0" w:line="24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Collaborators may not perform their obligations as expected;</w:t>
      </w:r>
    </w:p>
    <w:p>
      <w:pPr>
        <w:spacing w:after="0" w:line="243" w:lineRule="exact"/>
        <w:rPr>
          <w:rFonts w:ascii="Times New Roman" w:cs="Times New Roman" w:eastAsia="Times New Roman" w:hAnsi="Times New Roman"/>
          <w:sz w:val="18"/>
          <w:szCs w:val="18"/>
          <w:color w:val="auto"/>
        </w:rPr>
      </w:pPr>
    </w:p>
    <w:p>
      <w:pPr>
        <w:jc w:val="both"/>
        <w:ind w:left="460" w:hanging="229"/>
        <w:spacing w:after="0" w:line="282" w:lineRule="auto"/>
        <w:tabs>
          <w:tab w:leader="none" w:pos="4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Collaborators may not pursue commercialization of AZSTARYS, any of our product candidates covered under the AZSTARYS License Agreement, if approved, or APADAZ, or may elect not to continue or renew commercialization programs based on post-approval clinical trial results, changes in a Collaborator's strategic focus or available funding, or external factors, such as an acquisition, that divert resources or create competing priorities;</w:t>
      </w:r>
    </w:p>
    <w:p>
      <w:pPr>
        <w:spacing w:after="0" w:line="149" w:lineRule="exact"/>
        <w:rPr>
          <w:rFonts w:ascii="Times New Roman" w:cs="Times New Roman" w:eastAsia="Times New Roman" w:hAnsi="Times New Roman"/>
          <w:sz w:val="17"/>
          <w:szCs w:val="17"/>
          <w:color w:val="auto"/>
        </w:rPr>
      </w:pPr>
    </w:p>
    <w:p>
      <w:pPr>
        <w:ind w:left="460" w:hanging="229"/>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Collaborators could independently develop, or develop with third parties, products that compete directly or indirectly with</w:t>
      </w:r>
    </w:p>
    <w:p>
      <w:pPr>
        <w:spacing w:after="0" w:line="21" w:lineRule="exact"/>
        <w:rPr>
          <w:sz w:val="20"/>
          <w:szCs w:val="20"/>
          <w:color w:val="auto"/>
        </w:rPr>
      </w:pPr>
    </w:p>
    <w:p>
      <w:pPr>
        <w:jc w:val="both"/>
        <w:ind w:left="460" w:right="140"/>
        <w:spacing w:after="0" w:line="242" w:lineRule="auto"/>
        <w:rPr>
          <w:sz w:val="20"/>
          <w:szCs w:val="20"/>
          <w:color w:val="auto"/>
        </w:rPr>
      </w:pPr>
      <w:r>
        <w:rPr>
          <w:rFonts w:ascii="Times New Roman" w:cs="Times New Roman" w:eastAsia="Times New Roman" w:hAnsi="Times New Roman"/>
          <w:sz w:val="21"/>
          <w:szCs w:val="21"/>
          <w:color w:val="auto"/>
        </w:rPr>
        <w:t>AZSTARYS, any of our other products covered under the AZSTARYS License Agreement, or APADAZ, as applicable, if the Collaborators believe that competitive products are more likely to be successfully developed or can be commercialized under terms that are more economically attractive than ours;</w:t>
      </w:r>
    </w:p>
    <w:p>
      <w:pPr>
        <w:spacing w:after="0" w:line="182" w:lineRule="exact"/>
        <w:rPr>
          <w:sz w:val="20"/>
          <w:szCs w:val="20"/>
          <w:color w:val="auto"/>
        </w:rPr>
      </w:pPr>
    </w:p>
    <w:p>
      <w:pPr>
        <w:jc w:val="both"/>
        <w:ind w:left="460" w:hanging="229"/>
        <w:spacing w:after="0" w:line="259"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AZSTARYS, any of our other products covered under the AZSTARYS License Agreement, if approved, and APADAZ may be viewed by the Collaborators as competitive with their own product candidates or products, which may cause the Collaborators to cease to devote resources to the commercialization of AZSTARYS, any of our other products covered under the AZSTARYS License Agreement, if approved, or APADAZ;</w:t>
      </w:r>
    </w:p>
    <w:p>
      <w:pPr>
        <w:spacing w:after="0" w:line="17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Collaborators may not commit sufficient resources to the development, marketing and distribution of AZSTARYS, any of our other products covered under the AZSTARYS License Agreement, and APADAZ, as applicable;</w:t>
      </w:r>
    </w:p>
    <w:p>
      <w:pPr>
        <w:spacing w:after="0" w:line="163" w:lineRule="exact"/>
        <w:rPr>
          <w:rFonts w:ascii="Times New Roman" w:cs="Times New Roman" w:eastAsia="Times New Roman" w:hAnsi="Times New Roman"/>
          <w:sz w:val="18"/>
          <w:szCs w:val="18"/>
          <w:color w:val="auto"/>
        </w:rPr>
      </w:pPr>
    </w:p>
    <w:p>
      <w:pPr>
        <w:jc w:val="both"/>
        <w:ind w:left="460" w:hanging="229"/>
        <w:spacing w:after="0" w:line="25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the Collaborators, including disagreements over proprietary rights, contract interpretation or the preferred course of development or commercialization, might cause delays or termination of the development or commercialization of AZSTARYS, or any of our other products covered under the AZSTARYS License Agreement, or APADAZ, as applicable, might lead to additional responsibilities for us with respect to AZSTARYS, any of our other products covered under the AZSTARYS License Agreement, or APADAZ, or might result in litigation or arbitration, any of which would be time-consuming and expensive;</w:t>
      </w:r>
    </w:p>
    <w:p>
      <w:pPr>
        <w:spacing w:after="0" w:line="185" w:lineRule="exact"/>
        <w:rPr>
          <w:rFonts w:ascii="Times New Roman" w:cs="Times New Roman" w:eastAsia="Times New Roman" w:hAnsi="Times New Roman"/>
          <w:sz w:val="18"/>
          <w:szCs w:val="18"/>
          <w:color w:val="auto"/>
        </w:rPr>
      </w:pPr>
    </w:p>
    <w:p>
      <w:pPr>
        <w:ind w:left="460" w:hanging="229"/>
        <w:spacing w:after="0" w:line="304" w:lineRule="auto"/>
        <w:tabs>
          <w:tab w:leader="none" w:pos="4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40" w:lineRule="exact"/>
        <w:rPr>
          <w:rFonts w:ascii="Times New Roman" w:cs="Times New Roman" w:eastAsia="Times New Roman" w:hAnsi="Times New Roman"/>
          <w:sz w:val="17"/>
          <w:szCs w:val="17"/>
          <w:color w:val="auto"/>
        </w:rPr>
      </w:pPr>
    </w:p>
    <w:p>
      <w:pPr>
        <w:ind w:left="460" w:hanging="229"/>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Collaborators may infringe the intellectual property rights of third parties, which may expose us to litigation and potential liability; and</w:t>
      </w:r>
    </w:p>
    <w:p>
      <w:pPr>
        <w:spacing w:after="0" w:line="243" w:lineRule="exact"/>
        <w:rPr>
          <w:rFonts w:ascii="Times New Roman" w:cs="Times New Roman" w:eastAsia="Times New Roman" w:hAnsi="Times New Roman"/>
          <w:sz w:val="18"/>
          <w:szCs w:val="18"/>
          <w:color w:val="auto"/>
        </w:rPr>
      </w:pPr>
    </w:p>
    <w:p>
      <w:pPr>
        <w:jc w:val="both"/>
        <w:ind w:left="460" w:hanging="229"/>
        <w:spacing w:after="0" w:line="259"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agreements may be terminated by the Collaborators under specified circumstances and, if terminated, we could be required to raise additional capital to pursue further development or commercialization of AZSTARYS, any of our other products covered under the AZSTARYS License Agreement, or APADAZ.</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enter into any future collaborations we will face similar risks with any future collaborators as well.</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AZSTARYS License Agreement, the APADAZ License Agreement, and any other licensing or collaboration agreements we may enter into may not lead to commercialization of AZSTARYS, commercialization of APADAZ, or development of KP1077, KP879 or any of our other product candidates in the most efficient manner or at all. If Corium or KVK or a future collaborator of ours were to be involved in a business combination, the continued pursuit and emphasis on our drug development or commercialization program could be delayed, diminished or terminated.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for our product candidates, we may have to alter our development and commercialization plans.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prodrug development programs and the potential commercialization of our product candidates, if approved, will require substantial additional capital. For our product candidates, which are not subject to the terms of the AZSTARYS License Agreement or the APADAZ License Agreement, we may need to collaborate with pharmaceutical and biotechnology companies for the development and potential commercialization of those product candidates.</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w:t>
      </w:r>
    </w:p>
    <w:p>
      <w:pPr>
        <w:spacing w:after="0" w:line="16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may not be able to negotiate collaborations on a timely basis, on acceptable terms, or at all. If we are unable to do so, we may have to curtail the development of product candidates, reduce or delay one or more of our development programs, delay potential commercialization of our product candidates or reduce the scope of any sales or marketing activities of our product candidates, or increase our expenditures and undertake development or commercialization activities at our own expense of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our product candidates to market and generate product revenue.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agreements with Aquestive and Commave may inhibit our ability to enter into future collaborations with third parties.</w:t>
      </w:r>
    </w:p>
    <w:p>
      <w:pPr>
        <w:spacing w:after="0" w:line="2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are party to a termination agreement with Aquestive Therapeutics, or Aquestive, that may limit the value of any sale, license or commercialization of AZSTARYS, KP879 or KP1077. Under this termination agreement, Aquestive has the right to receive a royalty amount equal to 10% of any value generated by AZSTARYS, KP879 or KP1077, and any product candidates which contain SDX, including royalty payments on any license of AZSTARYS, KP879 or KP1077, the sale of AZSTARYS, KP879 or KP1077 to a third party or the commercialization of AZSTARYS, KP879 or KP1077. As part of the AZSTARYS License Agreement, we paid Aquestive a royalty equal to 10% of the regulatory milestone and royalty payments we received in 2021 from AZSTARYS.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granted to Commave a right of first refusal to acquire, license or commercialize any additional product candidate which contains SDX and is intended to treat ADHD or any other CNS disorder with such right of first refusal expiring upon the acceptance of a new drug application for such product candidate. We also granted Commave a right of first negotiation and a right of first refusal, subject to specified exceptions, for any assignment of our rights under the AZSTARYS License Agreement. We cannot predict if these obligations will limit the value we may receive from any future sale or license of any additional product candidate.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trade secret protection or patent protection for our technology, our approved products or our product candidates, or if the scope of the patent protection obtained is not sufficiently broad, our competitors could develop and commercialize technology and drugs similar or identical to ours, and our ability to successfully commercialize our technology, our approved products, or our product candidates, if approved, may be impaired.</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trade secret protection of our proprietary LAT platform technology as well as patent protection in the United States and other countries with respect to our approved products, and any of our product candidates. We seek to protect our proprietary position by filing patent applications in the United States and abroad related to our product technology and product candidates. As part of the AZSTARYS License Agreement, Commave obtained from us an exclusive, worldwide license to certain patents that cover AZSTARYS. In addition, as part of the APADAZ License Agreement, KVK obtained from us an exclusive license to certain patents that cover APADAZ.</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and prosecution of patent applications, or to maintain the rights to patents, licensed to third parties by us.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may also not have the right to control the preparation, filing and prosecution of patent applications, or to maintain the rights to patents, licensed from third parties to us. Therefore, any such patents and applications may not be prosecuted and enforced in a manner consistent with the best interests of our business. If such licensors or licensees fail to maintain such patents, or lose rights to those patents, the rights we have in- or out-licensed may be reduced or eliminated.</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Publications of discoveries in the scientific literature often lag behind the actual discoveries, and utility, or equivalent, patent applications in the United States and other jurisdictions are typically, for example, not published until 18 months after the filing date of such patent applications, or in some cases not at all. Therefore, we cannot know with certainty whether we were the first to make and/or use the inventions claimed in our owned or licensed patents or pending patent applications, or that we were the first to file for patent protection of such inventions. As a result, the issuance, scope, priority,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patent position is subject to numerous additional risks, including the following:</w:t>
      </w:r>
    </w:p>
    <w:p>
      <w:pPr>
        <w:spacing w:after="0" w:line="217" w:lineRule="exact"/>
        <w:rPr>
          <w:sz w:val="20"/>
          <w:szCs w:val="20"/>
          <w:color w:val="auto"/>
        </w:rPr>
      </w:pPr>
    </w:p>
    <w:p>
      <w:pPr>
        <w:ind w:left="460" w:hanging="229"/>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seek patent protection for inventions that are important to our success;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may not result in issued patents;</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we are the first to invent the inventions covered by pending patent applications or that we are the first to file such applications and, if we are not, we may be subject to priority disputes or lose rights;</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disclaim part or all of the term of certain patents or all of the term of certain patent applications;</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acquire patent term extensions or supplemental certificates of certain patents, domestic or foreign, due to regulatory delays, among others, which may affect the term of enforceability of such patents over time;</w:t>
      </w:r>
    </w:p>
    <w:p>
      <w:pPr>
        <w:spacing w:after="0" w:line="163" w:lineRule="exact"/>
        <w:rPr>
          <w:rFonts w:ascii="Times New Roman" w:cs="Times New Roman" w:eastAsia="Times New Roman" w:hAnsi="Times New Roman"/>
          <w:sz w:val="18"/>
          <w:szCs w:val="18"/>
          <w:color w:val="auto"/>
        </w:rPr>
      </w:pPr>
    </w:p>
    <w:p>
      <w:pPr>
        <w:jc w:val="both"/>
        <w:ind w:left="460" w:hanging="229"/>
        <w:spacing w:after="0" w:line="259"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file patent applications but have claims restricted or we may not be able to supply sufficient data to support our claims and, as a result, may not obtain the original claims desired or we may receive restricted claims; alternatively, it is possible that we may not receive any patent protection from an application;</w:t>
      </w:r>
    </w:p>
    <w:p>
      <w:pPr>
        <w:spacing w:after="0" w:line="17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and may not be of sufficient scope or strength to provide us with any commercial advantage;</w:t>
      </w:r>
    </w:p>
    <w:p>
      <w:pPr>
        <w:spacing w:after="0" w:line="163"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be able to design around our owned or licensed patents by developing similar or alternative technologies or drugs without infringing on our intellectual property rights;</w:t>
      </w:r>
    </w:p>
    <w:p>
      <w:pPr>
        <w:spacing w:after="0" w:line="163" w:lineRule="exact"/>
        <w:rPr>
          <w:rFonts w:ascii="Times New Roman" w:cs="Times New Roman" w:eastAsia="Times New Roman" w:hAnsi="Times New Roman"/>
          <w:sz w:val="18"/>
          <w:szCs w:val="18"/>
          <w:color w:val="auto"/>
        </w:rPr>
      </w:pPr>
    </w:p>
    <w:p>
      <w:pPr>
        <w:jc w:val="both"/>
        <w:ind w:left="460" w:hanging="229"/>
        <w:spacing w:after="0" w:line="259"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inadvertently abandon a patent or patent application, resulting in the loss of protection of intellectual property rights in a particular country, and we, our collaborators or our patent counsel may take action resulting in a patent or patent application becoming abandoned which may not be able to be reinstated or if reinstated, may suffer patent term adjustments or loss;</w:t>
      </w:r>
    </w:p>
    <w:p>
      <w:pPr>
        <w:spacing w:after="0" w:line="17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when issued may not cover our product candidates;</w:t>
      </w:r>
    </w:p>
    <w:p>
      <w:pPr>
        <w:spacing w:after="0" w:line="217" w:lineRule="exact"/>
        <w:rPr>
          <w:rFonts w:ascii="Times New Roman" w:cs="Times New Roman" w:eastAsia="Times New Roman" w:hAnsi="Times New Roman"/>
          <w:sz w:val="18"/>
          <w:szCs w:val="18"/>
          <w:color w:val="auto"/>
        </w:rPr>
      </w:pPr>
    </w:p>
    <w:p>
      <w:pPr>
        <w:jc w:val="both"/>
        <w:ind w:left="460" w:hanging="229"/>
        <w:spacing w:after="0" w:line="255"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can be given that our patents would be declared by a court or tribunal, domestic or foreign, to be valid or enforceable or that a competitor’s technology or product would be found by a court or tribunal, domestic or foreign, to infringe our patents and our patents or patent applications may be challenged by third parties in patent litigation, domestic or foreign, or in proceedings before the United States Patent and Trademark Office, or the USPTO, or its foreign counterparts, and may ultimately be declared invalid or unenforceable or narrowed in scope;</w:t>
      </w:r>
    </w:p>
    <w:p>
      <w:pPr>
        <w:spacing w:after="0" w:line="180" w:lineRule="exact"/>
        <w:rPr>
          <w:rFonts w:ascii="Times New Roman" w:cs="Times New Roman" w:eastAsia="Times New Roman" w:hAnsi="Times New Roman"/>
          <w:sz w:val="18"/>
          <w:szCs w:val="18"/>
          <w:color w:val="auto"/>
        </w:rPr>
      </w:pPr>
    </w:p>
    <w:p>
      <w:pPr>
        <w:jc w:val="both"/>
        <w:ind w:left="460" w:hanging="229"/>
        <w:spacing w:after="0" w:line="259"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prior art of which we are not aware that may affect the validity or enforceability of a patent claim and there may be prior art of which we are aware, but which we do not believe affects the validity or enforceability of a claim, which may, nonetheless, ultimately be found to affect the validity or enforceability of a claim;</w:t>
      </w:r>
    </w:p>
    <w:p>
      <w:pPr>
        <w:spacing w:after="0" w:line="17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develop products that have the same or similar effect as our products without infringing our patents;</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intentionally circumvent our patents by means of alternate designs or processes or file applications or be granted patents that would block or hurt our efforts;</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dominating or intervening patents relevant to our product candidates of which we are not aware;</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for pharmaceutical products is a lengthy and complex process, and as a result, any patents covering our product candidates may expire before or shortly after such product candidates are approved and commercialized;</w:t>
      </w:r>
    </w:p>
    <w:p>
      <w:pPr>
        <w:spacing w:after="0" w:line="163"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and patent enforcement laws of some foreign jurisdictions do not protect intellectual property rights to the same extent as laws in the United States, and many companies have encountered significant difficulties in protecting and defending such rights in foreign jurisdictions; and</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Any of these factors could hurt our ability to gain full patent protection for our products. Registered trademarks and trademark applications in the United States and other countries are subject to similar risks as described above for patents and patent applications, in addition to the risks described below.</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 a third party may misappropriate or reverse engineer our proprietary LAT platform technology, which could limit our ability to stop others from using or commercializing similar or identical technology and resultant product candidates, product technology or prodrugs, or limit the duration of the trade secret protection of our proprietary LAT platform technology.</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Moreover, we may be subject to a third-party pre-issuance submission of prior art to the USPTO, or become involved in opposition, litigation, nullity,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seek patent protection or to license, develop or commercialize current or future product candidates.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issuance of a patent is not conclusive as to its inventorship, ownership, scope, priority, validity or enforceability, and our owned and licensed patents may be challenged in the courts, patent offices and tribunals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drugs, or limit the duration of the patent protection of our product technology, product candidates and prodrugs.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alter or diminish the value of patents in general, thereby impairing our ability to protect our products and technologies.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standards that the USPTO and patent offices in other countries use to grant patents are not always applied predictably or uniformly and can change. Changes in either the patent laws or interpretation of the patent laws in the United States and other countries could increase the uncertainties and costs, and may diminish our ability to protect our inventions, obtain, maintain, and enforce our intellectual property rights and, more generally, could affect the value of our intellectual property or narrow the scope of our owned and licensed patents.</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In addition, the patent positions of companies in the development and commercialization of pharmaceuticals are particularly uncertain. The United States Supreme Court has ruled on several patent cases in recent years, either narrowing the scope of patent protection available in certain circumstances or weakening the rights of patent owners in certain situations. Depending on future actions by the United States Congress, the United States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 w:cs="Times New Roman" w:eastAsia="Times New Roman" w:hAnsi="Times New Roman"/>
          <w:sz w:val="18"/>
          <w:szCs w:val="18"/>
          <w:i w:val="1"/>
          <w:iCs w:val="1"/>
          <w:color w:val="auto"/>
        </w:rPr>
        <w:t>Assoc.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Molecular Pathology v. Myriad Genetics, Inc.</w:t>
      </w:r>
      <w:r>
        <w:rPr>
          <w:rFonts w:ascii="Times New Roman" w:cs="Times New Roman" w:eastAsia="Times New Roman" w:hAnsi="Times New Roman"/>
          <w:sz w:val="18"/>
          <w:szCs w:val="18"/>
          <w:color w:val="auto"/>
        </w:rPr>
        <w:t>, the United States Supreme Court held that certain claims to DNA molecules are not patentable. While we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believe that any of the patents owned or licensed by us will be found invalid based on this decision, future decisions by the courts, the United States Congress or the USPTO may impact the value of our patents.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another example, on September 16, 2011, the Leahy-Smith America Invents Act, or the Leahy-Smith Act, was signed into law. The Leahy-Smith Act includes a number of significant changes to U.S. patent law. These include provisions that affect the way patent applications are prosecuted in the United States, redefine prior art and may also affect patent litigation. The USPTO recently developed new regulations and procedures to govern administration of the Leahy-Smith Act, and many of the substantive changes to patent law associated with the Leahy-Smith Act, and in particular, the first-to-file provisions, only became effective on March 16, 2013.</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Leahy-Smith Act and its implementation could increase the uncertainties and costs surrounding the prosecution of our patent applications and the enforcement or defense of our issued patents. For instance, the Leahy-Smith Act established the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procedures that has lowered the burden of proof for invalidity challenges to issued patents and limited the ability to amend patent claims in response to such challenges. In addition, patent reform legislation may pass in the future that could lead to additional uncertainties and increased costs surrounding the prosecution, enforcement and defense of our owned and licensed patents and/or patent applications.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Competitors or other third parties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and technologies.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significantly harm our business.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or drugs, many of which may be protected by proprietary rights of third parties.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seek to develop proprietary prodrug formulations that do not infringe the intellectual property rights of others, we may become party to, or threatened with, future adversarial proceedings or litigation, domestic or foreign, regarding intellectual property rights with respect to our prodrugs or other aspects of our technology, including, for example, interference or derivation proceedings before the USPTO. Third parties may assert infringement claims against us based on existing patents or patents that may be granted in the future.</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or all of our business operations.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Competing products may also be sold in other countries in which our patent coverage might not exist or be as strong. If we lose a foreign patent lawsuit alleging our infringement of a competitor’s patent, we could be prevented from marketing our products in one or more foreign countries. As a result, our ability to grow our business and compete in the market may be harmed.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third party may hold intellectual property rights, including patent rights, which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7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licensors fail to comply with our obligations in our intellectual property licenses and funding arrangements with third parties, we could lose rights that are important to our business.</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currently party to license agreements for technologies that we anticipate using in our product development activities. In the future, we may become party to licenses that are important for product development and commercialization. If we or our third-party licensors fail to comply with the obligations under current or future license and funding agreements, our counterparties may have the right to terminate these agreements, we may be forced to terminate these agreement or we may no longer effectively rely on any licenses to us under these agreements, in which event we might not be able to develop, manufacture or market any product or utilize any technology that is covered by these agreements or may face other penalties under the agreements. Such an occurrence could materially and adversely affect the value of a product candidate being developed under any such agreement or could restrict our drug discovery activities.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scope of our intellectual property may be reduced or may need to be reduced due to third-party intellectual property claims.</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a U.S. patent application on inventions similar to ours that claims priority to an application filed prior to March 16, 2013,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In addition, changes enacted on March 16, 2013, to the U.S. patent laws under the Leahy-Smith Act resulted in the United States changing from a “first to invent” country to a “first to file” country. As a result, we may lose the ability to obtain a patent if another party files with the USPTO first and could become involved in proceedings before the USPTO to resolve disputes related to inventorship. We may also become involved in similar proceedings in other jurisdictions.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Furthermore, recent changes in U.S. patent law under the Leahy-Smith Act allow for post-issuance challenges to U.S. patents, including ex parte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and post-grant reviews. There is significant uncertainty as to how the new laws will be applied. If our U.S. patents are challenged using such procedures, we may not prevail, possibly resulting in altered or diminished claim scope or loss of patent rights altogether. Similarly, some countries, notably Europe, also have post-grant opposition proceedings or nullity proceedings that can result in changes in scope or cancellation of patent claims.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Many of our employees were previously employed at other biotechnology or pharmaceutical companies. Although we try to ensure that our employees do not use the proprietary information, show-how or know-how of others in their work for us, we may be subject to claims that these employees or we have inadvertently or otherwise used or disclosed intellectual property, including trade secrets or other proprietary information, of any such employee’s former employer. For example, in March 2012, we settled litigation regarding similar matters with Shire plc. We may also in the future be subject to claims that we have caused an employee to breach the terms of his or her non-competition or non-solicitation agreement. Litigation may be necessary to defend against these potential claims.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 candidates that are approved for marketing from the products of our competitors. We have registered trademarks for LAT andZevra. In addition, we have solicited and applied for trademarks for the Zevra logo and several potential trade names and logos for future product candidates. Third parties may oppose or attempt to cancel our trademark applications or trademarks,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to seeking patent and trademark protection for our product candidates, we also rely on trade secrets, including unpatented show-how,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Further, we may need to share our trade secrets and confidential know-how with future business partners, collaborators, contractors and others located in countries at heightened risk of theft of trade secrets, including through direct intrusion by private parties or actors in other countries, and those affiliated with or controlled by state actors.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Monitoring unauthorized uses and disclosures of our intellectual property, including our trade secrets,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Moreover, our competitors may independently develop or reverse engineer knowledge, methods, show-how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such trade secrets, from using that technology or information to compete with us. If any of our trade secrets were to be disclosed to or independently developed by a competitor, our competitive position would be harmed.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Patents are of national or regional effect, and filing, prosecuting and defending patents on all of our products and technologies throughout the world would be prohibitively expensive. As such, our intellectual property rights in some countries outside the United States can be less extensive than those in the United States and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or technology and may export otherwise infringing products or technology to territories where we have patent protection, but enforcement rights are not as strong as those in the United States. These products may compete with our products and technologies, and our patents or other intellectual property rights may not be effective or sufficient to prevent them from competing. Further, the legal systems of certain countries, particularly certain developing countries, do not favor the enforcement of patents and other intellectual property protection, particularly those relating to pharmaceuticals or biologics, which could make it difficult for us to stop the infringement of our patents or marketing of competing products in violation of our proprietary rights generally. Proceedings to enforce our patent rights in other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such lawsuits that we initiate and the damages and other remedies awarded, if any, may not be commercially meaningful. Similarly, if our trade secrets are disclosed in another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intellectual property laws of other countries.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2012, the European Patent Package, or EU Patent Package, regulations were passed with the goal of providing a single pan-European Unitary Patent and a new European Unified Patent Court, or UPC, for litigation involving European patents. Implementation of the EU Patent Package will likely occur in the first half of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decision to seek approval of our product candidates under the 505(b)(2) NDA pathway, if available, may increase the risk that patent infringement suits are filed against us, which would delay the FDA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approval of such product candidates.</w:t>
      </w:r>
    </w:p>
    <w:p>
      <w:pPr>
        <w:spacing w:after="0" w:line="1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Regarding any NDA that we may submit under the 505(b)(2) NDA pathway, if there are patents that claim the approved drug contained in our product candidates and referenced in our 505(b)(2) NDA, we must certify to the FDA and notify the patent holder that any patents listed for the approved drug in the FDA’s Orange Book publication are invalid, unenforceable or will not be infringed by the manufacture, use or sale of our prodrug. If a patent infringement lawsuit is filed against us within 45 days of its receipt of notice of our certification, the FDA is automatically prevented from approving our 505(b)(2) NDA until the earliest of 30 months, expiration of the patent, settlement of the lawsuit or a court decision in the infringement case that is favorable to us, or such shorter or longer period as may be ordered by a court. Such actions are routinely filed by patent owners. Accordingly, we may invest considerable time and expense in the development of our product candidates only to be subject to significant delay and patent litigation before our product candidates may be commercialized. We may not be successful in defending any patent infringement claim. Even if we are found not to infringe, or a plaintiff’s patent claims are found invalid or unenforceable, defending any such infringement claim would be expensive and time-consuming, and would delay launch of our product candidates and distract management from their normal responsibilities.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Partnered Products and Product Candidates</w:t>
      </w:r>
    </w:p>
    <w:p>
      <w:pPr>
        <w:spacing w:after="0" w:line="21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for our product candidates, if approved, we may not be successful i commercializing any approved product candidate in the United States.</w:t>
      </w:r>
    </w:p>
    <w:p>
      <w:pPr>
        <w:spacing w:after="0" w:line="160" w:lineRule="exact"/>
        <w:rPr>
          <w:sz w:val="20"/>
          <w:szCs w:val="20"/>
          <w:color w:val="auto"/>
        </w:rPr>
      </w:pPr>
    </w:p>
    <w:p>
      <w:pPr>
        <w:jc w:val="both"/>
        <w:ind w:left="20" w:right="60"/>
        <w:spacing w:after="0" w:line="248" w:lineRule="auto"/>
        <w:rPr>
          <w:sz w:val="20"/>
          <w:szCs w:val="20"/>
          <w:color w:val="auto"/>
        </w:rPr>
      </w:pPr>
      <w:r>
        <w:rPr>
          <w:rFonts w:ascii="Times New Roman" w:cs="Times New Roman" w:eastAsia="Times New Roman" w:hAnsi="Times New Roman"/>
          <w:sz w:val="18"/>
          <w:szCs w:val="18"/>
          <w:color w:val="auto"/>
        </w:rPr>
        <w:t>We have only a limited sales and marketing infrastructure and have no experience in the sale, marketing or distribution of pharmaceutical products. To achieve commercial success for any product candidate for which we may obtain marketing approval in the United States, we will need to enter into collaborations with one or more parties or establish our own sales and marketing organization. While we entered into the AZSTARYS License Agreement to establish a collaboration for the commercialization of AZSTARYS and any of our product candidates which are subject to such agreement, and we entered into the APADAZ License Agreement to establish a collaboration for the commercialization of APADAZ, we may not choose to enter into a collaboration for any future approved product. Should we decide to establish our own sales, marketing and distribution capabilities, we would encounter a number of risks.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217" w:lineRule="exact"/>
        <w:rPr>
          <w:sz w:val="20"/>
          <w:szCs w:val="20"/>
          <w:color w:val="auto"/>
        </w:rPr>
      </w:pPr>
    </w:p>
    <w:p>
      <w:pPr>
        <w:ind w:left="480" w:hanging="229"/>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access government and commercial health plan formularies or secure preferred coverage and adequate reimbursement levels;</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achieve adequate numbers of physicians to prescribe any future prodrug products;</w:t>
      </w:r>
    </w:p>
    <w:p>
      <w:pPr>
        <w:spacing w:after="0" w:line="217" w:lineRule="exact"/>
        <w:rPr>
          <w:rFonts w:ascii="Times New Roman" w:cs="Times New Roman" w:eastAsia="Times New Roman" w:hAnsi="Times New Roman"/>
          <w:sz w:val="18"/>
          <w:szCs w:val="18"/>
          <w:color w:val="auto"/>
        </w:rPr>
      </w:pPr>
    </w:p>
    <w:p>
      <w:pPr>
        <w:ind w:left="480" w:right="60" w:hanging="229"/>
        <w:spacing w:after="0" w:line="274" w:lineRule="auto"/>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w:t>
      </w:r>
    </w:p>
    <w:p>
      <w:pPr>
        <w:spacing w:after="0" w:line="163"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personnel, including sales personnel, failing to comply with applicable legal requirements; and</w:t>
      </w:r>
    </w:p>
    <w:p>
      <w:pPr>
        <w:spacing w:after="0" w:line="217" w:lineRule="exact"/>
        <w:rPr>
          <w:rFonts w:ascii="Times New Roman" w:cs="Times New Roman" w:eastAsia="Times New Roman" w:hAnsi="Times New Roman"/>
          <w:sz w:val="18"/>
          <w:szCs w:val="18"/>
          <w:color w:val="auto"/>
        </w:rPr>
      </w:pPr>
    </w:p>
    <w:p>
      <w:pPr>
        <w:ind w:left="480" w:right="60" w:hanging="229"/>
        <w:spacing w:after="0" w:line="274" w:lineRule="auto"/>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maintaining compliance with the FDA’s marketing and promotional requirements, including ongoing training and monitoring, as well as unforeseen costs and expenses associated with creating an independent sales and marketing organization.</w:t>
      </w:r>
    </w:p>
    <w:p>
      <w:pPr>
        <w:spacing w:after="0" w:line="163" w:lineRule="exact"/>
        <w:rPr>
          <w:sz w:val="20"/>
          <w:szCs w:val="20"/>
          <w:color w:val="auto"/>
        </w:rPr>
      </w:pPr>
    </w:p>
    <w:p>
      <w:pPr>
        <w:jc w:val="both"/>
        <w:ind w:left="20" w:right="60"/>
        <w:spacing w:after="0" w:line="249" w:lineRule="auto"/>
        <w:rPr>
          <w:sz w:val="20"/>
          <w:szCs w:val="20"/>
          <w:color w:val="auto"/>
        </w:rPr>
      </w:pPr>
      <w:r>
        <w:rPr>
          <w:rFonts w:ascii="Times New Roman" w:cs="Times New Roman" w:eastAsia="Times New Roman" w:hAnsi="Times New Roman"/>
          <w:sz w:val="18"/>
          <w:szCs w:val="18"/>
          <w:color w:val="auto"/>
        </w:rPr>
        <w:t>If we decide not to or are unable to establish our own sales, marketing and distribution capabilities and, instead, enter into arrangements with third parties to perform these services, our product revenue and our profitability, if any, are likely to be lower than if we were to sell, market and distribute any product candidates that we develop ourselves. In addition, we may not be successful in entering into arrangements with third parties to sell, market and distribute our product candidates in the future, or may be unable to do so on terms that are favorable to us. We likely will have little control over such third parties, including Corium and KVK, and any of them may fail to devote the necessary resources and attention to sell and market our approved products, or any of our product candidates, if approved, effectively. Further, we may be liable for conduct of third parties, including Corium and KVK, acting on our behalf, including failure to comply with legal requirements applicable to sales and marketing of our product or product candidates, if approved. If we do not establish sales, marketing and distribution capabilities successfully, either on our own or in collaboration with third parties, we will not be successful in commercializing our approved products, or any of our product candidates, if approved.</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20"/>
          </w:cols>
          <w:pgMar w:left="300" w:top="121" w:right="2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approved products, or any of our product candidates that may receive marketing approval, may fail to achieve the degree of market acceptance by physicians, patients, third-party payors and others in the medical community necessary for commercial success.</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approved products, or any of our product candidates that may receive marketing approval, may fail to gain sufficient market acceptance by physicians, patients, third-party payors and others in the medical community. If our approved products, or any of our product candidates, if approved for commercial sale, do not achieve an adequate level of market acceptance, they may not generate significant product revenue and we may not become profitable. For instance, under the APADAZ License Agreement, we are entitled to milestone and royalty payments only if APADAZ sales in the United States are above specified levels. If APADAZ does not achieve an adequate level of market acceptance, it is unlikely that sales will satisfy these thresholds and we may not be entitled to any payments under the APADAZ License Agreement. Additionally, the commercialization strategy under the APADAZ License Agreement is novel and untested, and, even if successful we expect that the pricing for any sales of APADAZ will be at or near the prices of currently available generic equivalent drugs. Accordingly, we expect that APADAZ will need to achieve broad market acceptance in order for this strategy to be successful. The degree of market acceptance of our approved products, or any of our product candidates if approved for commercial sale, will depend on a number of factors, including:</w:t>
      </w:r>
    </w:p>
    <w:p>
      <w:pPr>
        <w:spacing w:after="0" w:line="177" w:lineRule="exact"/>
        <w:rPr>
          <w:sz w:val="20"/>
          <w:szCs w:val="20"/>
          <w:color w:val="auto"/>
        </w:rPr>
      </w:pPr>
    </w:p>
    <w:p>
      <w:pPr>
        <w:ind w:left="460" w:hanging="229"/>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 including less expensive generic treatments;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differentiating claims in the labels for most of our product candidates;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prodrug products for sale at competitive prices;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that prescribers and dispensers must take, since our approved products are, and we expect that most of our product candidates are likely going to be considered controlled substances, as well as the perceived risks based upon their controlled substance status;</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product in sufficient quantities and yields;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or willingness of patients to pay out of pocket in the absence of third-party coverage;</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unfavorable publicity;</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sale or distribution of our approved products or any of our product candidates, including through REMS; and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prodrug products together with other medications.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We face substantial competition, which may result in others discovering, developing or commercializing products before or more successfully than we do.</w:t>
      </w:r>
    </w:p>
    <w:p>
      <w:pPr>
        <w:spacing w:after="0" w:line="233" w:lineRule="exact"/>
        <w:rPr>
          <w:sz w:val="20"/>
          <w:szCs w:val="20"/>
          <w:color w:val="auto"/>
        </w:rPr>
      </w:pPr>
    </w:p>
    <w:p>
      <w:pPr>
        <w:jc w:val="both"/>
        <w:ind w:left="20" w:right="100"/>
        <w:spacing w:after="0" w:line="252" w:lineRule="auto"/>
        <w:rPr>
          <w:sz w:val="20"/>
          <w:szCs w:val="20"/>
          <w:color w:val="auto"/>
        </w:rPr>
      </w:pPr>
      <w:r>
        <w:rPr>
          <w:rFonts w:ascii="Times New Roman" w:cs="Times New Roman" w:eastAsia="Times New Roman" w:hAnsi="Times New Roman"/>
          <w:sz w:val="18"/>
          <w:szCs w:val="18"/>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w:t>
      </w:r>
    </w:p>
    <w:p>
      <w:pPr>
        <w:spacing w:after="0" w:line="185" w:lineRule="exact"/>
        <w:rPr>
          <w:sz w:val="20"/>
          <w:szCs w:val="20"/>
          <w:color w:val="auto"/>
        </w:rPr>
      </w:pPr>
    </w:p>
    <w:p>
      <w:pPr>
        <w:jc w:val="both"/>
        <w:ind w:left="20" w:right="100"/>
        <w:spacing w:after="0" w:line="255" w:lineRule="auto"/>
        <w:rPr>
          <w:sz w:val="20"/>
          <w:szCs w:val="20"/>
          <w:color w:val="auto"/>
        </w:rPr>
      </w:pPr>
      <w:r>
        <w:rPr>
          <w:rFonts w:ascii="Times New Roman" w:cs="Times New Roman" w:eastAsia="Times New Roman" w:hAnsi="Times New Roman"/>
          <w:sz w:val="18"/>
          <w:szCs w:val="18"/>
          <w:color w:val="auto"/>
        </w:rPr>
        <w:t>Currently, there are no approved drugs in the United States for the treatment of NPC. We consider our most direct competitor with respect to arimoclomol to be Zavesca (miglustat), which was originally developed by Actelion Pharmaceuticals and is now owned by Johnson &amp; Johnson. Miglustat is currently approved for the treatment of NPC in Europe, Canada, Australia, New Zealand, and several countries in Asia and South America as Zavesca and in Japan as Brazaves.</w:t>
      </w:r>
    </w:p>
    <w:p>
      <w:pPr>
        <w:spacing w:after="0" w:line="180"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If approved, we intend for KP1077 to compete against Jazz Pharmaceuticals’ XYWAV, and potentially with other products that are currently in development for the treatment of IH, including Harmony Biosciences’ WAKIX. KP1077 could face potential competition from any products for the treatment of IH that are currently in or which may enter into clinical development.</w:t>
      </w:r>
    </w:p>
    <w:p>
      <w:pPr>
        <w:spacing w:after="0" w:line="1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Currently, there are no approved drugs in the United States for the treatment of SUD. If approved, KP879 will face potential competition from any products fo the treatment of SUD that are currently in, or which may enter into, clinical development</w:t>
      </w:r>
      <w:r>
        <w:rPr>
          <w:rFonts w:ascii="Times New Roman" w:cs="Times New Roman" w:eastAsia="Times New Roman" w:hAnsi="Times New Roman"/>
          <w:sz w:val="18"/>
          <w:szCs w:val="18"/>
          <w:u w:val="single" w:color="auto"/>
          <w:color w:val="auto"/>
        </w:rPr>
        <w:t>.</w:t>
      </w:r>
    </w:p>
    <w:p>
      <w:pPr>
        <w:spacing w:after="0" w:line="163" w:lineRule="exact"/>
        <w:rPr>
          <w:sz w:val="20"/>
          <w:szCs w:val="20"/>
          <w:color w:val="auto"/>
        </w:rPr>
      </w:pPr>
    </w:p>
    <w:p>
      <w:pPr>
        <w:jc w:val="both"/>
        <w:ind w:left="20" w:right="100"/>
        <w:spacing w:after="0" w:line="251" w:lineRule="auto"/>
        <w:rPr>
          <w:sz w:val="20"/>
          <w:szCs w:val="20"/>
          <w:color w:val="auto"/>
        </w:rPr>
      </w:pPr>
      <w:r>
        <w:rPr>
          <w:rFonts w:ascii="Times New Roman" w:cs="Times New Roman" w:eastAsia="Times New Roman" w:hAnsi="Times New Roman"/>
          <w:sz w:val="18"/>
          <w:szCs w:val="18"/>
          <w:color w:val="auto"/>
        </w:rPr>
        <w:t>AZSTARYS currently competes against currently marketed, branded and generic methylphenidate products for the treatment of ADHD. Some of these currently marketed products include Janssen’s CONCERTA, Supernus' QUELBREE, Tris Pharma’s QUILLIVANT XR and QUILLICHEW ER, Novartis’ RITALIN, FOCALIN and FOCALIN XR, UCB’s METADATE CD, Noven’s DAYTRANA, Neos Therapeutics’ CONTEMPLA XR-ODT, Ironshore Pharmaceuticals, Inc.’s JORNAY PM and Adlon Therapeutics’ ADHANSIA XR, in addition to multiple other branded and generic methylphenidate products. In addition, AZSTARYS will face potential competition from any other methylphenidate products for the treatment of ADHD that are currently in or which may enter into clinical development.</w:t>
      </w:r>
    </w:p>
    <w:p>
      <w:pPr>
        <w:spacing w:after="0" w:line="185" w:lineRule="exact"/>
        <w:rPr>
          <w:sz w:val="20"/>
          <w:szCs w:val="20"/>
          <w:color w:val="auto"/>
        </w:rPr>
      </w:pPr>
    </w:p>
    <w:p>
      <w:pPr>
        <w:jc w:val="both"/>
        <w:ind w:left="20" w:right="100"/>
        <w:spacing w:after="0" w:line="255" w:lineRule="auto"/>
        <w:rPr>
          <w:sz w:val="20"/>
          <w:szCs w:val="20"/>
          <w:color w:val="auto"/>
        </w:rPr>
      </w:pPr>
      <w:r>
        <w:rPr>
          <w:rFonts w:ascii="Times New Roman" w:cs="Times New Roman" w:eastAsia="Times New Roman" w:hAnsi="Times New Roman"/>
          <w:sz w:val="18"/>
          <w:szCs w:val="18"/>
          <w:color w:val="auto"/>
        </w:rPr>
        <w:t>APADAZ competes against currently marketed, branded and generic hydrocodone/APAP products for short-term (no more than 14 days) management of acute pain severe enough to require an opioid analgesic and for which alternative treatments are inadequate. In addition, APADAZ may face potential competition from any other hydrocodone/APAP products for short-term (no more than 14 days) management of acute pain severe enough to require an opioid analgesic and for which alternative treatments are inadequate that are currently in or which may enter into clinical development.</w:t>
      </w:r>
    </w:p>
    <w:p>
      <w:pPr>
        <w:spacing w:after="0" w:line="180" w:lineRule="exact"/>
        <w:rPr>
          <w:sz w:val="20"/>
          <w:szCs w:val="20"/>
          <w:color w:val="auto"/>
        </w:rPr>
      </w:pPr>
    </w:p>
    <w:p>
      <w:pPr>
        <w:jc w:val="both"/>
        <w:ind w:left="20" w:right="100"/>
        <w:spacing w:after="0" w:line="271" w:lineRule="auto"/>
        <w:rPr>
          <w:sz w:val="20"/>
          <w:szCs w:val="20"/>
          <w:color w:val="auto"/>
        </w:rPr>
      </w:pPr>
      <w:r>
        <w:rPr>
          <w:rFonts w:ascii="Times New Roman" w:cs="Times New Roman" w:eastAsia="Times New Roman" w:hAnsi="Times New Roman"/>
          <w:sz w:val="17"/>
          <w:szCs w:val="17"/>
          <w:color w:val="auto"/>
        </w:rPr>
        <w:t>Many of our potential competitors have substantially greater financial, technical and human resources than we do, as well as more experience in the development of product candidates, obtaining FDA and other regulatory approvals of products and the commercialization of those products. Consequently, our competitors may develop products for indications we are pursuing or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patient enrollment in clinical trials.</w:t>
      </w:r>
    </w:p>
    <w:p>
      <w:pPr>
        <w:spacing w:after="0" w:line="168" w:lineRule="exact"/>
        <w:rPr>
          <w:sz w:val="20"/>
          <w:szCs w:val="20"/>
          <w:color w:val="auto"/>
        </w:rPr>
      </w:pPr>
    </w:p>
    <w:p>
      <w:pPr>
        <w:jc w:val="both"/>
        <w:ind w:left="20" w:right="100"/>
        <w:spacing w:after="0" w:line="255" w:lineRule="auto"/>
        <w:rPr>
          <w:sz w:val="20"/>
          <w:szCs w:val="20"/>
          <w:color w:val="auto"/>
        </w:rPr>
      </w:pPr>
      <w:r>
        <w:rPr>
          <w:rFonts w:ascii="Times New Roman" w:cs="Times New Roman" w:eastAsia="Times New Roman" w:hAnsi="Times New Roman"/>
          <w:sz w:val="18"/>
          <w:szCs w:val="18"/>
          <w:color w:val="auto"/>
        </w:rPr>
        <w:t>Our competitors also may obtain FDA or other regulatory approval for their product candidates more rapidly than we may obtain approval for ours, which could result in our competitors establishing a strong market position before we are able to enter the market. If the competitor’s product were similar to our product candidates, we may be required to seek approval via alternative pathways, such as the ANDA, which is used for the development of generic drug products. We may also be blocked from product marketing by periods of patent protection or regulatory exclusivity.</w:t>
      </w:r>
    </w:p>
    <w:p>
      <w:pPr>
        <w:spacing w:after="0" w:line="180" w:lineRule="exact"/>
        <w:rPr>
          <w:sz w:val="20"/>
          <w:szCs w:val="20"/>
          <w:color w:val="auto"/>
        </w:rPr>
      </w:pPr>
    </w:p>
    <w:p>
      <w:pPr>
        <w:jc w:val="both"/>
        <w:ind w:left="20" w:right="100"/>
        <w:spacing w:after="0" w:line="255" w:lineRule="auto"/>
        <w:rPr>
          <w:sz w:val="20"/>
          <w:szCs w:val="20"/>
          <w:color w:val="auto"/>
        </w:rPr>
      </w:pPr>
      <w:r>
        <w:rPr>
          <w:rFonts w:ascii="Times New Roman" w:cs="Times New Roman" w:eastAsia="Times New Roman" w:hAnsi="Times New Roman"/>
          <w:sz w:val="18"/>
          <w:szCs w:val="18"/>
          <w:color w:val="auto"/>
        </w:rPr>
        <w:t>In addition, our ability to compete may be affected in many cases by insurers or other third-party payors seeking to encourage the use of generic drugs or giving drugs with improved attributes sufficient weight in a comparative clinical cost effectiveness analysis. For some of the indications that we are pursuing, drugs used off-label serve as cheaper alternatives to our product candidates. Their lower prices could result in significant pricing pressure, even if our product candidates are otherwise viewed as a preferable therapy. Additional drugs may become available on a generic basis over the coming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Consequently, our competitors may develop products for the treatment of ADHD, pain or for other indications we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subject enrollment in clinical trials.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either five-year FDA regulatory exclusivity as a new chemical entity or three-year FDA regulatory exclusivity.</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FDA provides periods of regulatory exclusivity following their approval of an NDA, which provide the holder of an approved NDA limited protection from new competition in the marketplace for the innovation represented by its approved drug. Five-year exclusivity precludes approval of 505(b)(2) applications or ANDAs by delaying the submission or approval of the application, while three-year exclusivity precludes the approval of the application. We intend to seek new chemical entity, or NCE, status for any of our prodrug product candidates as appropriate. Five years of exclusivity are available to NCEs following the approval of an NDA by the FDA. An NCE is a drug that contains no active moiety that has been approved by the FDA in any other NDA. 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were essential to the approval of the application and were conducted or sponsored by the applicant.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a risk that the FDA may disagree with any claim that we may make that any of our prodrug product candidates are NCEs and therefore entitled to five-year exclusivity. The FDA may also take the view that the studies that we are conducting are not clinical trials, other than bioavailability and bioequivalence studies, that are essential to approval and therefore do not support three-year exclusivity. Further, to the extent that the basis for exclusivity is not clear, the FDA may determine to defer a decision until it receives an application which necessitates a decision.</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we do obtain either five or three years of exclusivity, such exclusivity will not block all potential competitors from the market. Competitors may be able to obtain approval for similar products with different forms of competitive differentiating mechanisms or may be able to obtain approval for similar products without a competitive differentiating mechanism.</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Even if we or our collaborators are able to commercialize our approved products, or any of our product candidates, if approved, they may be subject to unfavorable pricing regulations, third-party coverage and reimbursement policies.</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successful commercialization of our approved products, and any of our product candidates for which marketing approval is obtained will depend, in part, on the extent to which coverage and adequate reimbursement for AZSTARYS, APADAZ, or any of our product candidates for which marketing approval is obtained, will be available from government payor programs at the federal and state levels, including Medicare and Medicaid, private health insurers and managed care plans and other third-party payors. Government authorities and other third-party payors decide which medical products they will pay for and establish reimbursement levels, including co-payments. A trend in the U.S. healthcare industry and elsewhere is cost containment. Government authorities and other third-party payors have attempted to control costs by limiting coverage and the amount of reimbursement for particular medical products. Increasingly, third-party payors are requiring that drug companies provide them with predetermined discounts from list prices and are challenging the prices charged for drugs and products. Coverage and reimbursement may not be available for any product that we commercialize and, even if these are available, the level of reimbursement may not be satisfactory. Inadequate reimbursement levels may adversely affect the demand for, or the price of, our approved products, or any of our product candidates for which we obtain marketing approval. Obtaining and maintaining adequate reimbursement for our prodrug products may be difficult. We may be required to conduct expensive pharmacoeconomic studies to justify coverage and reimbursement or the level of reimbursement relative to other therapies. Moreover, the trend has been for government and commercial health plans and their pharmacy benefit managers to commoditize drug products through therapeutic equivalence determinations, making formulary decisions based on cost. If coverage and adequate reimbursement are not available or reimbursement is available only at limited levels, we may not be able to successfully commercialize our approved products, or commercialize any of our product candidates for which marketing approval is obtained.</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prodrug products,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prodrug products, if applicable, may also not be sufficient to cover our costs and may not be made permanent. Reimbursement rates may vary according to the use of the product and the clinical setting in which it is used, may be based on reimbursement levels already set for lower cost drugs and may be incorporated into existing payments for other services. Net prices for prodrug products may be reduced by mandatory discounts or rebates required by government healthcare programs or private payors and by any future relaxation of laws that presently restrict imports of drugs from countries where they may be sold at lower prices than in the United States. Private third-party payors often rely upon Medicare coverage policy and payment limitations in setting their own reimbursement policies. Except for certain government health care programs, such as the Department of Defense’s TRICARE Uniform Formulary, no uniform policy requirement for coverage and reimbursement for drug products exists among third-party payors in the United States. Even state Medicaid programs have their own preferred drug lists that may disadvantage non-preferred brand drugs.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inability to promptly obtain coverage and adequate reimbursement rates from both government-funded and private payors for any approved prodrug products that we develop could significantly harm our operating results, our ability to raise capital needed to commercialize prodrugs and our overall financial condition.</w:t>
      </w:r>
    </w:p>
    <w:p>
      <w:pPr>
        <w:spacing w:after="0" w:line="1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 able to be generated from the sale of the product in that country. Adverse pricing limitations may hinder our ability to recoup our investment in one or more product candidates, even if our product candidates obtain marketing approval.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There can be no assurance that our approved products, or any of our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the ability to sell our approved products, or our ability to sell any of any of our product candidates profitably if they are approved for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enforcement action if we engage in improper marketing or promotion of our products.</w:t>
      </w:r>
    </w:p>
    <w:p>
      <w:pPr>
        <w:spacing w:after="0" w:line="221"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The FDA closely regulates promotional materials and other promotional activities. Even if the FDA initially approves product labeling that includes a description of our improved attribute claims, the FDA may object to our marketing claims and product advertising campaigns. Failure to comply with the FDA’s promotional, marketing and advertising laws and regulations could lead to the issuance of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 Any of these consequences would harm the commercial success of our products.</w:t>
      </w:r>
    </w:p>
    <w:p>
      <w:pPr>
        <w:spacing w:after="0" w:line="187" w:lineRule="exact"/>
        <w:rPr>
          <w:sz w:val="20"/>
          <w:szCs w:val="20"/>
          <w:color w:val="auto"/>
        </w:rPr>
      </w:pPr>
    </w:p>
    <w:p>
      <w:pPr>
        <w:jc w:val="both"/>
        <w:ind w:left="20"/>
        <w:spacing w:after="0" w:line="247" w:lineRule="auto"/>
        <w:rPr>
          <w:sz w:val="20"/>
          <w:szCs w:val="20"/>
          <w:color w:val="auto"/>
        </w:rPr>
      </w:pPr>
      <w:r>
        <w:rPr>
          <w:rFonts w:ascii="Times New Roman" w:cs="Times New Roman" w:eastAsia="Times New Roman" w:hAnsi="Times New Roman"/>
          <w:sz w:val="18"/>
          <w:szCs w:val="18"/>
          <w:color w:val="auto"/>
        </w:rPr>
        <w:t>Further, our promotional materials, statements and training methods must comply with the FDA’s prohibition of the promotion of unapproved, or off-label, use. Any regulatory approval that the FDA grants is limited to those specific diseases and indications for which a product is deemed to be safe and effective by FDA. For example, the FDA-approved label for AZSTARYS is limited to the acute treatment of ADHD in patients 6 years of age and older, and the FDA-approved label for APADAZ is limited to the short-term (no more than 14 days) management of acute pain severe enough to require an opioid analgesic and for which alternative treatments are inadequate. Physicians may use our products off-label, as the FDA does not restrict or regulate a physician’s independent choice of treatment within the practice of medicine. However, if the FDA determines that our promotional materials, statements or training constitutes promotion of an off-label use, it could request that we modify our promotional materials, statements or training methods or subject us to regulatory or enforcement actions, such as the issuance of an untitled letter, a warning letter, injunction, seizure, civil fine, disgorgement of money, operating restrictions or criminal penalties. We may also be subject to actions by other governmental entities or private parties, such as the False Claims Act, civil whistleblower or “qui tam” actions. It is also possible that other federal, state or foreign enforcement authorities might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In addition, the off-label use of our products may increase the risk of product liability claims. Product liability claims are expensive to defend and could divert our management’s attention, result in substantial damage awards against us and harm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our approved products, or any of our product candidates that we may develop.</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as our approved products, and any of our product candidates that may be approved in the future, are commercialized. This includes the risk that our products may be misused. For example, our approved products do, and we anticipate that any of our product candidates we may choose to develop in the future, if approved, may carry, a boxed warning regarding lethality if our oral tablets or capsules are prepared for injection and hepatotoxicity, as is commonly done by abusers of opioids. If we cannot successfully defend ourselves against claims that our product candidates or products caused injuries, we will incur substantial liabilities on behalf of ourselves. Regardless of merit or eventual outcome, liability claims may result in:</w:t>
      </w:r>
    </w:p>
    <w:p>
      <w:pPr>
        <w:spacing w:after="0" w:line="185" w:lineRule="exact"/>
        <w:rPr>
          <w:sz w:val="20"/>
          <w:szCs w:val="20"/>
          <w:color w:val="auto"/>
        </w:rPr>
      </w:pPr>
    </w:p>
    <w:p>
      <w:pPr>
        <w:ind w:left="460" w:hanging="229"/>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approved products, and any of our product candidates that we may develop;</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revisions and marketing or promotional restrictions;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any of our approved products, or any of our product candidates that might be approved in the future.</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upon commencement of commercialization of any product approved in the future. Insurance coverage is increasingly expensive. We may not be able to maintain insurance coverage at a reasonable cost or in an amount adequate to satisfy any liability that may arise.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engage in significant cross-border activities, and we will be subject to risks related to international operations, including:</w:t>
      </w:r>
    </w:p>
    <w:p>
      <w:pPr>
        <w:spacing w:after="0" w:line="217" w:lineRule="exact"/>
        <w:rPr>
          <w:sz w:val="20"/>
          <w:szCs w:val="20"/>
          <w:color w:val="auto"/>
        </w:rPr>
      </w:pPr>
    </w:p>
    <w:p>
      <w:pPr>
        <w:ind w:left="460" w:hanging="229"/>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maintaining approval of drugs in foreign countries;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contractual and intellectual property rights in some countries;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labor shortages, supply chain shortages, or other economic or political uncertainties or instability in particular foreign economies and markets;</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restrictions on privacy and the collection and use of patient and clinical trial participant data; and</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21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approved products, and any of our other product candidates from being marketed abroad.</w:t>
      </w:r>
    </w:p>
    <w:p>
      <w:pPr>
        <w:spacing w:after="0" w:line="160" w:lineRule="exact"/>
        <w:rPr>
          <w:sz w:val="20"/>
          <w:szCs w:val="20"/>
          <w:color w:val="auto"/>
        </w:rPr>
      </w:pPr>
    </w:p>
    <w:p>
      <w:pPr>
        <w:jc w:val="both"/>
        <w:ind w:left="20" w:right="100"/>
        <w:spacing w:after="0" w:line="249"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183" w:lineRule="exact"/>
        <w:rPr>
          <w:sz w:val="20"/>
          <w:szCs w:val="20"/>
          <w:color w:val="auto"/>
        </w:rPr>
      </w:pPr>
    </w:p>
    <w:p>
      <w:pPr>
        <w:ind w:left="20" w:right="6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approved products and any of our product candidates, if approved, internationally, could affect our business.</w:t>
      </w:r>
    </w:p>
    <w:p>
      <w:pPr>
        <w:spacing w:after="0" w:line="160" w:lineRule="exact"/>
        <w:rPr>
          <w:sz w:val="20"/>
          <w:szCs w:val="20"/>
          <w:color w:val="auto"/>
        </w:rPr>
      </w:pPr>
    </w:p>
    <w:p>
      <w:pPr>
        <w:ind w:left="20" w:right="100"/>
        <w:spacing w:after="0" w:line="274" w:lineRule="auto"/>
        <w:rPr>
          <w:sz w:val="20"/>
          <w:szCs w:val="20"/>
          <w:color w:val="auto"/>
        </w:rPr>
      </w:pPr>
      <w:r>
        <w:rPr>
          <w:rFonts w:ascii="Times New Roman" w:cs="Times New Roman" w:eastAsia="Times New Roman" w:hAnsi="Times New Roman"/>
          <w:sz w:val="18"/>
          <w:szCs w:val="18"/>
          <w:color w:val="auto"/>
        </w:rPr>
        <w:t>We may seek regulatory approval for our approved products and any of our product candidates, if approved, outside of the United States and, accordingly, we expect that we will be subject to additional risks related to operating in foreign countries if we obtain the necessary approvals, including:</w:t>
      </w:r>
    </w:p>
    <w:p>
      <w:pPr>
        <w:spacing w:after="0" w:line="163" w:lineRule="exact"/>
        <w:rPr>
          <w:sz w:val="20"/>
          <w:szCs w:val="20"/>
          <w:color w:val="auto"/>
        </w:rPr>
      </w:pPr>
    </w:p>
    <w:p>
      <w:pPr>
        <w:ind w:left="480" w:hanging="229"/>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217" w:lineRule="exact"/>
        <w:rPr>
          <w:rFonts w:ascii="Times New Roman" w:cs="Times New Roman" w:eastAsia="Times New Roman" w:hAnsi="Times New Roman"/>
          <w:sz w:val="18"/>
          <w:szCs w:val="18"/>
          <w:color w:val="auto"/>
        </w:rPr>
      </w:pPr>
    </w:p>
    <w:p>
      <w:pPr>
        <w:ind w:left="480" w:right="100" w:hanging="229"/>
        <w:spacing w:after="0" w:line="274" w:lineRule="auto"/>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63"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217" w:lineRule="exact"/>
        <w:rPr>
          <w:rFonts w:ascii="Times New Roman" w:cs="Times New Roman" w:eastAsia="Times New Roman" w:hAnsi="Times New Roman"/>
          <w:sz w:val="18"/>
          <w:szCs w:val="18"/>
          <w:color w:val="auto"/>
        </w:rPr>
      </w:pPr>
    </w:p>
    <w:p>
      <w:pPr>
        <w:ind w:left="480" w:right="100" w:hanging="229"/>
        <w:spacing w:after="0" w:line="274" w:lineRule="auto"/>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labor shortages, supply chain shortages, or other economic or political uncertainties or instability in particular foreign economies and markets;</w:t>
      </w:r>
    </w:p>
    <w:p>
      <w:pPr>
        <w:spacing w:after="0" w:line="163"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17" w:lineRule="exact"/>
        <w:rPr>
          <w:rFonts w:ascii="Times New Roman" w:cs="Times New Roman" w:eastAsia="Times New Roman" w:hAnsi="Times New Roman"/>
          <w:sz w:val="18"/>
          <w:szCs w:val="18"/>
          <w:color w:val="auto"/>
        </w:rPr>
      </w:pPr>
    </w:p>
    <w:p>
      <w:pPr>
        <w:ind w:left="480" w:right="100" w:hanging="229"/>
        <w:spacing w:after="0" w:line="274" w:lineRule="auto"/>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163"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217" w:lineRule="exact"/>
        <w:rPr>
          <w:rFonts w:ascii="Times New Roman" w:cs="Times New Roman" w:eastAsia="Times New Roman" w:hAnsi="Times New Roman"/>
          <w:sz w:val="18"/>
          <w:szCs w:val="18"/>
          <w:color w:val="auto"/>
        </w:rPr>
      </w:pPr>
    </w:p>
    <w:p>
      <w:pPr>
        <w:ind w:left="480" w:right="100" w:hanging="229"/>
        <w:spacing w:after="0" w:line="274" w:lineRule="auto"/>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3"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current situation with Ukraine and Russia.</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These and other risks associated with our international operations may compromise our ability to achieve or maintain profitability.</w:t>
      </w:r>
    </w:p>
    <w:p>
      <w:pPr>
        <w:spacing w:after="0" w:line="2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approved products are, and any of our product candidates for which we obtain marketing approval will remain subject to significant post-marketin regulatory requirements and oversight.</w:t>
      </w:r>
    </w:p>
    <w:p>
      <w:pPr>
        <w:spacing w:after="0" w:line="160" w:lineRule="exact"/>
        <w:rPr>
          <w:sz w:val="20"/>
          <w:szCs w:val="20"/>
          <w:color w:val="auto"/>
        </w:rPr>
      </w:pPr>
    </w:p>
    <w:p>
      <w:pPr>
        <w:jc w:val="both"/>
        <w:ind w:left="20" w:right="60"/>
        <w:spacing w:after="0" w:line="255" w:lineRule="auto"/>
        <w:rPr>
          <w:sz w:val="20"/>
          <w:szCs w:val="20"/>
          <w:color w:val="auto"/>
        </w:rPr>
      </w:pPr>
      <w:r>
        <w:rPr>
          <w:rFonts w:ascii="Times New Roman" w:cs="Times New Roman" w:eastAsia="Times New Roman" w:hAnsi="Times New Roman"/>
          <w:sz w:val="18"/>
          <w:szCs w:val="18"/>
          <w:color w:val="auto"/>
        </w:rPr>
        <w:t>Our approved products are, and any of our product candidates for which we obtain marketing approval could be, subject to significant post-marketing regulatory requirements and oversight, including the submission of reports to regulatory authorities and surveillance to monitor the safety and efficacy of the product, significant limitations related to use restrictions for specified age groups, warnings, precautions or contraindications, and burdensome post-approval study or risk management requirements.</w:t>
      </w:r>
    </w:p>
    <w:p>
      <w:pPr>
        <w:spacing w:after="0" w:line="180" w:lineRule="exact"/>
        <w:rPr>
          <w:sz w:val="20"/>
          <w:szCs w:val="20"/>
          <w:color w:val="auto"/>
        </w:rPr>
      </w:pPr>
    </w:p>
    <w:p>
      <w:pPr>
        <w:jc w:val="both"/>
        <w:ind w:left="20" w:right="60"/>
        <w:spacing w:after="0" w:line="252" w:lineRule="auto"/>
        <w:rPr>
          <w:sz w:val="20"/>
          <w:szCs w:val="20"/>
          <w:color w:val="auto"/>
        </w:rPr>
      </w:pPr>
      <w:r>
        <w:rPr>
          <w:rFonts w:ascii="Times New Roman" w:cs="Times New Roman" w:eastAsia="Times New Roman" w:hAnsi="Times New Roman"/>
          <w:sz w:val="18"/>
          <w:szCs w:val="18"/>
          <w:color w:val="auto"/>
        </w:rPr>
        <w:t>For example, we are required to conduct pediatric studies related to AZSTARYS to evaluate its safety and effectiveness for the claimed indication in pediatric patients. Under the AZSTARYS License Agreement, Corium will be responsible for these regulatory activities going forward, and we cannot guarantee they will be complied with. In addition, we are required to conduct pediatric studies related to APADAZ to evaluate its safety and effectiveness for the claimed indication in pediatric patients. Under the APADAZ License Agreement, KVK will be responsible for these regulatory activities going forward, and we cannot guarantee they will be complied with.</w:t>
      </w:r>
    </w:p>
    <w:p>
      <w:pPr>
        <w:spacing w:after="0" w:line="185" w:lineRule="exact"/>
        <w:rPr>
          <w:sz w:val="20"/>
          <w:szCs w:val="20"/>
          <w:color w:val="auto"/>
        </w:rPr>
      </w:pPr>
    </w:p>
    <w:p>
      <w:pPr>
        <w:jc w:val="both"/>
        <w:ind w:left="20" w:right="60"/>
        <w:spacing w:after="0" w:line="266" w:lineRule="auto"/>
        <w:rPr>
          <w:sz w:val="20"/>
          <w:szCs w:val="20"/>
          <w:color w:val="auto"/>
        </w:rPr>
      </w:pPr>
      <w:r>
        <w:rPr>
          <w:rFonts w:ascii="Times New Roman" w:cs="Times New Roman" w:eastAsia="Times New Roman" w:hAnsi="Times New Roman"/>
          <w:sz w:val="17"/>
          <w:szCs w:val="17"/>
          <w:color w:val="auto"/>
        </w:rPr>
        <w:t>In addition, the manufacturing processes, labeling, packaging, distribution, adverse event reporting, storage, advertising, promotion, import, export and recordkeeping for any approved drugs are subject to extensive and ongoing regulatory requirements. These requirements include submissions of safety and other post-marketing information and reports, registration and listing requirements, payment of substantial annual product and establishment fees, labeling requirements, promotional, marketing and advertising requirements, requirements related to further development, packaging, storage and distribution requirements, cGMP requirements relating to manufacturing, quality control, quality assurance and corresponding maintenance of records and documents, requirements regarding the distribution of samples to physicians and recordkeeping. If there are any modifications to the drug, including changes in indications, labeling, manufacturing processes or facilities, or new safety issues arise, a new or supplemental NDA, a post-implementation notification or other reporting may be required or requested depending on the change, which may require additional data or additional preclinical studies and clinical trials.</w:t>
      </w:r>
    </w:p>
    <w:p>
      <w:pPr>
        <w:spacing w:after="0" w:line="175" w:lineRule="exact"/>
        <w:rPr>
          <w:sz w:val="20"/>
          <w:szCs w:val="20"/>
          <w:color w:val="auto"/>
        </w:rPr>
      </w:pPr>
    </w:p>
    <w:p>
      <w:pPr>
        <w:jc w:val="both"/>
        <w:ind w:left="20" w:right="60"/>
        <w:spacing w:after="0" w:line="249" w:lineRule="auto"/>
        <w:rPr>
          <w:sz w:val="20"/>
          <w:szCs w:val="20"/>
          <w:color w:val="auto"/>
        </w:rPr>
      </w:pPr>
      <w:r>
        <w:rPr>
          <w:rFonts w:ascii="Times New Roman" w:cs="Times New Roman" w:eastAsia="Times New Roman" w:hAnsi="Times New Roman"/>
          <w:sz w:val="18"/>
          <w:szCs w:val="18"/>
          <w:color w:val="auto"/>
        </w:rPr>
        <w:t>Our approved products are, and if marketing approval of any of our product candidates is granted, such product candidates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For example, in September 2018, the FDA approved the Opioid Analgesic REMS for ER/LA and IR opioids as one strategy among multiple national and state efforts to reduce the risk of abuse, misuse, addiction, overdose, and deaths due to prescription opioid analgesics. APADAZ is subject to this REMS, and we anticipate that any of our other opioid product candidates that we may choose to develop in the future, if approved by the FDA, are likely to also be subject to a REMS requirement. In addition, the FDA may also impose requirements for costly post-marketing studies or clinical trials and surveillance to monitor the safety or efficacy of the product.</w:t>
      </w:r>
    </w:p>
    <w:p>
      <w:pPr>
        <w:spacing w:after="0" w:line="190" w:lineRule="exact"/>
        <w:rPr>
          <w:sz w:val="20"/>
          <w:szCs w:val="20"/>
          <w:color w:val="auto"/>
        </w:rPr>
      </w:pPr>
    </w:p>
    <w:p>
      <w:pPr>
        <w:jc w:val="both"/>
        <w:ind w:left="20" w:right="60"/>
        <w:spacing w:after="0" w:line="259"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APADAZ is subject to a post-marketing requirement for four deferred pediatric assessments that must be completed pursuant to the FDA’s February 2018 approval letter.</w:t>
      </w:r>
    </w:p>
    <w:p>
      <w:pPr>
        <w:spacing w:after="0" w:line="178" w:lineRule="exact"/>
        <w:rPr>
          <w:sz w:val="20"/>
          <w:szCs w:val="20"/>
          <w:color w:val="auto"/>
        </w:rPr>
      </w:pPr>
    </w:p>
    <w:p>
      <w:pPr>
        <w:jc w:val="both"/>
        <w:ind w:left="20" w:right="60"/>
        <w:spacing w:after="0" w:line="271" w:lineRule="auto"/>
        <w:rPr>
          <w:sz w:val="20"/>
          <w:szCs w:val="20"/>
          <w:color w:val="auto"/>
        </w:rPr>
      </w:pPr>
      <w:r>
        <w:rPr>
          <w:rFonts w:ascii="Times New Roman" w:cs="Times New Roman" w:eastAsia="Times New Roman" w:hAnsi="Times New Roman"/>
          <w:sz w:val="17"/>
          <w:szCs w:val="17"/>
          <w:color w:val="auto"/>
        </w:rPr>
        <w:t>Products may be approved with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 For instance, the labels for both AZSTARYS and APADAZ contain black box warnings regarding the risks of abuse and dependence, and the label for APADAZ also includes warnings regarding the risks of hepatoxicity and respiratory depression, among others.</w:t>
      </w:r>
    </w:p>
    <w:p>
      <w:pPr>
        <w:spacing w:after="0" w:line="168" w:lineRule="exact"/>
        <w:rPr>
          <w:sz w:val="20"/>
          <w:szCs w:val="20"/>
          <w:color w:val="auto"/>
        </w:rPr>
      </w:pPr>
    </w:p>
    <w:p>
      <w:pPr>
        <w:jc w:val="both"/>
        <w:ind w:left="20" w:right="60"/>
        <w:spacing w:after="0" w:line="252" w:lineRule="auto"/>
        <w:rPr>
          <w:sz w:val="20"/>
          <w:szCs w:val="20"/>
          <w:color w:val="auto"/>
        </w:rPr>
      </w:pPr>
      <w:r>
        <w:rPr>
          <w:rFonts w:ascii="Times New Roman" w:cs="Times New Roman" w:eastAsia="Times New Roman" w:hAnsi="Times New Roman"/>
          <w:sz w:val="18"/>
          <w:szCs w:val="18"/>
          <w:color w:val="auto"/>
        </w:rPr>
        <w:t>Violations of the FFDCA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20"/>
          </w:cols>
          <w:pgMar w:left="300" w:top="121" w:right="2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prodrug products, including those related to manufacturers or manufacturing processes, or failure to comply with regulatory requirements, may have negative consequences, including:</w:t>
      </w:r>
    </w:p>
    <w:p>
      <w:pPr>
        <w:spacing w:after="0" w:line="163" w:lineRule="exact"/>
        <w:rPr>
          <w:sz w:val="20"/>
          <w:szCs w:val="20"/>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inspectional findings;</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prodrug products, distribution, manufacturers or manufacturing processes;</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drug;</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warnings or other restrictions on the product’s indicated use, label, or marketing;</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safety alerts, dear-healthcare-provider letters, press releases or other communications containing warnings regarding the product;</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to establish or modify a REMS;</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to conduct post-marketing studies or surveillance;</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drug distribution or use;</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withdrawal of the prodrug products from the market;</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 and other delays;</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the suspension or termination of ongoing clinical trials;</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 or other permits or voluntary suspension of marketing;</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prodrug products;</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270"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government contracts or future orders under existing contracts, exclusion from participation in federal health care programs, and corporate integrity agreements;</w:t>
      </w:r>
    </w:p>
    <w:p>
      <w:pPr>
        <w:spacing w:after="0" w:line="189"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w:t>
      </w:r>
    </w:p>
    <w:p>
      <w:pPr>
        <w:spacing w:after="0" w:line="270"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False Claims Act liability.</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 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revenue, and could require us to expend significant time and resources in response and could generate negative publicity. In addition, the FDA’s and other regulatory authorities’ policies may change, and additional government regulations may be enacted that could impair our business.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principal investigators, CROs, consultants, commercial collaborators, contract manufacturers, service providers and other vendors may engage in misconduct or other improper activities, including non-compliance with regulatory standards and requirements.</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exposed to the risk of misconduct by employees and independent contractors, such as principal investigators, CROs, consultants, commercial collaborators, contract manufacturers, service providers and other vendors. Such misconduct could include failures to comply with FDA regulations, to provide accurate information to the FDA, to comply with manufacturing standards that we have established or that are established by regulation, to comply with federal and state contracting and healthcare fraud and abuse laws, to report drug pricing,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advertising and promotion, sales commissions,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and self-disclose credible evidence of False Claims Act violations.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warning letters, untitled letters, cyber letters, seizure or recall of products, injunctions, withdrawal of product approval or other permits, clinical holds and termination of clinical trials, FDA refusal to approve pending applications, product detentions, FDA or DEA consent decrees, restriction or suspension of manufacturing and distribution, debarment, refusal to allow product import or export, adverse publicity, refusal of government contracts or future orders under existing contracts, dear-health-care-provider letters or other warnings or corrective information, recalls, delays, significant civil, criminal and administrative penalties including False Claims Act liability, damages, monetary fines, disgorgement, restitution, possible exclusion from participation in Medicare, Medicaid and other federal healthcare programs, corporate integrity agreements, contractual damages, reputational harm, diminished profits and future earnings and curtailment or restructuring of our operations, among other consequences, any of which could adversely affect our ability to operate.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and other healthcare laws and regulations, which could expose us to penalties.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Healthcare providers and third-party payors in the United States and elsewhere play a primary role in the recommendation and prescription of our products, as well as any product candidates for which we obtain marketing approval. Our and our commercial partners' current and future arrangements with healthcare professionals, principal investigators, consultants, customers and third-party payors may expose us to broadly applicable fraud and abuse and other healthcare laws, including, without limitation, the Anti-Kickback Statute and the False Claims Act, that may constrain the business or financial arrangements and relationships through which we and our commercial partners sell, market and distribute any product candidates for which we obtain marketing approval. In addition, we may be subject to transparency laws with respect to drug pricing and transfers of value made to physicians and other healthcare professionals. The applicable federal, state and foreign healthcare laws that may affect our ability to operate include the following:</w:t>
      </w:r>
    </w:p>
    <w:p>
      <w:pPr>
        <w:spacing w:after="0" w:line="187" w:lineRule="exact"/>
        <w:rPr>
          <w:sz w:val="20"/>
          <w:szCs w:val="20"/>
          <w:color w:val="auto"/>
        </w:rPr>
      </w:pPr>
    </w:p>
    <w:p>
      <w:pPr>
        <w:jc w:val="both"/>
        <w:ind w:left="460" w:hanging="229"/>
        <w:spacing w:after="0" w:line="252"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paying remuneration, directly or indirectly, in cash or in kind, to induce or reward, or in return for, either the referral of an individual for, or the purchase, lease, order or arranging for the purchase, lease or order of, any good, facility, item or service, for which payment may be made, in whole or in part, under federal and state healthcare programs such as Medicare and Medicaid. A person or entity does not need to have actual knowledge of this statute or specific intent to violate it in order to have committed a violation;</w:t>
      </w:r>
    </w:p>
    <w:p>
      <w:pPr>
        <w:spacing w:after="0" w:line="211" w:lineRule="exact"/>
        <w:rPr>
          <w:rFonts w:ascii="Times New Roman" w:cs="Times New Roman" w:eastAsia="Times New Roman" w:hAnsi="Times New Roman"/>
          <w:sz w:val="18"/>
          <w:szCs w:val="18"/>
          <w:color w:val="auto"/>
        </w:rPr>
      </w:pPr>
    </w:p>
    <w:p>
      <w:pPr>
        <w:jc w:val="both"/>
        <w:ind w:left="460" w:hanging="229"/>
        <w:spacing w:after="0" w:line="251"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federal civil and criminal false claims laws, including the False Claims Act, which impose criminal and 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to the federal government, including the Medicare and Medicaid programs, claims for payment that are false or fraudulent or making or using a false record or statement material to a false or fraudulent claim or to avoid, decrease or conceal an obligation to pay money to the federal government, including erroneous pricing information on which mandatory rebates, discounts and reimbursement amounts are based, or in the case of the False Claims Act, for violations of the federal Anti-Kickback Statute in connection with a claim for payment or for conduct constituting reckless disregard for the truth;</w:t>
      </w:r>
    </w:p>
    <w:p>
      <w:pPr>
        <w:spacing w:after="0" w:line="211" w:lineRule="exact"/>
        <w:rPr>
          <w:rFonts w:ascii="Times New Roman" w:cs="Times New Roman" w:eastAsia="Times New Roman" w:hAnsi="Times New Roman"/>
          <w:sz w:val="18"/>
          <w:szCs w:val="18"/>
          <w:color w:val="auto"/>
        </w:rPr>
      </w:pPr>
    </w:p>
    <w:p>
      <w:pPr>
        <w:jc w:val="both"/>
        <w:ind w:left="460" w:hanging="229"/>
        <w:spacing w:after="0" w:line="259"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204" w:lineRule="exact"/>
        <w:rPr>
          <w:rFonts w:ascii="Times New Roman" w:cs="Times New Roman" w:eastAsia="Times New Roman" w:hAnsi="Times New Roman"/>
          <w:sz w:val="18"/>
          <w:szCs w:val="18"/>
          <w:color w:val="auto"/>
        </w:rPr>
      </w:pPr>
    </w:p>
    <w:p>
      <w:pPr>
        <w:jc w:val="both"/>
        <w:ind w:left="460" w:hanging="229"/>
        <w:spacing w:after="0" w:line="249"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this statute or specific intent to violate it in order to have committed a violation;</w:t>
      </w:r>
    </w:p>
    <w:p>
      <w:pPr>
        <w:spacing w:after="0" w:line="216" w:lineRule="exact"/>
        <w:rPr>
          <w:rFonts w:ascii="Times New Roman" w:cs="Times New Roman" w:eastAsia="Times New Roman" w:hAnsi="Times New Roman"/>
          <w:sz w:val="18"/>
          <w:szCs w:val="18"/>
          <w:color w:val="auto"/>
        </w:rPr>
      </w:pPr>
    </w:p>
    <w:p>
      <w:pPr>
        <w:jc w:val="both"/>
        <w:ind w:left="460" w:hanging="229"/>
        <w:spacing w:after="0" w:line="250"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impose new annual reporting requirements for manufacturers of drugs, devices, biologicals and medical supplies for which payment is available under Medicare, Medicaid or the Children’s Health Insurance Program, with certain exceptions, to annually report certain payments and transfers of value provided to physicians (defined to include doctors, dentists, optometrists, podiatrists and chiropractors), certain other healthcare professionals (physician assistants, nurse practitioners, clinical nurse specialists, certified nurse anesthetists, anesthesiologist assistants and certified nurse-midwives) and teaching hospitals, or to entities or individuals at the request of, or designated on behalf of, such providers and teaching hospitals, and to report annually certain ownership and investment interests held by physicians and their immediate family members; and</w:t>
      </w:r>
    </w:p>
    <w:p>
      <w:pPr>
        <w:spacing w:after="0" w:line="213" w:lineRule="exact"/>
        <w:rPr>
          <w:rFonts w:ascii="Times New Roman" w:cs="Times New Roman" w:eastAsia="Times New Roman" w:hAnsi="Times New Roman"/>
          <w:sz w:val="18"/>
          <w:szCs w:val="18"/>
          <w:color w:val="auto"/>
        </w:rPr>
      </w:pPr>
    </w:p>
    <w:p>
      <w:pPr>
        <w:jc w:val="both"/>
        <w:ind w:left="460" w:hanging="229"/>
        <w:spacing w:after="0" w:line="251"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certain state laws which require drug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certain state laws that require manufacturers to report information on the pricing of certain drug products; and certain state and local laws require the registration or pharmaceutical sales representatives.</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These laws may affect our and our commercial partners' sales, marketing, and other promotional activities by imposing administrative and compliance burdens on us and our commercial partners.</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or that our compliance systems are inadequate to detect and report such conduct or to report accurate pricing information to the government.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corporate integrity agreements or similar agreements to resolve allegations of non-compliance with these laws, and the curtailment or restructuring of our operations, which could significantly harm our business. If any of the physicians or other healthcare providers or entities with whom we currently, or expect to, do business, including future collaborators, is found not to be in compliance with applicable laws, they and we may be subject to significant penalties and potential exclusion from participation in healthcare programs as a result of their non-compliance.</w:t>
      </w:r>
    </w:p>
    <w:p>
      <w:pPr>
        <w:sectPr>
          <w:pgSz w:w="11900" w:h="16838" w:orient="portrait"/>
          <w:cols w:equalWidth="0" w:num="1">
            <w:col w:w="11240"/>
          </w:cols>
          <w:pgMar w:left="320" w:top="121" w:right="33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our product candidates and increase the cost to commercialize our approved products, and any of our product candidates that may be approved in the future and affect the prices thereof.</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the ability to profitably sell our approved products and our ability to profitably sell any of our product candidates for which we obtain marketing approval.</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signed into law and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product candidates are the following:</w:t>
      </w:r>
    </w:p>
    <w:p>
      <w:pPr>
        <w:spacing w:after="0" w:line="217" w:lineRule="exact"/>
        <w:rPr>
          <w:sz w:val="20"/>
          <w:szCs w:val="20"/>
          <w:color w:val="auto"/>
        </w:rPr>
      </w:pPr>
    </w:p>
    <w:p>
      <w:pPr>
        <w:ind w:left="640" w:hanging="316"/>
        <w:spacing w:after="0" w:line="27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for branded drugs and generic drugs, respectively;</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federal Anti-Kickback Statute, new government investigative powers and enhanced penalties for non-compliance;</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new and distinct methodology by which rebates owed by manufacturers under the Medicaid Drug Rebate Program are calculated for drugs that are inhaled, infused, instilled, implanted or injected;</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70% point-of-sale discounts off negotiated prices (generally as negotiated between the Medicare Part D plan and the pharmacy) of applicable brand drugs to eligible beneficiaries during their coverage gap period, as a condition for the manufacturer’s outpatient drugs to be covered under Medicare Part D;</w:t>
      </w:r>
    </w:p>
    <w:p>
      <w:pPr>
        <w:spacing w:after="0" w:line="20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 and extension of the inflation percentage applicable to existing branded drugs to new formulations for purposes of computing the inflation penalty component of Medicaid rebates;</w:t>
      </w:r>
    </w:p>
    <w:p>
      <w:pPr>
        <w:spacing w:after="0" w:line="20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27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requirements under the federal Open Payments program and its implementing regulations;</w:t>
      </w:r>
    </w:p>
    <w:p>
      <w:pPr>
        <w:spacing w:after="0" w:line="27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270"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In August 2011, the Budget Control Act of 2011, among other things, included aggregate reductions to Medicare payments to providers, which went into effect in April 2013, and, due to subsequent legislative amendments, will stay in effect through 2032, with the exception of a temporary suspension from May 1, 2020 through March 31, 2022 due to the COVID-19 pandemic, unless additional Congressional action is taken. In January 2013, the American Taxpayer Relief Act of 2012 was signed into law, which, among other things, further reduced Medicare payments to several providers, and increased the statute of limitations period for the government to recover overpayments to providers from three to five years. In addition, on March 11, 2021, the American Rescue Plan Act of 2021 was signed into law, which eliminates the statutory Medicaid drug rebate cap, currently set at 100% of a drug's average manufacturer price, beginning January 1, 2024.</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may result in additional reductions in Medicare and other healthcare funding, which could negatively impact customers for our product candidates, if approved, and, accordingly, our financial operations. It is also possible that additional governmental action is taken in response to the COVID-19 pandemic.</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expect that the healthcare reform measures that have been adopted and may be adopted in the future, may, among other things,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prodrug product candidates.</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Legislative and regulatory proposals and enacted statutes have been made to expand post-approval requirements and restrict sales and promotional activities for drugs. For instance, the Drug Supply Chain Security Act imposes obligations on manufacturers of pharmaceutical products, among others, related to product tracking and tracing. Among the requirements of this new legislation, manufacturers are required to provide specified information regarding the drug products they produce to individuals and entities to which product ownership is transferred, label drug products with a product identifier and keep specified records regarding the drug products. The transfer of information to subsequent product owners by manufacturers will eventually be required to be done electronically. Manufacturers are also required to verify that purchasers of products are appropriately licensed. Further, under this legislation, manufacturers have drug product investigation, quarantine, disposition and FDA and trading-partner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affect our revenue, if any.</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prodrug products is unavailable or limited in scope or amount, or if pricing is set at unsatisfactory levels, our business could be harmed, possibly materially.</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compromised now, or in the future, or the security, confidentiality, integrity or availability of, our information technology, software, services, communications or data is compromised, limited or fails, this could result in a material adverse impact, including without limitation, a material interruption to our operations, harm to our reputation, significant fines, penalties and liability, breach or a triggering of data protection laws, privacy policies and data protection obligations, loss of customers or sales, or material disruption of our clinical trials or other business activity.</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ordinary course of our business, we may collect, process and store proprietary, confidential and sensitive information, including personal information (including key-coded data and health information), intellectual property, trade secrets and proprietary business information owned or controlled by ourselves or other parties.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Despite the implementation of security measures, our information technology systems and data, and those of our CROs and other third parties on which we rely, are vulnerable to system failure, interruption, compromise, attack or damage from several sources, such as data corruption; breakdown; malicious human acts; malware (such as ransomware); malicious code (such as computer viruses or worms); fraudulent activity; employee misconduct, theft or error; denial-of-service attacks; public health epidemics (such as the COVID-19 pandemic); cyber-attacks by sophisticated nation-state and nation-state supported actors; natural disasters; terrorism; war (such as the current situation with Ukraine and Russia); and telecommunication and electrical failures. Our recovery systems (and those of third parties upon whom we rely) are similarly vulnerable. Any of these events could lead to the unauthorized access, disclosure and use of proprietary, confidential, or otherwise non-public information (such as personal information). The techniques used by criminal actors to attack computer systems are sophisticated, change frequently and may originate from less regulated and remote areas of the world. As a result, we may not be able to address these techniques proactively or implement adequate preventative measures. Attacks upon information technology systems are also increasing in their levels of persistence and intensity, and are being conducted by sophisticated and organized groups and individuals with a wide range of motives and expertise. As a result of the COVID-19 pandemic, and the continued hybrid working environment, we may also face increased cybersecurity risks due to our reliance on internet technology and the number of our employees who are working remotely, which may create additional opportunities for cybercriminals to exploit vulnerabilities. We may also experience security breaches that may remain undetected for an extended period. 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and potential vulnerabilities. Due to the nature of some of these threats, we may be unable to anticipate threats, and there is a risk that a threat may remain undetected for a period of time. The costs of maintaining or upgrading our cyber-security systems at the level commercially reasonable to keep up with our expanding operations and prevent against potential attacks are increasing, and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do not believe that we have experienced any significant system failure, accident or security breach to date, if we, our service providers, partners, or other relevant third parties experience any such incident that results in any data loss, deletion or destruction, unauthorized access to, loss of, acquisition or disclosure of, exposure or disclosure of sensitive information, or compromise related to the security, confidentiality, integrity or availability of our (or their) information technology, software, services, communications or data, it may result in a material adverse impact, including without limitation, fines, damages, litigation, enforcement actions, loss of trade secrets, a material disruption of our drug development programs, or other harm to our business.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liability and the further development of our product candidates could be delayed. Additionally, applicable data protection laws, privacy policies and data protection obligations (such as contractual obligations) may require us to notify relevant stakeholders of security breaches, including affected individuals, customers and regulators. Such disclosures are costly, and the disclosure or the failure to comply with such requirements, could lead to material adverse impacts, including without limitation, negative publicity, a loss of confidence in our products or operations or breach of contract claims.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failures or significant downtime of our information technology or telecommunication systems or those used by our third-party service providers could cause significant interruptions in our operations and adversely impact the confidentiality, integrity and availability of sensitive or confidential information, including preventing us from conducting clinical trials, tests or research and development activities and preventing us from managing the administrative aspects of our business.</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cannot be sure that our insurance coverage will be adequate or otherwise protect us from or adequately mitigate liabilities or damages with respect to claims, costs, expenses, litigation, fines, penalties, business loss, data loss, regulatory actions or materially adverse impacts arising out of our privacy and cybersecurity practices, processing or security breaches that we may experience, or that such coverage will continue to be available on acceptable terms at all. The successful assertion of one or more large claims against us that exceeds our available insurance coverage, or results in changes to our insurance policies (including premium increases or the imposition of a large deductible or co-insurance requirements), could have an adverse effect on our business. In addition, we cannot be sure that our existing coverage and coverage for errors and omissions will continue to be available on acceptable terms or that our insurers will not deny coverage as to any future claim.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Failure or perceived failure to comply with existing or future laws, regulations, contracts, self-regulatory schemes, policies, standards and other obligations related to data privacy or security could lead to government enforcement actions (which could include civil or criminal fines or penalties), a disruption of our clinical trials or commercialization of our products, private litigation, other liabilities, and/or adverse publicity. Compliance or the failure to comply with such obligations could increase the costs of our products, could limit their use or adoption, and could otherwise negatively affect our operating results and business.</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Regulation of data (including personal data) is evolving, as federal, state, and foreign governments continue to adopt new, or modify existing, laws and regulations addressing data privacy and security, and the collection, processing, storage, transfer, and use of data. We and our collaborators may be subject to current, new, or modified federal, state, and foreign data protection laws and regulations.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partners’ ability to offer our products or operate in certain locations, cause regulators to reject, limit, or disrupt our clinical trial activities, result in increased expenses, reduce overall demand for our products and services and make it more difficult to meet expectations of or commitments to customers or collaborators.</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govern the collection, use, disclosure, and protection of health-related and other personal information. These laws and regulations could apply to our operations, the operations of our collaborators or other relevant stakeholders upon whom we depend. In addition, we may obtain health information from third parties (including research institutions from which we may obtain clinical trial data) that are subject to privacy and security requirements under HIPAA.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be subject to civil and criminal penalties, including if we knowingly obtain, use, or disclose individually identifiable health information maintained by a HIPAA-covered entity in a manner that is not authorized or permitted by HIPAA.</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For example, the California Consumer Privacy Act of 2018, or CCPA, became effective on January 1, 2020. The CCPA gives California residents individual privacy rights, including the right to access and delete their personal information, opt out of certain personal information sharing and receive detailed information about how their personal information is used. It also provides for civil penalties for violations, as well as a private right of action and statutory damages for data breaches that has increased the likelihood of, and risks associated with, class action data breach litigation. Although there are limited exemptions for clinical trial data, the CCPA’s implementation standards and enforcement practices are likely to remain uncertain for the foreseeable future. The CCPA may increase our compliance costs and potential liability. Further, the California Privacy Rights Act, or CPRA, went into effect on January 1, 2023, and significantly amends the CCPA. The CPRA, among other things, gives California residents the ability to limit use of certain sensitive information, establish restrictions on the retention of personal information, expand the types of data breaches subject to the CCPA’s private right of action and establish a new California Privacy Protection Agency to implement and enforce the new law. Similar laws have passed in Virginia, Colorado, Connecticut, and Utah, and have been proposed in other states and at the federal level, reflecting a trend toward more stringent privacy legislation in the United States. As we expand our operations, these and similar laws may increase our compliance costs and potential liability.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Foreign data protection laws, such as the GDPR and member state data protection laws, may also apply to health-related and other personal data that we process, including personal data relating to clinical trial participants. European data protection laws impose strict obligations on the ability to process health-related and other personal data of data subjects in Europe, including standards relating to the privacy and security of personal data. For example,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Union and the United States remains uncertain. A decision by the Court of Justice of the European Union limited how organizations could lawfully transfer personal data from the European Union/EEA to the United States by invalidating the EU-U.S. Privacy Shield Framework, and raised questions about whether the European Commission’s Standard Contractual Clauses, or SCCs, one of the primary alternatives to the Privacy Shield, can lawfully be used for personal information transfers from Europe to the United States or most other countries. Similarly, the Swiss Federal Data Protection and Information Commissioner recently opined that the Swiss-U.S. Privacy Shield is inadequate for transfers of personal data from Switzerland to the U.S.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Additionally, other countries have passed or are considering passing laws requiring local data residency and/or restricting the international transfer of data.</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from January 1, 2021, companies have had to comply with the GDPR and also the UK data protection.regime, which imposes separate but similar obligations to those under the GDPR in UK national law. The UK GDPR mirrors the fines under the GDPR, i.e., fines up to the greater of €20 million (£17.5 million) or 4% of global turnover. As we continue to expand into other foreign countries and jurisdictions, we may be subject to additional laws and regulations that may affect how we conduct business.</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Failure, or perceived failure, to comply with federal, state and foreign data protection laws and regulations, privacy policies, contracts and other data protection obligations could result in government investigations and enforcement actions (which could include civil or criminal penalties, fines, or sanctions), private litigation, a diversion of management’s attention, adverse publicity and other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subjects about whom we or our collaborators obtain information, as well as the providers who share this information with us, may contractually limit our ability to use and disclose the information. Claims that we have violated individuals’ privacy rights or failed to comply with data protection laws, contracts, privacy notices or other obligations even if we are not found liable, could be expensive and time-consuming to defend and could result in adverse publicity that could harm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matters could materially adversely affect our business, financial condition, or operational results.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highly dependent on the management, research and development, clinical, financial and business development expertise of Richard W. Pascoe, our chief executive officer, R. LaDuane Clifton, CPA, our chief financial officer, Sven Guenther, Ph.D., our chief scientific officer, Christal Mickle, M.A., our chief product development officer, Joshua Schafer, our chief commercial officer and executive vice president, business development, as well as the other members of our scientific and clinical teams. Although we have employment agreements with each of our executive officers, these agreements do not obligate them to continue working for our company and they may terminate their employment with us at any time.</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Recruiting and retaining qualified scientific and clinical personnel and, if we progress the development of our product candidate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is likely to be volatile, and purchasers of our common stock could incur substantial losses.</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Since shares of our common stock were sold in our initial public offering in April 2015 at a price of $176.00 per share (adjusted to give effect to the 1-for-16 reverse stock split), our stock price has ranged from a low of $1.94 to a high of $418.40 through March 1, 2023. In addition, the stock market in general and the market for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85" w:lineRule="exact"/>
        <w:rPr>
          <w:sz w:val="20"/>
          <w:szCs w:val="20"/>
          <w:color w:val="auto"/>
        </w:rPr>
      </w:pPr>
    </w:p>
    <w:p>
      <w:pPr>
        <w:ind w:left="460" w:hanging="229"/>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our stock;</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including without limitation changes in the structure of healthcare payment systems;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pharmaceutical industry;</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announcements or determinations regarding our product candidates;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inflation, labor shortages, supply chain shortages, or other economic, political or legal uncertainties or adverse developments;</w:t>
      </w:r>
    </w:p>
    <w:p>
      <w:pPr>
        <w:spacing w:after="0" w:line="163" w:lineRule="exact"/>
        <w:rPr>
          <w:rFonts w:ascii="Times New Roman" w:cs="Times New Roman" w:eastAsia="Times New Roman" w:hAnsi="Times New Roman"/>
          <w:sz w:val="18"/>
          <w:szCs w:val="18"/>
          <w:color w:val="auto"/>
        </w:rPr>
      </w:pPr>
    </w:p>
    <w:p>
      <w:pPr>
        <w:jc w:val="both"/>
        <w:ind w:left="460" w:hanging="229"/>
        <w:spacing w:after="0" w:line="259"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terrorism and wars, such as the current situation with Ukraine and Russia, which could delay or disrupt our business, and if such political unrest escalates or spills over to or otherwise impacts additional regions it could heighten many of the other risk factors included in this Item 1A;</w:t>
      </w:r>
    </w:p>
    <w:p>
      <w:pPr>
        <w:spacing w:after="0" w:line="17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system failures and disruptions, earthquakes, hurricanes, other natural disasters, pandemics, or responses to these events;</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 and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specific stockholders.</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Many of the factors described above are not within our control. For instance, in May 2016, we announced that the Anesthetic and Analgesic Drug Products Advisory Committee and the Drug Safety and Risk Management Advisory Committee of the FDA voted 16 to 4 for the approval of APADAZ but voted 18 to 2 against inclusion of abuse-deterrent labeling for APADAZ. The announcement was followed by a substantial decrease in the trading price of our common stock on Nasdaq. Additionally, when we announced in June 2016 that the FDA had issued a CRL for the APADAZ NDA, the trading price of our common stock on Nasdaq was subject to another substantial decrease. We cannot guarantee that future announcements will not have similar effects on the trading price of our common stock.</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For instance, in December 2016, we received notice of a class action suit filed against us in the Iowa District Court in Johnson County by a stockholder alleging that we, certain of our senior executives and directors who signed the registration statement in connection with our initial public offering, and each of the investment banks that acted as underwriters for the offering negligently issued untrue statements of material facts and omitted to state material facts required to be stated in the registration statement and incorporated offering materials that we filed with the U.S. Securities and Exchange Commission, or the SEC, in support of the offering. In June 2018, the case was dismissed without prejudice to members of the putative class. Future litigation could cause us to incur substantial costs and divert management’s attention and resources from our business. Further, biotechnology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outstanding warrants are entitled to certain anti-dilution protections which, if triggered, may cause dilution to your investment.</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warrant held by OTA LLC, or the OTA Warrant, includes an exercise price protection provision, pursuant to which the exercise price of the OTA Warrant will be adjusted downward on a broad-based weighted-average basis if we issue or sell any shares of common stock, convertible securities, warrants or options at a sale or exercise price per share less than the greater of (i) $38.34 per share, which represents the OTA Warrant’s exercise price, or (ii) the closing sale price of our common stock on the last trading date immediately prior to such issuance or, in the case of a firm commitment underwritten offering, on the date of execution of the underwriting agreement between us and the underwriters for such offering. Additionally, if we effect an “at the market offering”, as defined in Rule 415 of the Securities Act, of our common stock, the exercise price of the OTA Warrant will be adjusted downward pursuant to this anti-dilution adjustment only if such sales are made at a price less than $38.34 per share, provided that this anti-dilution adjustment will not apply to certain specified sales.</w:t>
      </w:r>
    </w:p>
    <w:p>
      <w:pPr>
        <w:sectPr>
          <w:pgSz w:w="11900" w:h="16838" w:orient="portrait"/>
          <w:cols w:equalWidth="0" w:num="1">
            <w:col w:w="11240"/>
          </w:cols>
          <w:pgMar w:left="320" w:top="121" w:right="339" w:bottom="257"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257"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equity and debt could result in additional dilution to our stockholders.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may need additional capital in the future to fund our planned future operations, including to complete potential clinical trials for our product candidates. To raise capital, we may sell common stock, convertible securities or other equity securities in one or more transactions at prices and in a manner we determine from time to time.</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instance, in January 2021, we issued and sold 6,765,463 shares of our common stock, pre-funded warrants to purchase 926,844 shares of our common stock and warrants to purchase 7,692,307 shares of our common stock in the Public Offering (as defined herein). Also in January 2021, the underwriter exercised its over-allotment option, in part, for warrants to purchase 754,035 shares of our common stock. Further, in February 2021, the underwriter again exercised its over-allotment option, in part, to purchase 374,035 shares of our common stock.</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Also in January 2021, we entered into the January 2021 Inducement Letters with certain holders of the Existing Warrants, pursuant to which such holders exercised for cash their Existing Warrants to purchase 6,620,358 shares of our common stock in exchange for the January 2021 Inducement Warrants on substantially the same terms as the Existing Warrants, except as set forth in the following sentence, to purchase up to 7,944,430 shares of our common stock, which was equal to 120% of the number of shares of our common stock issued upon exercise of the Existing Warrants. The purchase price of the January 2021 Inducement Warrants was $0.125 per share underlying each January 2021 Inducement Warrant, and the January 2021 Inducement Warrants have an exercise price of $6.36 per share.</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in June 2021, we entered into the June 2021 Inducement Letters with certain holders of the January 2021 Inducement Warrants, pursuant to which such holders exercised for cash their January 2021 Inducement Warrants to purchase 6,117,509 shares of our common stock in exchange for the June 2021 Inducement Warrants on substantially the same terms as the January 2021 Inducement Warrants, except as set forth in the following sentence, to purchase up to 1,529,379 shares of our common stock, which was equal to 25% of the number of shares of our common stock issued upon exercise of the January 2021 Inducement Warrants. The purchase price of the June 2021 Inducement Warrants was $0.125 per share underlying each June 2021 Inducement Warrant, and the June 2021 Inducement Warrants have an exercise price of $16.50 per share.</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the holders of any of these warrants elect to exercise such warrants and receive shares of common stock, your ownership interest will be diluted and the market price of our common stock may be materially and adversely effected.</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2021, at the annual meeting of stockholders, the stockholders approved the Amended and Restated 2014 Equity Incentive Plan, which, among other things, added 4,900,000 shares to the equity plan pool, and the employee stock purchase plan, or the 2021 ESPP, which allows for employees to purchase up to 1.5 million shares of stock through the plan. In addition, in July 2021, the Company entered into the Equity Distribution Agreement with JMP Securities LLC, or JMP, and RBC Capital Markets, LLC, or RBCCM, under which the Company may offer and sell, from time to time at its sole discretion, shares of its common stock having an aggregate offering price of up to $75,000,000 through JMP and RBCCM as its sales agents.</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Pursuant to our equity incentive plan, we may grant equity awards and issue additional shares of our common stock to our employees, directors and consultants, and the number of shares of our common stock reserved for future issuance under this plan will be subject to automatic annual increases in accordance with the terms of the plans. In January 2023, our Board approved the 2023 Employment Inducement Award Plan, or the 2023 Plan, under which we may grant equity awards to certain new employees. The maximum number of shares of common stock to be issued under the 2023 Plan is 1,500,000. To the extent that new options are granted and exercised, or we issue additional shares of common stock in the future, either through the 2021 ESPP, Equity Distribution Agreement, 2023 Plan, or through other means, our stockholders may experience additional dilution, which could cause our stock price to fall.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OTA Warrant and certain other warrants issued could have a material effect on our reported financial results.</w:t>
      </w:r>
    </w:p>
    <w:p>
      <w:pPr>
        <w:spacing w:after="0" w:line="22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OTA Warrant and certain other warrants we issued contain embedded derivatives, which require mark-to-market accounting treatment and could result in a gain or loss on a quarterly basis with regards to the mark-to-market value of that feature. Such accounting treatment could have a material impact on, and could potentially result in significant volatility in, our results of operations.</w:t>
      </w:r>
    </w:p>
    <w:p>
      <w:pPr>
        <w:spacing w:after="0" w:line="174" w:lineRule="exact"/>
        <w:rPr>
          <w:sz w:val="20"/>
          <w:szCs w:val="20"/>
          <w:color w:val="auto"/>
        </w:rPr>
      </w:pPr>
    </w:p>
    <w:p>
      <w:pPr>
        <w:jc w:val="both"/>
        <w:ind w:lef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the market price of our common stock to drop significantly, even if our business is doing well.</w:t>
      </w:r>
    </w:p>
    <w:p>
      <w:pPr>
        <w:spacing w:after="0" w:line="160"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78"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We cannot guarantee that any share repurchase program will be fully consummated or will enhance long-term stockholder value, and share repurchases could increase the volatility of our stock prices and could diminish our cash reserves.</w:t>
      </w:r>
    </w:p>
    <w:p>
      <w:pPr>
        <w:spacing w:after="0" w:line="163"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7"/>
          <w:szCs w:val="17"/>
          <w:color w:val="auto"/>
        </w:rPr>
        <w:t>On December 20, 2021, we initiated a share repurchase program, or the Share Repurchase Program, pursuant to which we may repurchase up to $50 million of shares of our common stock through December 31, 2023. Capital allocation to the Share Repurchase Program will be based on a variety of factors, including our business results, the receipt of royalties and sales milestones under the AZSTARYS License Agreement, and potentially other sources of non-dilutive capital that may become available to the Company. The exact number of shares to be repurchased by us is not guaranteed and the program may be suspended, modified, or discontinued at any time without prior notice. As of December 31, 2022, we had repurchased 909,953 shares of our common stock for approximately $7.5 million under the Share Repurchase Program. Our share repurchases could affect our share trading prices, increase their volatility, reduce our cash reserves and may be suspended or terminated at any time, which may result in a decrease in the trading prices of our stock.</w:t>
      </w:r>
    </w:p>
    <w:p>
      <w:pPr>
        <w:spacing w:after="0" w:line="170"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and bylaws, as well as provisions of Delaware law and the terms of some or our contracts, might discourage, delay or prevent a change in control of our company or changes in our board of directors or management and, therefore, depress the price of our common stock.</w:t>
      </w:r>
    </w:p>
    <w:p>
      <w:pPr>
        <w:spacing w:after="0" w:line="174"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and Delaware law contain provisions that may discourage, delay or prevent a merger, acquisition or other change in control that stockholders may consider favorable, including transactions in which you might otherwise receive a premium for your shares of our common stock or transactions that our stockholders might otherwise deem to be in their best interests. These provisions may also prevent or frustrate attempts by our stockholders to replace or remove members of our board of directors or our management. Therefore, these provisions could adversely affect the price of our stock. Our corporate governance documents include provisions:</w:t>
      </w:r>
    </w:p>
    <w:p>
      <w:pPr>
        <w:spacing w:after="0" w:line="185" w:lineRule="exact"/>
        <w:rPr>
          <w:sz w:val="20"/>
          <w:szCs w:val="20"/>
          <w:color w:val="auto"/>
        </w:rPr>
      </w:pPr>
    </w:p>
    <w:p>
      <w:pPr>
        <w:ind w:left="480" w:hanging="229"/>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with staggered three-year terms so that not all members of our board of directors are elected at one time;</w:t>
      </w:r>
    </w:p>
    <w:p>
      <w:pPr>
        <w:spacing w:after="0" w:line="270"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by stockholders only for cause;</w:t>
      </w:r>
    </w:p>
    <w:p>
      <w:pPr>
        <w:spacing w:after="0" w:line="270"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the ability of our stockholders to call and bring business before special meetings and to take action by written consent in lieu of a meeting;</w:t>
      </w:r>
    </w:p>
    <w:p>
      <w:pPr>
        <w:spacing w:after="0" w:line="281" w:lineRule="exact"/>
        <w:rPr>
          <w:rFonts w:ascii="Times New Roman" w:cs="Times New Roman" w:eastAsia="Times New Roman" w:hAnsi="Times New Roman"/>
          <w:sz w:val="17"/>
          <w:szCs w:val="17"/>
          <w:color w:val="auto"/>
        </w:rPr>
      </w:pPr>
    </w:p>
    <w:p>
      <w:pPr>
        <w:ind w:left="480" w:hanging="229"/>
        <w:spacing w:after="0" w:line="274" w:lineRule="auto"/>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89"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the board of directors to issue up to 10,000,000 shares of preferred stock with any rights, preferences and privileges they may designate;</w:t>
      </w:r>
    </w:p>
    <w:p>
      <w:pPr>
        <w:spacing w:after="0" w:line="270"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70"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vacancies may be filled by remaining directors;</w:t>
      </w:r>
    </w:p>
    <w:p>
      <w:pPr>
        <w:spacing w:after="0" w:line="270"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cumulative voting; and</w:t>
      </w:r>
    </w:p>
    <w:p>
      <w:pPr>
        <w:spacing w:after="0" w:line="270"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supermajority requirement to amend our bylaws.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ind w:left="20" w:right="80"/>
        <w:spacing w:after="0" w:line="259"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General Corporation Law of the State of Delaware, which prohibits a Delaware corporation from engaging in a broad range of business combinations with any “interested” stockholder for a period of three years following the date on which the stockholder became an “interested” stockholder.</w:t>
      </w:r>
    </w:p>
    <w:p>
      <w:pPr>
        <w:spacing w:after="0" w:line="178" w:lineRule="exact"/>
        <w:rPr>
          <w:sz w:val="20"/>
          <w:szCs w:val="20"/>
          <w:color w:val="auto"/>
        </w:rPr>
      </w:pPr>
    </w:p>
    <w:p>
      <w:pPr>
        <w:jc w:val="both"/>
        <w:ind w:left="20" w:right="80"/>
        <w:spacing w:after="0" w:line="259" w:lineRule="auto"/>
        <w:rPr>
          <w:sz w:val="20"/>
          <w:szCs w:val="20"/>
          <w:color w:val="auto"/>
        </w:rPr>
      </w:pPr>
      <w:r>
        <w:rPr>
          <w:rFonts w:ascii="Times New Roman" w:cs="Times New Roman" w:eastAsia="Times New Roman" w:hAnsi="Times New Roman"/>
          <w:sz w:val="18"/>
          <w:szCs w:val="18"/>
          <w:color w:val="auto"/>
        </w:rPr>
        <w:t>In addition, the provisions of our termination agreement with Aquestive may delay or prevent a change in control of our company. For example, if we enter into a merger, an asset sale or any other change of control transaction, then Aquestive will be entitled to a royalty equal to 10% of the price being paid to us and our stockholders in such transaction which is attributable to the value of AZSTARYS, KP879 or KP1077.</w:t>
      </w:r>
    </w:p>
    <w:p>
      <w:pPr>
        <w:spacing w:after="0" w:line="178" w:lineRule="exact"/>
        <w:rPr>
          <w:sz w:val="20"/>
          <w:szCs w:val="20"/>
          <w:color w:val="auto"/>
        </w:rPr>
      </w:pPr>
    </w:p>
    <w:p>
      <w:pPr>
        <w:jc w:val="both"/>
        <w:ind w:left="20" w:right="80"/>
        <w:spacing w:after="0" w:line="259"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or any term of our contracts that has the effect of discouraging, delaying or preventing a change in control could limit the opportunity for our stockholders to receive a premium for their shares of our common stock and could also affect the price that some investors are willing to pay for our common stock.</w:t>
      </w:r>
    </w:p>
    <w:p>
      <w:pPr>
        <w:spacing w:after="0" w:line="17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to grow our business, we will incur a variety of costs and may potentially face numerous risks that could adversely affect ou business and operations and cause our stock price to decline.</w:t>
      </w:r>
    </w:p>
    <w:p>
      <w:pPr>
        <w:spacing w:after="0" w:line="160" w:lineRule="exact"/>
        <w:rPr>
          <w:sz w:val="20"/>
          <w:szCs w:val="20"/>
          <w:color w:val="auto"/>
        </w:rPr>
      </w:pPr>
    </w:p>
    <w:p>
      <w:pPr>
        <w:jc w:val="both"/>
        <w:ind w:left="20" w:right="80"/>
        <w:spacing w:after="0" w:line="259" w:lineRule="auto"/>
        <w:rPr>
          <w:sz w:val="20"/>
          <w:szCs w:val="20"/>
          <w:color w:val="auto"/>
        </w:rPr>
      </w:pPr>
      <w:r>
        <w:rPr>
          <w:rFonts w:ascii="Times New Roman" w:cs="Times New Roman" w:eastAsia="Times New Roman" w:hAnsi="Times New Roman"/>
          <w:sz w:val="18"/>
          <w:szCs w:val="18"/>
          <w:color w:val="auto"/>
        </w:rPr>
        <w:t>If appropriate opportunities become available, we may seek to acquire businesses or assets to enhance our business. For example, in May 2022, we acquired all of the assets and operations of Orphazyme related to arimoclomol. In connection with any acquisitions, we could issue additional equity securities, which would dilute our stockholders, incur substantial debt to fund the acquisitions or assume significant liabilities.</w:t>
      </w:r>
    </w:p>
    <w:p>
      <w:pPr>
        <w:spacing w:after="0" w:line="178" w:lineRule="exact"/>
        <w:rPr>
          <w:sz w:val="20"/>
          <w:szCs w:val="20"/>
          <w:color w:val="auto"/>
        </w:rPr>
      </w:pPr>
    </w:p>
    <w:p>
      <w:pPr>
        <w:jc w:val="both"/>
        <w:ind w:left="20" w:right="80"/>
        <w:spacing w:after="0" w:line="250" w:lineRule="auto"/>
        <w:rPr>
          <w:sz w:val="20"/>
          <w:szCs w:val="20"/>
          <w:color w:val="auto"/>
        </w:rPr>
      </w:pPr>
      <w:r>
        <w:rPr>
          <w:rFonts w:ascii="Times New Roman" w:cs="Times New Roman" w:eastAsia="Times New Roman" w:hAnsi="Times New Roman"/>
          <w:sz w:val="18"/>
          <w:szCs w:val="18"/>
          <w:color w:val="auto"/>
        </w:rPr>
        <w:t>Acquisitions involve many and diverse risks and uncertainties, including problems integrating the purchased operations or assets as well as unanticipated costs, liabilities, and economic, political, legal and regulatory challenges due to our inexperience operating in new regions or countries, and we may fail to successfully integrate acquired companies, such as Orphazyme, or retain key personnel from the acquired company. To date, we have limited experience with acquisitions and the integration of acquired operations and personnel. Acquisitions may divert our attention from our core business. Acquisitions may require us to record goodwill and non-amortizable intangible assets that will be subject to testing on a regular basis and potential period impairment charges, incur amortization expenses related to certain intangible assets, and incur write offs and restructuring and other related expenses, any of which could harm our operating results and financial condition.</w:t>
      </w:r>
    </w:p>
    <w:p>
      <w:pPr>
        <w:spacing w:after="0" w:line="187" w:lineRule="exact"/>
        <w:rPr>
          <w:sz w:val="20"/>
          <w:szCs w:val="20"/>
          <w:color w:val="auto"/>
        </w:rPr>
      </w:pPr>
    </w:p>
    <w:p>
      <w:pPr>
        <w:jc w:val="both"/>
        <w:ind w:left="20" w:right="80"/>
        <w:spacing w:after="0" w:line="259" w:lineRule="auto"/>
        <w:rPr>
          <w:sz w:val="20"/>
          <w:szCs w:val="20"/>
          <w:color w:val="auto"/>
        </w:rPr>
      </w:pPr>
      <w:r>
        <w:rPr>
          <w:rFonts w:ascii="Times New Roman" w:cs="Times New Roman" w:eastAsia="Times New Roman" w:hAnsi="Times New Roman"/>
          <w:sz w:val="18"/>
          <w:szCs w:val="18"/>
          <w:color w:val="auto"/>
        </w:rPr>
        <w:t>New business strategies, especially those involving acquisitions, are inherently risky and may not be successful. Failure to successfully identify, complete, manage and integrate acquisitions could materially and adversely affect our business, financial condition and results of operations and could cause our stock price to decline.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affected as a result of a proxy contest and the actions of activist stockholders.</w:t>
      </w:r>
    </w:p>
    <w:p>
      <w:pPr>
        <w:spacing w:after="0" w:line="221" w:lineRule="exact"/>
        <w:rPr>
          <w:sz w:val="20"/>
          <w:szCs w:val="20"/>
          <w:color w:val="auto"/>
        </w:rPr>
      </w:pPr>
    </w:p>
    <w:p>
      <w:pPr>
        <w:jc w:val="both"/>
        <w:ind w:left="20" w:right="80"/>
        <w:spacing w:after="0" w:line="250" w:lineRule="auto"/>
        <w:rPr>
          <w:sz w:val="20"/>
          <w:szCs w:val="20"/>
          <w:color w:val="auto"/>
        </w:rPr>
      </w:pPr>
      <w:r>
        <w:rPr>
          <w:rFonts w:ascii="Times New Roman" w:cs="Times New Roman" w:eastAsia="Times New Roman" w:hAnsi="Times New Roman"/>
          <w:sz w:val="18"/>
          <w:szCs w:val="18"/>
          <w:color w:val="auto"/>
        </w:rPr>
        <w:t>On January 26, 2023, our board of directors received notice from a stockholder of his intention to nominate three nominees to stand for election to our board of directors at our 2023 annual meeting of stockholder and to submit a proposal at the annual meeting. A proxy contest with respect to election of our directors, or other activist stockholder activities, could adversely affect our business because: (1) responding to a proxy contest and other actions by activist stockholders can be costly and time-consuming, disruptive to our operations and divert the attention of management and our employees; (2) perceived uncertainties as to our future direction caused by activist activities may result in the loss of potential business opportunities, and may make it more difficult to attract and retain qualified personnel and business partners; and (3) if individuals are elected to our board of directors with a specific agenda, it may adversely affect our ability to effectively and timely implement our strategic plans.</w:t>
      </w:r>
    </w:p>
    <w:p>
      <w:pPr>
        <w:spacing w:after="0" w:line="183" w:lineRule="exact"/>
        <w:rPr>
          <w:sz w:val="20"/>
          <w:szCs w:val="20"/>
          <w:color w:val="auto"/>
        </w:rPr>
      </w:pPr>
    </w:p>
    <w:p>
      <w:pPr>
        <w:jc w:val="both"/>
        <w:ind w:left="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is the exclusive forum for substantially all disputes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other employees.</w:t>
      </w:r>
    </w:p>
    <w:p>
      <w:pPr>
        <w:spacing w:after="0" w:line="174" w:lineRule="exact"/>
        <w:rPr>
          <w:sz w:val="20"/>
          <w:szCs w:val="20"/>
          <w:color w:val="auto"/>
        </w:rPr>
      </w:pPr>
    </w:p>
    <w:p>
      <w:pPr>
        <w:jc w:val="both"/>
        <w:ind w:left="20" w:right="8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is the sole and exclusive forum for (i) any derivative action or proceeding brought on our behalf, (ii) any action asserting a breach of fiduciary duty owed by any of our directors, officers or other employees to us or our stockholders, (iii) any action asserting a claim against us arising pursuant to any provisions of the Delaware General Corporation Law, or DGCL, our certificate of incorporation or our bylaws, or (iv) any action asserting a claim against us that is governed by the internal affairs doctrine.</w:t>
      </w:r>
    </w:p>
    <w:p>
      <w:pPr>
        <w:spacing w:after="0" w:line="180" w:lineRule="exact"/>
        <w:rPr>
          <w:sz w:val="20"/>
          <w:szCs w:val="20"/>
          <w:color w:val="auto"/>
        </w:rPr>
      </w:pPr>
    </w:p>
    <w:p>
      <w:pPr>
        <w:jc w:val="both"/>
        <w:ind w:left="20" w:right="80"/>
        <w:spacing w:after="0" w:line="263" w:lineRule="auto"/>
        <w:rPr>
          <w:sz w:val="20"/>
          <w:szCs w:val="20"/>
          <w:color w:val="auto"/>
        </w:rPr>
      </w:pPr>
      <w:r>
        <w:rPr>
          <w:rFonts w:ascii="Times New Roman" w:cs="Times New Roman" w:eastAsia="Times New Roman" w:hAnsi="Times New Roman"/>
          <w:sz w:val="17"/>
          <w:szCs w:val="17"/>
          <w:color w:val="auto"/>
        </w:rPr>
        <w:t xml:space="preserve">In addition, on and effective July 15, 2020, we amended and restated our bylaws, or the Bylaws, pursuant to which: (i)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(A) any derivative action or proceeding brought on behalf of us; (B) any action or proceeding asserting a claim of breach of a fiduciary duty owed by any of our current or former directors, officers or other employees, to us or our stockholders; (C) any action or proceeding asserting a claim against us or any of our current or former directors, officers or other employees, arising out of or pursuant to any provision of the DGCL our certificate of incorporation or our Bylaws (as each may be amended from time to time); (D) any action or proceeding to interpret, apply, enforce or determine the validity of our certificate of incorporation or our Bylaws (including any right, obligation, or remedy thereunder); (E) any action or proceeding as to which the DGCL confers jurisdiction to the Court of Chancery of the State of Delaware; and (F) any action or proceeding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this provision shall not apply to suits brought to enforce a duty or liability created by the Securities Act or the Exchange Act, or any other claim for which the federal courts have exclusive jurisdiction; (ii)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(iii) any person or entity holding, owning or otherwise acquiring any interest in any security of us shall be deemed to have notice of and consented to the provisions of the Bylaws.</w:t>
      </w:r>
    </w:p>
    <w:p>
      <w:pPr>
        <w:spacing w:after="0" w:line="177" w:lineRule="exact"/>
        <w:rPr>
          <w:sz w:val="20"/>
          <w:szCs w:val="20"/>
          <w:color w:val="auto"/>
        </w:rPr>
      </w:pPr>
    </w:p>
    <w:p>
      <w:pPr>
        <w:jc w:val="both"/>
        <w:ind w:left="20" w:right="80"/>
        <w:spacing w:after="0" w:line="255" w:lineRule="auto"/>
        <w:rPr>
          <w:sz w:val="20"/>
          <w:szCs w:val="20"/>
          <w:color w:val="auto"/>
        </w:rPr>
      </w:pPr>
      <w:r>
        <w:rPr>
          <w:rFonts w:ascii="Times New Roman" w:cs="Times New Roman" w:eastAsia="Times New Roman" w:hAnsi="Times New Roman"/>
          <w:sz w:val="18"/>
          <w:szCs w:val="18"/>
          <w:color w:val="auto"/>
        </w:rPr>
        <w:t>These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certificate of incorporation or our Bylaws to be inapplicable or unenforceable in an action, we may incur additional costs associated with resolving such action in other jurisdictions.</w:t>
      </w:r>
    </w:p>
    <w:p>
      <w:pPr>
        <w:sectPr>
          <w:pgSz w:w="11900" w:h="16838" w:orient="portrait"/>
          <w:cols w:equalWidth="0" w:num="1">
            <w:col w:w="11340"/>
          </w:cols>
          <w:pgMar w:left="300" w:top="121" w:right="259" w:bottom="257" w:gutter="0" w:footer="0" w:header="0"/>
        </w:sectPr>
      </w:pP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40"/>
          </w:cols>
          <w:pgMar w:left="300" w:top="121" w:right="259" w:bottom="257" w:gutter="0" w:footer="0" w:header="0"/>
          <w:type w:val="continuous"/>
        </w:sectPr>
      </w:pPr>
    </w:p>
    <w:bookmarkStart w:id="78" w:name="page79"/>
    <w:bookmarkEnd w:id="7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which could adversely affect our profitability.</w:t>
      </w:r>
    </w:p>
    <w:p>
      <w:pPr>
        <w:spacing w:after="0" w:line="221" w:lineRule="exact"/>
        <w:rPr>
          <w:sz w:val="20"/>
          <w:szCs w:val="20"/>
          <w:color w:val="auto"/>
        </w:rPr>
      </w:pPr>
    </w:p>
    <w:p>
      <w:pPr>
        <w:jc w:val="both"/>
        <w:ind w:left="20"/>
        <w:spacing w:after="0" w:line="247" w:lineRule="auto"/>
        <w:rPr>
          <w:sz w:val="20"/>
          <w:szCs w:val="20"/>
          <w:color w:val="auto"/>
        </w:rPr>
      </w:pPr>
      <w:r>
        <w:rPr>
          <w:rFonts w:ascii="Times New Roman" w:cs="Times New Roman" w:eastAsia="Times New Roman" w:hAnsi="Times New Roman"/>
          <w:sz w:val="18"/>
          <w:szCs w:val="18"/>
          <w:color w:val="auto"/>
        </w:rPr>
        <w:t>As of December 31, 2022, we had federal net operating loss carryforwards of approximately $236.0 million, due to prior period losses, $138.1 million of which, if not utilized, will begin to expire in 2027. These net operating loss carryforwards could expire unused and be unavailable to offset future income tax liabilities, which could adversely affect our profitability. These federal net operating loss carryforwards are fully reserved under a valuation allowance in the consolidated balance sheet as of December 31, 2022. On December 22, 2017, the U.S. government enacted H.R. 1, “An Act to provide for reconciliation pursuant to titles II and V of the concurrent resolution on the budget for fiscal year 2018” (informally titled the Tax Cuts and Jobs Act). Under the Tax Cuts and Jobs Act, U.S. federal net operating losses incurred in 2018 and in future years may be carried forward indefinitely, but the deductibility of such federal net operating losses is limited. It is uncertain if and to what extent various states will conform to the Tax Cuts and Jobs Act. To the extent that we continue to generate taxable losses in the United States, unused losses will carry forward to offset future taxable income (subject to any applicable limitations), if any. In addition, under Section 382 and Section 383 of the Code,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have already experienced an ownership change, or may experience ownership changes in the future, as a result of shifts in our stock ownership, including as a result of the conversion of our outstanding convertible debt or as a result of changes in our stock ownership. If we determine that an ownership change has occurred and our ability to use our historical net operating loss carryforwards is materially limited, it would harm our future operating results by increasing our future tax obligations. As of December 31, 2022, we maintain a full valuation allowance over our deferred tax assets for financial reporting purposes.</w:t>
      </w:r>
    </w:p>
    <w:p>
      <w:pPr>
        <w:spacing w:after="0" w:line="190" w:lineRule="exact"/>
        <w:rPr>
          <w:sz w:val="20"/>
          <w:szCs w:val="20"/>
          <w:color w:val="auto"/>
        </w:rPr>
      </w:pPr>
    </w:p>
    <w:p>
      <w:pPr>
        <w:ind w:left="20" w:right="2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160" w:lineRule="exact"/>
        <w:rPr>
          <w:sz w:val="20"/>
          <w:szCs w:val="20"/>
          <w:color w:val="auto"/>
        </w:rPr>
      </w:pPr>
    </w:p>
    <w:p>
      <w:pPr>
        <w:jc w:val="both"/>
        <w:ind w:left="20"/>
        <w:spacing w:after="0" w:line="248"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affect the tax treatment of our domestic earnings, if any. Any new taxes could adversely affect our business operations, and our business and financial performance. Further, existing tax laws, statutes, rules, regulations or ordinances could be interpreted, changed, modified or applied adversely to us. For example, legislation enacted in 2017, informally titled the Tax Cuts and Jobs Act, significantly revised the Internal Revenue Code of 1986, as amended. Future guidance from the Internal Revenue Service and other tax authorities with respect to the Tax Cuts and Jobs Act may affect us, and certain aspects of the Tax Cuts and Jobs Act could be repealed or modified in future legislation. In addition, the recent Inflation Reduction Act enacted in the United States introduced, among other changes, a 15% corporate minimum tax on certain United States corporations and a 1% excise tax on certain stock redemptions by United States corporations. Furthermore, it is uncertain if and to what extent various states will conform to the Tax Cuts and Jobs Act or any newly enacted federal tax legislation. Changes in corporate tax rates, the realization of net deferred tax assets relating to our operations, the taxation of foreign earnings, and the deductibility of expenses under the Tax Cuts and Jobs Act or future reform legislation could have a material impact on the value of our deferred tax assets, could result in significant one-time charges, and could increase our future U.S. tax expense.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our ability to produce accurate financial statements on a timely basis could be impaired.</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or the Sarbanes-Oxley Act, and the rules and regulations of the stock market on which our common stock is listed. The Sarbanes-Oxley Act requires, among other things, that we maintain effective disclosure controls and procedures and internal control over financial reporting. For our fiscal year ended December 31, 2022, we performed system and process evaluation and testing of our internal control over financial reporting to allow management to report on the effectiveness of our internal control over financial reporting in our Annual Report on Form 10-K, as required by Section 404 of the Sarbanes-Oxley Act. We will be required to perform this evaluation and testing of our internal control over financial reporting to allow management to report on the effectiveness of our internal control over financial reporting on an annual basis. This requires that we incur substantial additional professional fees and internal costs and that we expend significant management efforts on an annual basis. We have and will be required to test our internal control within a specified period, and, as a result, we may experience difficulty in meeting these reporting requirements.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or if we are unable to maintain proper and effective internal control,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15" w:lineRule="exact"/>
        <w:rPr>
          <w:sz w:val="20"/>
          <w:szCs w:val="20"/>
          <w:color w:val="auto"/>
        </w:rPr>
      </w:pPr>
    </w:p>
    <w:p>
      <w:pPr>
        <w:jc w:val="both"/>
        <w:ind w:left="20"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you may not be able to resell your shares of our common stock for a profit, if at all.</w:t>
      </w:r>
    </w:p>
    <w:p>
      <w:pPr>
        <w:spacing w:after="0" w:line="160" w:lineRule="exact"/>
        <w:rPr>
          <w:sz w:val="20"/>
          <w:szCs w:val="20"/>
          <w:color w:val="auto"/>
        </w:rPr>
      </w:pPr>
    </w:p>
    <w:p>
      <w:pPr>
        <w:jc w:val="both"/>
        <w:ind w:left="20" w:right="100"/>
        <w:spacing w:after="0" w:line="274" w:lineRule="auto"/>
        <w:rPr>
          <w:sz w:val="20"/>
          <w:szCs w:val="20"/>
          <w:color w:val="auto"/>
        </w:rPr>
      </w:pPr>
      <w:r>
        <w:rPr>
          <w:rFonts w:ascii="Times New Roman" w:cs="Times New Roman" w:eastAsia="Times New Roman" w:hAnsi="Times New Roman"/>
          <w:sz w:val="18"/>
          <w:szCs w:val="18"/>
          <w:color w:val="auto"/>
        </w:rPr>
        <w:t>An active trading market for our shares may not be sustained. If an active market for our common stock is not sustained, it may be difficult for you to sell our shares at an attractive price, or at all.</w:t>
      </w:r>
    </w:p>
    <w:p>
      <w:pPr>
        <w:spacing w:after="0" w:line="159" w:lineRule="exact"/>
        <w:rPr>
          <w:sz w:val="20"/>
          <w:szCs w:val="20"/>
          <w:color w:val="auto"/>
        </w:rPr>
      </w:pPr>
    </w:p>
    <w:p>
      <w:pPr>
        <w:jc w:val="both"/>
        <w:ind w:left="20"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0" w:lineRule="exact"/>
        <w:rPr>
          <w:sz w:val="20"/>
          <w:szCs w:val="20"/>
          <w:color w:val="auto"/>
        </w:rPr>
      </w:pPr>
    </w:p>
    <w:p>
      <w:pPr>
        <w:jc w:val="both"/>
        <w:ind w:left="20" w:right="10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76" w:lineRule="exact"/>
        <w:rPr>
          <w:sz w:val="20"/>
          <w:szCs w:val="20"/>
          <w:color w:val="auto"/>
        </w:rPr>
      </w:pPr>
    </w:p>
    <w:p>
      <w:pPr>
        <w:jc w:val="both"/>
        <w:ind w:left="20"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60" w:lineRule="exact"/>
        <w:rPr>
          <w:sz w:val="20"/>
          <w:szCs w:val="20"/>
          <w:color w:val="auto"/>
        </w:rPr>
      </w:pPr>
    </w:p>
    <w:p>
      <w:pPr>
        <w:jc w:val="both"/>
        <w:ind w:left="20" w:right="100"/>
        <w:spacing w:after="0" w:line="255"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being a public company.</w:t>
      </w:r>
    </w:p>
    <w:p>
      <w:pPr>
        <w:spacing w:after="0" w:line="221" w:lineRule="exact"/>
        <w:rPr>
          <w:sz w:val="20"/>
          <w:szCs w:val="20"/>
          <w:color w:val="auto"/>
        </w:rPr>
      </w:pPr>
    </w:p>
    <w:p>
      <w:pPr>
        <w:jc w:val="both"/>
        <w:ind w:left="20" w:right="100"/>
        <w:spacing w:after="0" w:line="249"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SEC,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w:t>
      </w:r>
    </w:p>
    <w:p>
      <w:pPr>
        <w:spacing w:after="0" w:line="190" w:lineRule="exact"/>
        <w:rPr>
          <w:sz w:val="20"/>
          <w:szCs w:val="20"/>
          <w:color w:val="auto"/>
        </w:rPr>
      </w:pPr>
    </w:p>
    <w:p>
      <w:pPr>
        <w:jc w:val="both"/>
        <w:ind w:left="20" w:right="100"/>
        <w:spacing w:after="0" w:line="255"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80" w:lineRule="exact"/>
        <w:rPr>
          <w:sz w:val="20"/>
          <w:szCs w:val="20"/>
          <w:color w:val="auto"/>
        </w:rPr>
      </w:pPr>
    </w:p>
    <w:p>
      <w:pPr>
        <w:jc w:val="both"/>
        <w:ind w:left="20" w:right="100"/>
        <w:spacing w:after="0" w:line="248" w:lineRule="auto"/>
        <w:rPr>
          <w:sz w:val="20"/>
          <w:szCs w:val="20"/>
          <w:color w:val="auto"/>
        </w:rPr>
      </w:pPr>
      <w:r>
        <w:rPr>
          <w:rFonts w:ascii="Times New Roman" w:cs="Times New Roman" w:eastAsia="Times New Roman" w:hAnsi="Times New Roman"/>
          <w:sz w:val="18"/>
          <w:szCs w:val="18"/>
          <w:color w:val="auto"/>
        </w:rPr>
        <w:t>Global economic uncertainty and other global economic or political and regulatory developments could have a material adverse effect on our business, cash flows, financial condition and/or prospects. Growth in the global pharmaceutical market has become increasingly tied to (i) global economic growth as an economic downturn may, for example as a result of the COVID-19 pandemic's paralyzing effects on economic activities, reduce the amount of funding for the pharmaceutical sector as a whole or certain diseases targeted by us and (ii) political conditions, tension and uncertainty which could, for instance, impact the regulations applicable to us. Uncertain political and geopolitical conditions currently exist in various parts of the world, such as the ongoing conflict between Russia and Ukraine. As a result, the United States and other governments have announced certain sanctions against Russia. The conflict in Ukraine and any retaliatory measures taken by the United States and other governments could threaten global security and result in further regional conflict and otherwise have a lasting impact on regional and global economies, any or all of which could adversely affect our business. In addition, the full effects of the United Kingdom’s exit from the European Union in January 2020 are impossible to predict but may result in significant market volatility and dislocation, and adversely affect the United Kingdom, European and global economy.</w:t>
      </w:r>
    </w:p>
    <w:p>
      <w:pPr>
        <w:spacing w:after="0" w:line="193"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Future legal or regulatory changes in jurisdictions where we currently operate, or in such jurisdictions in which we may choose to operate in the future, could materially and adversely affect our business, results of operations, cash flows, financial condition and/or prospects, including by imposing regulatory and operational restrictions and compliance obligations on our business, reducing our revenue or increasing our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above circumstances, individually or in the aggregate, could have a material adverse effect on our business, cash flows, financial condition and/or prospects.</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increasing focus on environmental sustainability and social initiatives could increase our costs, harm our reputation and adversely impact our financia results.</w:t>
      </w:r>
    </w:p>
    <w:p>
      <w:pPr>
        <w:spacing w:after="0" w:line="163" w:lineRule="exact"/>
        <w:rPr>
          <w:sz w:val="20"/>
          <w:szCs w:val="20"/>
          <w:color w:val="auto"/>
        </w:rPr>
      </w:pPr>
    </w:p>
    <w:p>
      <w:pPr>
        <w:jc w:val="both"/>
        <w:ind w:left="20" w:right="100"/>
        <w:spacing w:after="0" w:line="269" w:lineRule="auto"/>
        <w:rPr>
          <w:sz w:val="20"/>
          <w:szCs w:val="20"/>
          <w:color w:val="auto"/>
        </w:rPr>
      </w:pPr>
      <w:r>
        <w:rPr>
          <w:rFonts w:ascii="Times New Roman" w:cs="Times New Roman" w:eastAsia="Times New Roman" w:hAnsi="Times New Roman"/>
          <w:sz w:val="17"/>
          <w:szCs w:val="17"/>
          <w:color w:val="auto"/>
        </w:rPr>
        <w:t>There has been increasing public focus by investors, patients,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even if we are effective at addressing such concerns, we may experience increased costs as a result of executing upon our sustainability goals that may not be offset by any benefit to our reputation, which could have an adverse impact on our business and financial condition.</w:t>
      </w:r>
    </w:p>
    <w:p>
      <w:pPr>
        <w:spacing w:after="0" w:line="169"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ectPr>
          <w:pgSz w:w="11900" w:h="16838" w:orient="portrait"/>
          <w:cols w:equalWidth="0" w:num="1">
            <w:col w:w="11360"/>
          </w:cols>
          <w:pgMar w:left="300" w:top="121" w:right="239" w:bottom="469" w:gutter="0" w:footer="0" w:header="0"/>
        </w:sectPr>
      </w:pP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60"/>
          </w:cols>
          <w:pgMar w:left="300" w:top="121" w:right="239" w:bottom="469" w:gutter="0" w:footer="0" w:header="0"/>
          <w:type w:val="continuous"/>
        </w:sectPr>
      </w:pPr>
    </w:p>
    <w:bookmarkStart w:id="81" w:name="page82"/>
    <w:bookmarkEnd w:id="8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w:t>
        <w:tab/>
        <w:t>UNRESOLVED STAFF COMMENTS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1B.</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19"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As of December 31, 2022, we have leased approximately 17,000 square feet of headquarters office space in Celebration, Florida, comprised of two contiguous office suites, under a non-cancelable lease agreement that expires in August 2025 and February 2026, respectively. One such office suite, which is approximately 6,300 square feet and has an expiration date of February 2026, is subleased to a third party. We have the right to extend the term of the lease for two successive five-year terms upon expiration. In addition, we occupy leased laboratory space in Coralville, Iowa and Blacksburg, Virginia and leased office space in Chapel Hill, North Carolina and Denmark. We believe that our facilities are adequate for our current needs.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19"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EXECUTIVE OFFICERS AND DIRECTORS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 on Form 10-K.</w:t>
      </w:r>
    </w:p>
    <w:p>
      <w:pPr>
        <w:spacing w:after="0" w:line="200" w:lineRule="exact"/>
        <w:rPr>
          <w:sz w:val="20"/>
          <w:szCs w:val="20"/>
          <w:color w:val="auto"/>
        </w:rPr>
      </w:pPr>
    </w:p>
    <w:p>
      <w:pPr>
        <w:spacing w:after="0" w:line="213" w:lineRule="exact"/>
        <w:rPr>
          <w:sz w:val="20"/>
          <w:szCs w:val="20"/>
          <w:color w:val="auto"/>
        </w:rPr>
      </w:pPr>
    </w:p>
    <w:tbl>
      <w:tblPr>
        <w:tblLayout w:type="fixed"/>
        <w:tblInd w:w="2840" w:type="dxa"/>
        <w:tblCellMar>
          <w:top w:w="0" w:type="dxa"/>
          <w:left w:w="0" w:type="dxa"/>
          <w:bottom w:w="0" w:type="dxa"/>
          <w:right w:w="0" w:type="dxa"/>
        </w:tblCellMar>
      </w:tblPr>
      <w:tr>
        <w:trPr>
          <w:trHeight w:val="207"/>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22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120" w:type="dxa"/>
            <w:vAlign w:val="bottom"/>
          </w:tcPr>
          <w:p>
            <w:pPr>
              <w:spacing w:after="0"/>
              <w:rPr>
                <w:sz w:val="19"/>
                <w:szCs w:val="19"/>
                <w:color w:val="auto"/>
              </w:rPr>
            </w:pPr>
          </w:p>
        </w:tc>
        <w:tc>
          <w:tcPr>
            <w:tcW w:w="22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70"/>
        </w:trPr>
        <w:tc>
          <w:tcPr>
            <w:tcW w:w="2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Richard W. Pascoe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22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22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and Director</w:t>
            </w:r>
          </w:p>
        </w:tc>
        <w:tc>
          <w:tcPr>
            <w:tcW w:w="0" w:type="dxa"/>
            <w:vAlign w:val="bottom"/>
          </w:tcPr>
          <w:p>
            <w:pPr>
              <w:spacing w:after="0"/>
              <w:rPr>
                <w:sz w:val="1"/>
                <w:szCs w:val="1"/>
                <w:color w:val="auto"/>
              </w:rPr>
            </w:pPr>
          </w:p>
        </w:tc>
      </w:tr>
      <w:tr>
        <w:trPr>
          <w:trHeight w:val="106"/>
        </w:trPr>
        <w:tc>
          <w:tcPr>
            <w:tcW w:w="2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Travis C. Mickle,</w:t>
            </w:r>
          </w:p>
        </w:tc>
        <w:tc>
          <w:tcPr>
            <w:tcW w:w="11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220" w:type="dxa"/>
            <w:vAlign w:val="bottom"/>
            <w:gridSpan w:val="2"/>
            <w:vMerge w:val="continue"/>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President and Director</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77"/>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Ph.D.</w:t>
            </w:r>
          </w:p>
        </w:tc>
        <w:tc>
          <w:tcPr>
            <w:tcW w:w="112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22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Sven Guenther, Ph.D.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Chief Scientific Officer</w:t>
            </w:r>
          </w:p>
        </w:tc>
        <w:tc>
          <w:tcPr>
            <w:tcW w:w="0" w:type="dxa"/>
            <w:vAlign w:val="bottom"/>
          </w:tcPr>
          <w:p>
            <w:pPr>
              <w:spacing w:after="0"/>
              <w:rPr>
                <w:sz w:val="1"/>
                <w:szCs w:val="1"/>
                <w:color w:val="auto"/>
              </w:rPr>
            </w:pPr>
          </w:p>
        </w:tc>
      </w:tr>
      <w:tr>
        <w:trPr>
          <w:trHeight w:val="212"/>
        </w:trPr>
        <w:tc>
          <w:tcPr>
            <w:tcW w:w="2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 LaDuane Clifton,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25"/>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CPA</w:t>
            </w:r>
          </w:p>
        </w:tc>
        <w:tc>
          <w:tcPr>
            <w:tcW w:w="1120" w:type="dxa"/>
            <w:vAlign w:val="bottom"/>
            <w:vMerge w:val="continue"/>
          </w:tcPr>
          <w:p>
            <w:pPr>
              <w:spacing w:after="0"/>
              <w:rPr>
                <w:sz w:val="10"/>
                <w:szCs w:val="10"/>
                <w:color w:val="auto"/>
              </w:rPr>
            </w:pPr>
          </w:p>
        </w:tc>
        <w:tc>
          <w:tcPr>
            <w:tcW w:w="22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Secretary and Treasurer</w:t>
            </w:r>
          </w:p>
        </w:tc>
        <w:tc>
          <w:tcPr>
            <w:tcW w:w="0" w:type="dxa"/>
            <w:vAlign w:val="bottom"/>
          </w:tcPr>
          <w:p>
            <w:pPr>
              <w:spacing w:after="0"/>
              <w:rPr>
                <w:sz w:val="1"/>
                <w:szCs w:val="1"/>
                <w:color w:val="auto"/>
              </w:rPr>
            </w:pPr>
          </w:p>
        </w:tc>
      </w:tr>
      <w:tr>
        <w:trPr>
          <w:trHeight w:val="87"/>
        </w:trPr>
        <w:tc>
          <w:tcPr>
            <w:tcW w:w="2220" w:type="dxa"/>
            <w:vAlign w:val="bottom"/>
            <w:gridSpan w:val="2"/>
            <w:vMerge w:val="continue"/>
          </w:tcPr>
          <w:p>
            <w:pPr>
              <w:spacing w:after="0"/>
              <w:rPr>
                <w:sz w:val="7"/>
                <w:szCs w:val="7"/>
                <w:color w:val="auto"/>
              </w:rPr>
            </w:pPr>
          </w:p>
        </w:tc>
        <w:tc>
          <w:tcPr>
            <w:tcW w:w="11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Chief Commercial Officer</w:t>
            </w:r>
          </w:p>
        </w:tc>
        <w:tc>
          <w:tcPr>
            <w:tcW w:w="0" w:type="dxa"/>
            <w:vAlign w:val="bottom"/>
          </w:tcPr>
          <w:p>
            <w:pPr>
              <w:spacing w:after="0"/>
              <w:rPr>
                <w:sz w:val="1"/>
                <w:szCs w:val="1"/>
                <w:color w:val="auto"/>
              </w:rPr>
            </w:pPr>
          </w:p>
        </w:tc>
      </w:tr>
      <w:tr>
        <w:trPr>
          <w:trHeight w:val="212"/>
        </w:trPr>
        <w:tc>
          <w:tcPr>
            <w:tcW w:w="2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Joshua Schafer</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Executive Vice</w:t>
            </w:r>
          </w:p>
        </w:tc>
        <w:tc>
          <w:tcPr>
            <w:tcW w:w="0" w:type="dxa"/>
            <w:vAlign w:val="bottom"/>
          </w:tcPr>
          <w:p>
            <w:pPr>
              <w:spacing w:after="0"/>
              <w:rPr>
                <w:sz w:val="1"/>
                <w:szCs w:val="1"/>
                <w:color w:val="auto"/>
              </w:rPr>
            </w:pPr>
          </w:p>
        </w:tc>
      </w:tr>
      <w:tr>
        <w:trPr>
          <w:trHeight w:val="125"/>
        </w:trPr>
        <w:tc>
          <w:tcPr>
            <w:tcW w:w="222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22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President of Business</w:t>
            </w:r>
          </w:p>
        </w:tc>
        <w:tc>
          <w:tcPr>
            <w:tcW w:w="0" w:type="dxa"/>
            <w:vAlign w:val="bottom"/>
          </w:tcPr>
          <w:p>
            <w:pPr>
              <w:spacing w:after="0"/>
              <w:rPr>
                <w:sz w:val="1"/>
                <w:szCs w:val="1"/>
                <w:color w:val="auto"/>
              </w:rPr>
            </w:pPr>
          </w:p>
        </w:tc>
      </w:tr>
      <w:tr>
        <w:trPr>
          <w:trHeight w:val="87"/>
        </w:trPr>
        <w:tc>
          <w:tcPr>
            <w:tcW w:w="4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Development</w:t>
            </w:r>
          </w:p>
        </w:tc>
        <w:tc>
          <w:tcPr>
            <w:tcW w:w="0" w:type="dxa"/>
            <w:vAlign w:val="bottom"/>
          </w:tcPr>
          <w:p>
            <w:pPr>
              <w:spacing w:after="0"/>
              <w:rPr>
                <w:sz w:val="1"/>
                <w:szCs w:val="1"/>
                <w:color w:val="auto"/>
              </w:rPr>
            </w:pPr>
          </w:p>
        </w:tc>
      </w:tr>
      <w:tr>
        <w:trPr>
          <w:trHeight w:val="212"/>
        </w:trPr>
        <w:tc>
          <w:tcPr>
            <w:tcW w:w="2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Christal M.M. Mickle,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Chief Product</w:t>
            </w:r>
          </w:p>
        </w:tc>
        <w:tc>
          <w:tcPr>
            <w:tcW w:w="0" w:type="dxa"/>
            <w:vAlign w:val="bottom"/>
          </w:tcPr>
          <w:p>
            <w:pPr>
              <w:spacing w:after="0"/>
              <w:rPr>
                <w:sz w:val="1"/>
                <w:szCs w:val="1"/>
                <w:color w:val="auto"/>
              </w:rPr>
            </w:pPr>
          </w:p>
        </w:tc>
      </w:tr>
      <w:tr>
        <w:trPr>
          <w:trHeight w:val="231"/>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w:t>
            </w:r>
          </w:p>
        </w:tc>
        <w:tc>
          <w:tcPr>
            <w:tcW w:w="11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Development Officer</w:t>
            </w:r>
          </w:p>
        </w:tc>
        <w:tc>
          <w:tcPr>
            <w:tcW w:w="0" w:type="dxa"/>
            <w:vAlign w:val="bottom"/>
          </w:tcPr>
          <w:p>
            <w:pPr>
              <w:spacing w:after="0"/>
              <w:rPr>
                <w:sz w:val="1"/>
                <w:szCs w:val="1"/>
                <w:color w:val="auto"/>
              </w:rPr>
            </w:pPr>
          </w:p>
        </w:tc>
      </w:tr>
      <w:tr>
        <w:trPr>
          <w:trHeight w:val="219"/>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Tamara A. Favorito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2"/>
        </w:trPr>
        <w:tc>
          <w:tcPr>
            <w:tcW w:w="2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Matthew R. Plooster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2"/>
        </w:trPr>
        <w:tc>
          <w:tcPr>
            <w:tcW w:w="2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Joseph B. Saluri</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2"/>
        </w:trPr>
        <w:tc>
          <w:tcPr>
            <w:tcW w:w="2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David S. Tierney, M.D.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1"/>
        </w:trPr>
        <w:tc>
          <w:tcPr>
            <w:tcW w:w="2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Christopher Posner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ind w:left="2840" w:right="2940" w:hanging="5"/>
        <w:spacing w:after="0" w:line="248" w:lineRule="auto"/>
        <w:tabs>
          <w:tab w:leader="none" w:pos="30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6, 2023, Travis C. Mickle, Ph.D. resigned as a Class I director and as president of the Company, in each case effective as of the date of the Company's annual meeting of stockholders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2" w:name="page83"/>
    <w:bookmarkEnd w:id="82"/>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Richard W. Pascoe</w:t>
      </w:r>
    </w:p>
    <w:p>
      <w:pPr>
        <w:spacing w:after="0" w:line="221" w:lineRule="exact"/>
        <w:rPr>
          <w:sz w:val="20"/>
          <w:szCs w:val="20"/>
          <w:color w:val="auto"/>
        </w:rPr>
      </w:pPr>
    </w:p>
    <w:p>
      <w:pPr>
        <w:jc w:val="both"/>
        <w:ind w:left="20" w:firstLine="159"/>
        <w:spacing w:after="0" w:line="248" w:lineRule="auto"/>
        <w:rPr>
          <w:sz w:val="20"/>
          <w:szCs w:val="20"/>
          <w:color w:val="auto"/>
        </w:rPr>
      </w:pPr>
      <w:r>
        <w:rPr>
          <w:rFonts w:ascii="Times New Roman" w:cs="Times New Roman" w:eastAsia="Times New Roman" w:hAnsi="Times New Roman"/>
          <w:sz w:val="18"/>
          <w:szCs w:val="18"/>
          <w:color w:val="auto"/>
        </w:rPr>
        <w:t>Richard W. Pascoe has served as a director of our Company since January 2014 and our Company’s Chief Executive Officer since January 2023. He served as our Company’s executive chairman from November 2021 to January 2023. From January 2019 to November 2021, Mr. Pascoe served as the president and chief executive officer and on the board of directors of Histogen Inc., a biologics company. From March 2013 to January 2019, Mr. Pascoe was the chief executive officer and director of Apricus Biosciences. From August 2008 to March 2013, Mr. Pascoe was the president and chief executive officer and a director of Pernix Sleep, Inc. (formerly known as Somaxon Pharmaceuticals, Inc.), a specialty pharmaceutical company. Prior to Pernix, from 2005 to 2008, Mr. Pascoe worked for ARIAD Pharmaceuticals, Inc., a specialty pharmaceutical company, where he was most recently senior vice president and chief operating officer. Mr. Pascoe also serves as a director of Seelos Therapeutics, Inc, a specialty pharmaceutical company. Mr. Pascoe received his B.S. degree from the United States Military Academy at West Point. Our Board believes that Mr. Pascoe’s experience as a chief executive officer at multiple public biotechnology and pharmaceutical companies provides him with the qualifications and skills to serve as a director of our Company. Mr. Pascoe has deep experience in drug development and public company management and leadership, which provides invaluable insight to the Board on long-term strategic planning and execution.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Travis C. Mickle, Ph.D.</w:t>
      </w:r>
    </w:p>
    <w:p>
      <w:pPr>
        <w:spacing w:after="0" w:line="221" w:lineRule="exact"/>
        <w:rPr>
          <w:sz w:val="20"/>
          <w:szCs w:val="20"/>
          <w:color w:val="auto"/>
        </w:rPr>
      </w:pPr>
    </w:p>
    <w:p>
      <w:pPr>
        <w:jc w:val="both"/>
        <w:ind w:left="20" w:firstLine="159"/>
        <w:spacing w:after="0" w:line="249" w:lineRule="auto"/>
        <w:rPr>
          <w:sz w:val="20"/>
          <w:szCs w:val="20"/>
          <w:color w:val="auto"/>
        </w:rPr>
      </w:pPr>
      <w:r>
        <w:rPr>
          <w:rFonts w:ascii="Times New Roman" w:cs="Times New Roman" w:eastAsia="Times New Roman" w:hAnsi="Times New Roman"/>
          <w:sz w:val="18"/>
          <w:szCs w:val="18"/>
          <w:color w:val="auto"/>
        </w:rPr>
        <w:t>Travis C. Mickle, Ph.D. is a co-founder of our Company, the Company’s President and has served as a member of our Board since our inception in 2006. He previously served as chairman of our Board from November 2014 to November 2021. Dr. Mickle has served as our president since 2006, as our chief scientific officer from 2006 to October 2010, and as our chief executive officer from October 2010 to January 2023. Prior to founding our Company, Dr. Mickle spent five years with New River Pharmaceuticals, a specialty pharmaceutical company, where he was a senior research scientist from 2001 to 2002, the director of chemistry from 2002 to 2003 and the director of drug discovery and CMC from 2003 to 2005. Dr. Mickle received his Ph.D. degree from the University of Iowa and his B.A. degree from Simpson College. Our Board believes that Dr. Mickle’s leadership of our company since its inception, knowledge of our company as founder and experience with pharmaceutical companies provides him with the qualifications and skills to serve as a director of our company. On January 6, 2023, Dr. Mickle resigned as a Class I director and as President effective as of the date of the Annual Meeting and thereafter, Dr. Mickle intends to continue to support the Company as a consultant.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Sven Guenther, Ph.D.</w:t>
      </w:r>
    </w:p>
    <w:p>
      <w:pPr>
        <w:spacing w:after="0" w:line="221" w:lineRule="exact"/>
        <w:rPr>
          <w:sz w:val="20"/>
          <w:szCs w:val="20"/>
          <w:color w:val="auto"/>
        </w:rPr>
      </w:pPr>
    </w:p>
    <w:p>
      <w:pPr>
        <w:jc w:val="both"/>
        <w:ind w:left="20" w:firstLine="159"/>
        <w:spacing w:after="0" w:line="251" w:lineRule="auto"/>
        <w:rPr>
          <w:sz w:val="20"/>
          <w:szCs w:val="20"/>
          <w:color w:val="auto"/>
        </w:rPr>
      </w:pPr>
      <w:r>
        <w:rPr>
          <w:rFonts w:ascii="Times New Roman" w:cs="Times New Roman" w:eastAsia="Times New Roman" w:hAnsi="Times New Roman"/>
          <w:sz w:val="18"/>
          <w:szCs w:val="18"/>
          <w:color w:val="auto"/>
        </w:rPr>
        <w:t>Sven Guenther, Ph.D. has served as our Chief Scientific Officer since January 2023. Dr. Guenther was one of the first members of Zevra, joined our Company as our group leader of research in 2007, and served as our Executive Vice President, Research and Development, from May 2014 to January 2023. In this role, he was a key contributor to the strategy and execution of all of Zevra’s early discovery work, as well as, the development and approval of three NDAs. As Chief Scientific Officer, he continues to lead Zevra’s research team and play a central role in the advancement of the Company’s pipeline. Dr. Guenther previously served as a Research Scientist for New River Pharmaceuticals, where he was part of the development team for Vyvanse®. He earned his Ph.D. from the University of Iowa and is listed as an inventor on numerous patents, as well as an author of several research papers.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LaDuane Clifton, CPA</w:t>
      </w:r>
    </w:p>
    <w:p>
      <w:pPr>
        <w:spacing w:after="0" w:line="221" w:lineRule="exact"/>
        <w:rPr>
          <w:sz w:val="20"/>
          <w:szCs w:val="20"/>
          <w:color w:val="auto"/>
        </w:rPr>
      </w:pPr>
    </w:p>
    <w:p>
      <w:pPr>
        <w:jc w:val="both"/>
        <w:ind w:left="20" w:firstLine="159"/>
        <w:spacing w:after="0" w:line="265" w:lineRule="auto"/>
        <w:rPr>
          <w:sz w:val="20"/>
          <w:szCs w:val="20"/>
          <w:color w:val="auto"/>
        </w:rPr>
      </w:pPr>
      <w:r>
        <w:rPr>
          <w:rFonts w:ascii="Times New Roman" w:cs="Times New Roman" w:eastAsia="Times New Roman" w:hAnsi="Times New Roman"/>
          <w:sz w:val="17"/>
          <w:szCs w:val="17"/>
          <w:color w:val="auto"/>
        </w:rPr>
        <w:t>R. LaDuane Clifton, CPA, has served as our Chief Financial Officer since June 2015 and as our secretary and treasurer since February 2016. Previously, Mr. Clifton served as our vice president of finance and corporate controller from April 2015 to June 2015. Prior to joining our company, Mr. Clifton served in a variety of positions with The LGL Group, Inc., a publicly held producer of industrial and commercial products and services, from August 2009 to February 2015, including chief financial officer, secretary and treasurer from December 2012 to February 2015, chief accounting officer and secretary from March 2010 to December 2012, and corporate controller from August 2009 to March 2010. From August 2008 to August 2009, Mr. Clifton served as the chief financial officer of a21, Inc., a publicly held holding company with businesses in stock photography and the online retail and manufacturer of framed art, and as its corporate controller from March 2007 to August 2008. Mr. Clifton served in a variety of finance and medical cost analysis roles with Aetna, Inc., a publicly held provider of healthcare benefits, from August 1991 to August 2004. Mr. Clifton was an auditor with KPMG, LLP from August 2004 to March 2007. Mr. Clifton received his B.B.A. and M.B.A. degrees from the University of North Florida and is a certified public accountant in the state of Florida.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Joshua Schafer</w:t>
      </w:r>
    </w:p>
    <w:p>
      <w:pPr>
        <w:spacing w:after="0" w:line="221" w:lineRule="exact"/>
        <w:rPr>
          <w:sz w:val="20"/>
          <w:szCs w:val="20"/>
          <w:color w:val="auto"/>
        </w:rPr>
      </w:pPr>
    </w:p>
    <w:p>
      <w:pPr>
        <w:jc w:val="both"/>
        <w:ind w:left="20" w:firstLine="159"/>
        <w:spacing w:after="0" w:line="248" w:lineRule="auto"/>
        <w:rPr>
          <w:sz w:val="20"/>
          <w:szCs w:val="20"/>
          <w:color w:val="auto"/>
        </w:rPr>
      </w:pPr>
      <w:r>
        <w:rPr>
          <w:rFonts w:ascii="Times New Roman" w:cs="Times New Roman" w:eastAsia="Times New Roman" w:hAnsi="Times New Roman"/>
          <w:sz w:val="18"/>
          <w:szCs w:val="18"/>
          <w:color w:val="auto"/>
        </w:rPr>
        <w:t>Joshua Schafer has served as our Chief Commercial Officer and Executive Vice President since January 2023. Mr. Schafer brings to Zevra over 25 years of pharmaceutical commercial, new product development and merger and acquisition (“M&amp;A”) experience. Mr. Schafer previously served as Senior Vice President and General Manager of the Autoimmune and Rare Disease business at Mallinckrodt Pharmaceuticals from December 2020 to November 2022. Prior to that at Mallinckrodt Pharmaceuticals, he served as Chief Strategy and Business Officer from September 2019 to December 2020 and Senior Vice President of Business Development and General Manager from January 2018 to September 2019. Prior to Mallinckrodt, Mr. Schafer served as Vice President and Oncology Therapeutic Area Head, Global Marketing and Strategy at Astellas Pharmaceuticals, where he was responsible for building the company's global oncology franchise, and also held senior roles at Takeda Pharmaceuticals, Accenture (formerly Anderson Consulting), G. D. Searle &amp; Co. (later acquired by Pfizer) and Cognia Corporation. During his professional career, he has successfully led over $16 billion in aggregate M&amp;A transactions. Mr. Schafer currently serves as a board member of Pharnext SA and Shuttle Pharmaceuticals. He received his B.A. in Biology and German at the University of Notre Dame, and both an M.S. in Biotechnology and an M.B.A. from Northwestern University.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Christal M.M. Mickle, M.A.</w:t>
      </w:r>
    </w:p>
    <w:p>
      <w:pPr>
        <w:spacing w:after="0" w:line="221" w:lineRule="exact"/>
        <w:rPr>
          <w:sz w:val="20"/>
          <w:szCs w:val="20"/>
          <w:color w:val="auto"/>
        </w:rPr>
      </w:pPr>
    </w:p>
    <w:p>
      <w:pPr>
        <w:jc w:val="both"/>
        <w:ind w:left="20" w:firstLine="159"/>
        <w:spacing w:after="0" w:line="248" w:lineRule="auto"/>
        <w:rPr>
          <w:sz w:val="20"/>
          <w:szCs w:val="20"/>
          <w:color w:val="auto"/>
        </w:rPr>
      </w:pPr>
      <w:r>
        <w:rPr>
          <w:rFonts w:ascii="Times New Roman" w:cs="Times New Roman" w:eastAsia="Times New Roman" w:hAnsi="Times New Roman"/>
          <w:sz w:val="18"/>
          <w:szCs w:val="18"/>
          <w:color w:val="auto"/>
        </w:rPr>
        <w:t>Christal M.M. Mickle, M.A. has served as our Chief Product Development Officer since January 2023. Ms. Mickle, who co-founded and has held a variety of positions at Zevra, most recently served as Senior Vice President, Operations and Product Development from June 2022 to January 2023. In this role, she managed the development of each of Zevra's products through strategic collaborations across the various drug development disciplines including clinical, regulatory, nonclinical, and manufacturing, enabling efficient use of funds and the ability to meet timelines and milestones. From January 2018 through June 2022, Ms. Mickle served as Zevra's Vice President, Product Development and Operations. Before founding Zevra in 2006, Ms. Mickle started her career as a Research Associate for New River Pharmaceuticals, preparing compounds in ADHD, pain, and thyroid dysfunctions for further study. Throughout her more than 20 years in the pharmaceutical industry, Ms. Mickle has been involved in early discovery as a medicinal chemist, starting and helping build a pharmaceutical company, and interacting with the FDA. In addition, her efforts managing a team of talented scientists has led to the approval of three NDAs. Ms. Mickle received her M.A. degree in Medicinal Chemistry from the University of Virginia and her B.A. and B.S. degrees in Chemistry and Biochemistry, respectively, from Virginia Polytechnic Institute and State University. She is also listed as an inventor on several patents.</w:t>
      </w:r>
    </w:p>
    <w:p>
      <w:pPr>
        <w:sectPr>
          <w:pgSz w:w="11900" w:h="16853" w:orient="portrait"/>
          <w:cols w:equalWidth="0" w:num="1">
            <w:col w:w="11260"/>
          </w:cols>
          <w:pgMar w:left="300" w:top="121" w:right="339" w:bottom="0" w:gutter="0" w:footer="0" w:header="0"/>
        </w:sectPr>
      </w:pP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53" w:orient="portrait"/>
          <w:cols w:equalWidth="0" w:num="1">
            <w:col w:w="11260"/>
          </w:cols>
          <w:pgMar w:left="300" w:top="121" w:right="339" w:bottom="0" w:gutter="0" w:footer="0" w:header="0"/>
          <w:type w:val="continuous"/>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Tamara A. Favorito (formerly Tamara A. Seymour)</w:t>
      </w:r>
    </w:p>
    <w:p>
      <w:pPr>
        <w:spacing w:after="0" w:line="221" w:lineRule="exact"/>
        <w:rPr>
          <w:sz w:val="20"/>
          <w:szCs w:val="20"/>
          <w:color w:val="auto"/>
        </w:rPr>
      </w:pPr>
    </w:p>
    <w:p>
      <w:pPr>
        <w:jc w:val="both"/>
        <w:ind w:left="20" w:firstLine="159"/>
        <w:spacing w:after="0" w:line="263" w:lineRule="auto"/>
        <w:rPr>
          <w:sz w:val="20"/>
          <w:szCs w:val="20"/>
          <w:color w:val="auto"/>
        </w:rPr>
      </w:pPr>
      <w:r>
        <w:rPr>
          <w:rFonts w:ascii="Times New Roman" w:cs="Times New Roman" w:eastAsia="Times New Roman" w:hAnsi="Times New Roman"/>
          <w:sz w:val="17"/>
          <w:szCs w:val="17"/>
          <w:color w:val="auto"/>
        </w:rPr>
        <w:t>Tamara A. Favorito has served as a director of our Company since August 2021. Ms. Favorito has more than 30 years of life sciences industry experience including 20 years as a chief financial officer. She currently serves as a board member and audit committee chair of Artelo Biosciences, Inc. and Kintara Therapeutics, Inc., both publicly-traded clinical-development stage companies. Ms. Favorito served on the board of directors of Beacon Discovery, Inc. from 2018 until their acquisition in March 2021. Ms. Favorito was interim CFO of Immunic, Inc., a publicly-traded clinical-stage drug development company in 2019. She served as CFO of Signal Genetics, Inc. (now Viridian Therapeutics, Inc.), a publicly-traded molecular diagnostics company, from 2014 to 2017, HemaQuest Pharmaceuticals, Inc., a venture-backed clinical-stage drug development company, from 2010 to 2014 and Favrille, Inc. (now MMR Global, Inc.), a publicly-traded clinical-stage drug development company, from 2001 to 2009. Earlier in her career, she spent eight years in public accounting with Deloitte</w:t>
      </w:r>
    </w:p>
    <w:p>
      <w:pPr>
        <w:spacing w:after="0" w:line="4" w:lineRule="exact"/>
        <w:rPr>
          <w:sz w:val="20"/>
          <w:szCs w:val="20"/>
          <w:color w:val="auto"/>
        </w:rPr>
      </w:pPr>
    </w:p>
    <w:p>
      <w:pPr>
        <w:jc w:val="both"/>
        <w:ind w:left="20" w:firstLine="6"/>
        <w:spacing w:after="0" w:line="247" w:lineRule="auto"/>
        <w:tabs>
          <w:tab w:leader="none" w:pos="2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Touche LLP and PricewaterhouseCoopers LLP. Ms. Favorito is a Certified Public Accountant (inactive). She received an MBA, emphasis in Finance, from Georgia State University, and a BBA, emphasis in Accounting, from Valdosta State University. Our Board believes that Ms. Favorito's deep experience in corporate management, finance and life science as chief financial officer of multiple public companies provides her with the qualifications and skills to serve as a director of our Company. Her extensive experience includes leading multiple private and public financings and M&amp;A transactions as well as leading the finance, investor relations, human resources, administration and managed care functions.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Matthew R. Plooster</w:t>
      </w:r>
    </w:p>
    <w:p>
      <w:pPr>
        <w:spacing w:after="0" w:line="221" w:lineRule="exact"/>
        <w:rPr>
          <w:sz w:val="20"/>
          <w:szCs w:val="20"/>
          <w:color w:val="auto"/>
        </w:rPr>
      </w:pPr>
    </w:p>
    <w:p>
      <w:pPr>
        <w:jc w:val="both"/>
        <w:ind w:left="20" w:firstLine="159"/>
        <w:spacing w:after="0" w:line="250" w:lineRule="auto"/>
        <w:rPr>
          <w:sz w:val="20"/>
          <w:szCs w:val="20"/>
          <w:color w:val="auto"/>
        </w:rPr>
      </w:pPr>
      <w:r>
        <w:rPr>
          <w:rFonts w:ascii="Times New Roman" w:cs="Times New Roman" w:eastAsia="Times New Roman" w:hAnsi="Times New Roman"/>
          <w:sz w:val="18"/>
          <w:szCs w:val="18"/>
          <w:color w:val="auto"/>
        </w:rPr>
        <w:t>Matthew R. Plooster has served as a director of our Company since March 2011 and the Chairman of our Board since January 2023. Mr. Plooster co-founded Bridgepoint Investment Banking, a division of Bridgepoint Holdings, LLC and Bridgepoint Holdings NE, LLC, where he has served as Managing Director since March 2012. Previously, Mr. Plooster worked as an investment banker at DeWaay Investment Banking from October 2010 to March 2012, Morgan Stanley from August 2009 to November 2009 and Deutsche Bank from 2004 to July 2009. Mr. Plooster received his Certificate in Business Excellence from Columbia Business School and his B.A. degree from the University of Chicago. Our Board believes that Mr. Plooster’s experience as an investor in and transaction experience with healthcare companies provides him with the qualifications and skills to serve as a director of our Company. Mr. Plooster has deep experience and expertise in capital raising, capital allocation, strategy and mergers and acquisitions.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Joseph B. Saluri</w:t>
      </w:r>
    </w:p>
    <w:p>
      <w:pPr>
        <w:spacing w:after="0" w:line="221" w:lineRule="exact"/>
        <w:rPr>
          <w:sz w:val="20"/>
          <w:szCs w:val="20"/>
          <w:color w:val="auto"/>
        </w:rPr>
      </w:pPr>
    </w:p>
    <w:p>
      <w:pPr>
        <w:jc w:val="both"/>
        <w:ind w:left="20" w:firstLine="159"/>
        <w:spacing w:after="0" w:line="249" w:lineRule="auto"/>
        <w:rPr>
          <w:sz w:val="20"/>
          <w:szCs w:val="20"/>
          <w:color w:val="auto"/>
        </w:rPr>
      </w:pPr>
      <w:r>
        <w:rPr>
          <w:rFonts w:ascii="Times New Roman" w:cs="Times New Roman" w:eastAsia="Times New Roman" w:hAnsi="Times New Roman"/>
          <w:sz w:val="18"/>
          <w:szCs w:val="18"/>
          <w:color w:val="auto"/>
        </w:rPr>
        <w:t>Joseph B. Saluri has served as a director of our Company since January 2014. Since August 2018, Mr. Saluri has served as the chief executive officer and chairman of the board of BlueAllele, LLC, a start-up biotechnology company located in Oakdale, Minnesota. Mr. Saluri previously served as general counsel and executive vice president for Calyxt, Inc. from June 2017 to March 2018. Prior to his employment with Calyxt, Inc., Mr. Saluri served as general counsel for Stine Seed Company and its affiliates from July 1999 to March 2017. Mr. Saluri practiced as an attorney and solicitor at law with Nicholas Critelli Associates, PC, in Des Moines, Iowa and London, England from June 1993 to June 1999. Mr. Saluri served as a director of Newlink Genetics Corporation, a public biopharmaceutical company from May 2010 to July 2017. Mr. Saluri received his J.D. degree from Drake University Law School and his B.S.B.A. degree from Drake University Law School and his B.S.B.A. degree from Drake University. Our Board believes that Mr. Saluri’s extensive legal background and experience in corporate management, governance, finance and investor relations provides him with the qualifications and skills to serve as a director of our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David S. Tierney, M.D.</w:t>
      </w:r>
    </w:p>
    <w:p>
      <w:pPr>
        <w:spacing w:after="0" w:line="221" w:lineRule="exact"/>
        <w:rPr>
          <w:sz w:val="20"/>
          <w:szCs w:val="20"/>
          <w:color w:val="auto"/>
        </w:rPr>
      </w:pPr>
    </w:p>
    <w:p>
      <w:pPr>
        <w:jc w:val="both"/>
        <w:ind w:left="20" w:firstLine="159"/>
        <w:spacing w:after="0" w:line="214" w:lineRule="exact"/>
        <w:rPr>
          <w:sz w:val="20"/>
          <w:szCs w:val="20"/>
          <w:color w:val="auto"/>
        </w:rPr>
      </w:pPr>
      <w:r>
        <w:rPr>
          <w:rFonts w:ascii="Times New Roman" w:cs="Times New Roman" w:eastAsia="Times New Roman" w:hAnsi="Times New Roman"/>
          <w:sz w:val="18"/>
          <w:szCs w:val="18"/>
          <w:color w:val="auto"/>
        </w:rPr>
        <w:t>David S. Tierney, M.D. has served as a director of our Company since March 2015. Since December 2020, Dr. Tierney has served as president and chief executive officer of Aramis Biosciences, a clinical-stage immuno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ophthalmology biopharmaceutical company. From February 2020 until December 2020, Dr. Tierney served as chief executive officer of Pharma Two B, Ltd., a privately held company developing innovative therapeutics based on previously approved drugs for Parkinson disease. From September 2019 until January 2020, Dr. Tierney served as president and chief executive officer of BiopharmX, a dermatology drug development company. From March 2014 until March 2018, Dr. Tierney was president and chief executive officer of Icon Bioscience, Inc., a privately held ophthalmology company, which was merged into Psivida, Inc to form Eyepoint Pharmaceuticals. From January 2013 until March 2014, Dr. Tierney was a venture partner at Signet Healthcare Partners, a New York City based life science private equity fund. Dr. Tierney served as president and chief operating officer and as a member of the board of directors of Oceana Therapeutics, Inc., a private specialty pharmaceutical company, from its organization in 2008 through its sale to Salix Pharmaceuticals, Ltd. in December 2011. Dr. Tierney served as the president and chief executive officer and as a member of the board of directors of Valera Pharmaceuticals, Inc., a specialty pharmaceutical company, between August 2000 and April 2007, when Valera completed a merger with lndevus Pharmaceuticals, Inc. From January 2000 to August 2000, Dr. Tierney served as president of Biovail Technologies, a division of Biovail Corporation, a Canadian drug delivery company. From March 1997 to January 2000, Dr. Tierney was senior vice president of drug development at Roberts Pharmaceutical Corporation and from December 1989 to March 1997, Dr. Tierney was employed by Elan Corporation, a pharmaceutical company, in a variety of management positions. Dr. Tierney is also currently a director of Catalyst Pharmaceuticals, Inc. and previously served as a director of BioPharmX from 2019 to 2020. Dr. Tierney received his medical degree from the Royal College of Surgeons in Dublin, Ireland and was subsequently trained in internal medicine. Our Board believes that Dr. Tierney's extensive experience as chief executive officer at multiple pharmaceutical companies provide him with the qualifications and skills to serve as a director of our Company. Combined with his background in drug development and his medical and scientific expertise, Dr. Tierney’s experience brings impactful perspectives to the Board.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Christopher A. Posner</w:t>
      </w:r>
    </w:p>
    <w:p>
      <w:pPr>
        <w:spacing w:after="0" w:line="221" w:lineRule="exact"/>
        <w:rPr>
          <w:sz w:val="20"/>
          <w:szCs w:val="20"/>
          <w:color w:val="auto"/>
        </w:rPr>
      </w:pPr>
    </w:p>
    <w:p>
      <w:pPr>
        <w:jc w:val="both"/>
        <w:ind w:left="20" w:firstLine="159"/>
        <w:spacing w:after="0" w:line="248" w:lineRule="auto"/>
        <w:rPr>
          <w:sz w:val="20"/>
          <w:szCs w:val="20"/>
          <w:color w:val="auto"/>
        </w:rPr>
      </w:pPr>
      <w:r>
        <w:rPr>
          <w:rFonts w:ascii="Times New Roman" w:cs="Times New Roman" w:eastAsia="Times New Roman" w:hAnsi="Times New Roman"/>
          <w:sz w:val="18"/>
          <w:szCs w:val="18"/>
          <w:color w:val="auto"/>
        </w:rPr>
        <w:t>Christopher A. Posner has served as a director of our Company since November 2022. Mr. Posner has served as the President and Chief Executive Officer of Cara Therapeutics, Inc. since November 2021 and has served as a member of its board since August 2018. He has broad experience in commercial and marketing operations and product management at both large and specialty pharmaceutical companies, where he has focused on products for autoimmune, inflammatory and pain conditions, including XELJANZ® and ENBREL®. From July 2017 to October 2021, he served as the Chief Executive Officer of LEO Pharma, Inc. US, a subsidiary of LEO Pharma A/S, a global healthcare company specializing in dermatology and critical care, including such conditions as psoriasis and atopic dermatitis. Prior to joining LEO, he was the head of worldwide commercial operations at R-Pharma-US, LLC, a specialty pharmaceutical company focused on oncology and chronic immune disorders, from 2014 until 2017. Previously, Mr. Posner held a variety of senior management positions in commercial and marketing operations at Bristol-Myers Squibb Company, Pfizer Inc., Wyeth Pharmaceuticals, Inc. and Endo International plc. Mr. Posner holds an M.B.A. from Fuqua School of Business, Duke University and a B.A. in Economics from Villanova University. Our Board believes that Mr. Posner’s extensive experience in global pharmaceutical management, sales and products provides him with the qualifications and skills to serve as a director of our Company. His deep experience in commercial and marketing operations and product management provides a critical perspective to the Board as the Company executes on its diverse product portfolio.</w:t>
      </w:r>
    </w:p>
    <w:p>
      <w:pPr>
        <w:sectPr>
          <w:pgSz w:w="11900" w:h="16838" w:orient="portrait"/>
          <w:cols w:equalWidth="0" w:num="1">
            <w:col w:w="11260"/>
          </w:cols>
          <w:pgMar w:left="300" w:top="121" w:right="339" w:bottom="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81915</wp:posOffset>
            </wp:positionV>
            <wp:extent cx="71348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jc w:val="both"/>
        <w:ind w:left="680" w:hanging="675"/>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Listing</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1, 2023, our common stock began trading on The Nasdaq Global Select Market under the ticker symbol "ZVRA". Prior to that, on October 19, 2021, our common stock began trading on The Nasdaq Global Select Market under the ticker symbol "KMPH". Prior to that date, our common stock was listed on the Nasdaq Capital Market under the ticker symbol "KMPH".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2022, there were approximately 98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anticipate that we will retain all of our future earnings, if any, for use in the operation and expansion of our business and do not anticipate paying cash dividends in the foreseeable 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regarding securities authorized for issuance under equity compensation plans is included in Part III of this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1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8" w:name="page89"/>
    <w:bookmarkEnd w:id="88"/>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are a rare disease company melding science, data and patient need to create transformational therapies for diseases with limited or no treatment options. With unique, data-driven clinical, regulatory, and commercialization strategies, we are overcoming complex drug development challenges to bring much-needed therapies to patients. We have a diverse portfolio of products and product candidates, which includes a combination of both a clinical stage pipeline and commercial stage assets. The Company’s pipeline includes arimoclomol, an orally-delivered, first in-class investigational product candidate being developed for Niemann-Pick disease Type C, or NPC, which has been granted orphan drug designation, Fast-Track designation, Breakthrough Therapy designation and rare pediatric disease designation for the treatment of NPC by the U.S. Food and Drug Administration, or FDA, and orphan medicinal product designation for the treatment of NPC by the European Medicines Agency, or EMA. KP1077 is our lead clinical development product candidate which is being developed as a treatment for idiopathic hypersomnia, or IH, a rare neurological sleep disorder, and narcolepsy. KP1077 is comprised solely of serdexmethylphenidate, or SDX, our proprietary prodrug of d-methylphenidate, or d-MPH. The FDA has granted KP1077 orphan drug designation for the treatment of IH, and the U.S. Drug Enforcement Agency, or DEA, has classified SDX as a Schedule IV controlled substance based on evidence suggesting SDX has a lower potential for abuse when compared to d-MPH, a Schedule II controlled substance.</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have specialized expertise and a track record of success in advancing promising therapies that face complex clinical and regulatory challenges with an approach that balances science and data with patient need. The FDA has approved AZSTARYS®, formerly referred to as KP415, a once-daily treatment for attention deficit hyperactivity disorder, or ADHD, in patients age six years and older containing our prodrug, SDX, and d-MPH. In September 2019, we entered into a collaboration and license agreement, or the AZSTARYS License Agreement, with Commave Therapeutics S.A. (formerly known as Boston Pharmaceutical S.A.), or Commave, an affiliate of Gurnet Point Capital, L.P. Under the AZSTARYS License Agreement, we granted to Commave an exclusive, worldwide license, to develop, manufacture, and commercialize AZSTARYS and any of our product candidates containing SDX and used to treat ADHD or any other CNS disease. Commave has tasked Corium, Inc., or Corium, an affiliate of Gurnet Point Capital, L.P., to lead all commercialization activities for AZSTARYS in the U.S. under the AZSTARYS License Agreement. Corium commercially launched AZSTARYS in the U.S. during the third quarter of 2021. In December 2021, Commave sublicensed commercialization rights for AZSTARYS in greater China to Shanghai Ark Biopharmaceutical Ltd. The FDA has also approved APADAZ®, an immediate-release combination product containing benzhydrocodone, our prodrug of hydrocodone, and acetaminophen, for the short-term (no more than 14 days) management of acute pain severe enough to require opioid analgesic and for which alternative treatments are inadequate. In October 2018, we entered into a collaboration and license agreement , or the APADAZ License Agreement, with KVK-Tech, Inc., or KVK, under which we granted to KVK the exclusive license to manufacture and commercialize APADAZ in the U.S.</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primary mission is to deliver life-changing treatments to people with rare conditions, their families, and caregivers who desperately need better options. This mission guides our efforts to expand our pipeline through both internal development and through our business development activities to collaborate, partner, and potentially acquire additional assets. We intend to target assets that will allow us to leverage the expertise and infrastructure that we have successfully built in order to mitigate risk and enhance our probability of success. In addition, we are considering external opportunities within neurology and neurodegenerative diseases, psychiatric disorders, and other rare diseases, along with adjacent or related therapeutic categories. We are seeking assets that are undergoing Phase 2 clinical trials or Phase 3 clinical trials, subject to our specific evaluation criteria, that we can in-license or acquire. If we are successful, expanding our development pipeline could be accretive to our value proposition by potentially adding new clinical data catalysts and have the potential to create incremental long-term value for stockholders. In addition, we believe that a multi-channel development program with several product candidates addressing various CNS/rare disease indications will diversify risk and potentially create an impactful portfolio of commercial-stage products in the future.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example, in May 2022, we, through our newly formed wholly-owned subsidiary, Zevra Denmark A/S (formerly known as KemPharm Denmark A/S prior to February 21, 2023, or Zevra DK, entered into an Asset Purchase Agreement, or the Arimoclomol Purchase Agreement, with Orphazyme A/S in restructuring, a Danish public limited liability company, or Orphazyme. The transactions agreed to under the Arimoclomol Purchase Agreement closed on May 31, 2022. Under the terms of the Arimoclomol Purchase Agreement, Zevra DK purchased all of the assets and operations of Orphazyme related to arimoclomol and settled all of Orphazyme’s actual outstanding liabilities to its creditors with a cash payment of $12.8 million. In addition, Zevra DK agreed to assume an estimated reserve liability of $5.2 million related to revenue generated from Orphazyme’s Early Access Program in France, or the Arimoclomol EAP.</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most advanced product candidate, arimoclomol, is being developed for the treatment of NPC, a lysosomal storage disease, or LSD. NPC is a rare neurodegenerative disease characterized by an inability of the body to transport cholesterol and lipids inside of cells. Symptoms of NPC include a progressive impairment of mobility, cognition, speech, and swallowing, often culminating in premature death. The incidence of NPC is estimated to be one in 100,000 live births. We estimate that approximately 1,500 individuals have been diagnosed, of which approximately 300 are in the United States and approximately 1,200 are in Europe. However, diagnostic challenges may affect the number of potential patients, and we believe that the availability of treatment options could increase awareness of the disease and assist in identifying more cases. Therapies to treat NPC are desperately needed, and for this reason, arimoclomol is currently being made available to NPC patients in the United States, France, Germany, and other European Union countries under various early access programs, or EAPs.</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September 16, 2020, the previous sponsor of the arimoclomol program, Orphazyme, submitted a new drug application, or NDA, seeking approval for arimoclomol to treat NPC. In June 2021, the FDA issued a complete response letter, or CRL, which means the FDA determined that it could not approve the NDA in its present form. Our aim is to prepare and resubmit an NDA that presents meaningful evidence of safety and efficacy of arimoclomol for its intended use. To that end, we are continuing to work diligently to characterize the substantial data generated since the CRL, including the recently completed four-year open-label safety trial which was recently presented at the 19th World</w:t>
      </w:r>
      <w:r>
        <w:rPr>
          <w:rFonts w:ascii="Times New Roman" w:cs="Times New Roman" w:eastAsia="Times New Roman" w:hAnsi="Times New Roman"/>
          <w:sz w:val="17"/>
          <w:szCs w:val="17"/>
          <w:i w:val="1"/>
          <w:iCs w:val="1"/>
          <w:color w:val="auto"/>
        </w:rPr>
        <w:t>Symposium</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in February 2023. Results from this analysis, based on up to four years of continuous treatment, suggest that arimoclomol may reduce the long-term progression of NPC. Upon fulfilling the randomized double-blinded portion of the phase 2/3 clinical trial, both placebo- and arimoclomol-treated patients were given the option to continue into the four-year (48 month) open-label-extension, or OLE, phase of the study with arimoclomol treatment provided in addition to their current standard of care. Progression of NPC disease through the DB and OLE phases was assessed utilizing the five-domain NPC Clinical Severity Scale (5DNPCCSS) and compared with an estimated progression calculated from the combination of untreated patients from the NPC-001 observational trial and placebo patients from the NPC-002 Phase 2/3 trial. We are also investigating correlations between relevant 5DNPCCSS domains and corresponding Scale for the Assessment and Rating of Ataxia, or SARA, test items to potentially provide further supportive evidence for 5DNPCCSS validity as a tool for evaluating NPC progression. The SARA test evaluates impairment related to</w:t>
      </w:r>
    </w:p>
    <w:p>
      <w:pPr>
        <w:sectPr>
          <w:pgSz w:w="11900" w:h="16879" w:orient="portrait"/>
          <w:cols w:equalWidth="0" w:num="1">
            <w:col w:w="11240"/>
          </w:cols>
          <w:pgMar w:left="320" w:top="121" w:right="339" w:bottom="0" w:gutter="0" w:footer="0" w:header="0"/>
        </w:sectPr>
      </w:pPr>
    </w:p>
    <w:bookmarkStart w:id="89" w:name="page90"/>
    <w:bookmarkEnd w:id="89"/>
    <w:p>
      <w:pPr>
        <w:jc w:val="both"/>
        <w:spacing w:after="0" w:line="271" w:lineRule="auto"/>
        <w:rPr>
          <w:sz w:val="20"/>
          <w:szCs w:val="20"/>
          <w:color w:val="auto"/>
        </w:rPr>
      </w:pPr>
      <w:r>
        <w:rPr>
          <w:rFonts w:ascii="Times New Roman" w:cs="Times New Roman" w:eastAsia="Times New Roman" w:hAnsi="Times New Roman"/>
          <w:sz w:val="17"/>
          <w:szCs w:val="17"/>
          <w:color w:val="auto"/>
        </w:rPr>
        <w:t>cerebellar ataxia, which was a secondary endpoint in the Phase 2/3 clinical trial of arimoclomol in NPC (NPC progression based on the 5DNPCCSS was the primary endpoint). Based on a comparative analysis of both measurements, it was determined that individual 5DNPCCSS domains and relevant performance-based SARA test items showed strong associations and alignment between the two instruments for all analysis methods used. These results provide further support that the evaluated 5DNPCCSS domains are appropriately standardized to allow for reliable and reproducible scoring of disease severity in NPC. We plan to include these data as part of the updated NDA for arimoclomol, which is expected to be resubmitted to the FDA as early as the third quarter of 2023.</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also intend to advance our pipeline of prodrug product candidates for the treatment of IH and other CNS/rare diseases, and we reported top-line data from a Phase 1 proof-of-concept study of SDX in the fourth quarter of 2021 and final data for the Phase 1 proof-of-concept study of SDX in the first quarter of 2022. The proof-of-concept study was a dose-escalation study to evaluate the pharmacokinetics, pharmacodynamic stimulant effects, and safety of single oral doses of SDX in subjects with a history of high-dose stimulant use. In the trial, 240 mg and 360 mg doses of SDX were observed to be well-tolerated and produced d-MPH exposure that appeared to increase proportionally with dose. Mean d-MPH plasma concentrations showed a gradual increase after SDX administration, reaching a broad peak from eight to twelve hours post-dose, followed by a shallow decline thereafter. Increased wakefulness, alertness, hypervigilance, and insomnia effects were reported by study participants, which we believe suggests that SDX produced targeted pharmacodynamic effects that have the potential to benefit patients with IH and other sleep disorders. On November 18, 2022, we announced that the FDA has granted the Orphan Drug Designation to SDX for the treatment of IH.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January 2022, we announced that we have selected KP1077 for the treatment of IH and narcolepsy as our lead clinical development candidate. KP1077 utilizes SDX, our prodrug of d-MPH, as its active pharmaceutical ingredient. During the first quarter of 2022, we initiated a Phase 1 clinical trial comparing the cardiovascular safety of SDX to immediate-release and long-acting formulations of RITALIN®, a commonly prescribed CNS stimulant. In September 2022, we announced topline data from our exploratory Phase 1 clinical trial, which showed the potential for higher dose formulations of SDX to be safe and well tolerated while avoiding the potential for greater cardiovascular safety risk compared to immediate-release and long-acting formulations of Ritalin. Based on the data, we have identified initial dosing strengths for the planned Phase 2 clinical trial of KP1077 which we believe have the potential to be well-tolerated while providing higher overall exposures to d-MPH compared to other methylphenidate products that are often used off-label as a treatment for IH. In addition, on December 21, 2022, we announced the initiation of a Phase 2 clinical trial evaluating KP1077. The Phase 2 clinical trial is a double-blind, placebo-controlled, randomized-withdrawal, dose-optimizing, multi-center study evaluating the efficacy and safety of KP1077 for the treatment of IH. We expect to enroll approximately 48 adult patients with IH in more than 30 centers in the United States. Part 1 of the trial will consist of a five-week open-label titration phase during which patients will be optimized to one of four doses of SDX (80, 160, 240, or 320 mg/day). Part 2 of the trial will entail a two-week randomized, double-blind, withdrawal phase, during which two-thirds of the trial participants will continue to receive their optimized dose while the remaining one-third will receive placebo. Participants will be further assigned into two evenly divided cohorts. The first cohort will receive a single daily dose just before bedtime, and the second cohort will receive half the daily dose shortly after awakening and half the daily dose prior to bedtime. Interim efficacy and safety data for the Phase 2 trial is expected as early as the third quarter of 2023. We anticipate that we will submit the IND for KP1077 for the treatment of narcolepsy as early as the second quarter of 2023, and subsequently begin a trial in narcolepsy soon after interim data from the Phase 2 IH clinical trial is available.</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May 2021, we announced that SDX, our proprietary prodrug of d-MPH and the primary active pharmaceutical ingredient, or API, in AZSTARYS, was classified as a Schedule IV controlled substance by the DEA. AZSTARYS is classified as a Schedule II controlled substance as its formulation includes a 70:30 mixture of SDX (Schedule IV) and d-MPH (Schedule II), respectively.</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March 2021, we announced that the FDA approved the NDA for AZSTARYS, a once-daily product for the treatment of ADHD in patients ranging from six years and older. Commave has licensed the commercial rights for AZSTARYS as provided by the AZSTARYS License Agreement and has tasked Corium with leading all commercialization activities for AZSTARYS in the United States. Corium commercially launched AZSTARYS in the United States during the third quarter of 2021. In December 2021, Commave sublicensed commercialization rights for AZSTARYS in greater China to Shanghai Ark Biopharmaceutical Ltd.</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employ our proprietary Ligand Activated Therapy, or LAT ®, platform technology to discover and develop prodrugs that are new molecules that may potentially improve one or more of the attributes of approved drugs, such as enhanced bioavailability, extended duration of action, increased safety and reduced susceptibility to abuse. A prodrug is a precursor chemical compound of a drug that is inactive or less than fully active, which is then converted in the body to the active form of the drug through a normal metabolic process. Where possible, we seek, to develop prodrugs that will be eligible for approval under Section 505(b)(2) of the FFDCA, otherwise known as a 505(b)(2) NDA, which allows us to submit an NDA that relies on the FDA’s previous findings of safety and effectiveness for one or more approved products, if we demonstrate such reliance is scientifically appropriate.</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continue to seek opportunities to expand our pipeline of product candidates through our business development efforts, and by employing our LAT platform technology and development expertise to develop additional product candidates that address significant unmet medical needs in therapeutic indications which have few existing product options. We believe our prodrug product candidates may be eligible for composition-of-matter patent protection and we intend to use the 505(b)(2) NDA pathway when available, which we believe has the potential to reduce drug development time and expense.</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historically had minimal positive net cash flows from operations. Our cash flows (used in) provided by operations for the years ended December 31, 2022, and 2021, were $(18.7) million and $10.4 million, respectively. However, the positive net cash flows from operations for the year ended December 31, 2021, were primarily due to an adjustment to reconcile net loss to net cash used in operations of approximately $16.1 million related to a loss on extinguishment of debt during the period.</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expect to continue to incur significant expenses and minimal positive net cash flows from operations or negative net cash flows from operations for the foreseeable future, and those expenses and losses may fluctuate significantly from quarter-to-quarter and year-to-year. We anticipate that our expenses will fluctuate substantially as we:</w:t>
      </w:r>
    </w:p>
    <w:p>
      <w:pPr>
        <w:spacing w:after="0" w:line="178" w:lineRule="exact"/>
        <w:rPr>
          <w:sz w:val="20"/>
          <w:szCs w:val="20"/>
          <w:color w:val="auto"/>
        </w:rPr>
      </w:pPr>
    </w:p>
    <w:p>
      <w:pPr>
        <w:ind w:left="460" w:hanging="229"/>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 clinical trials and our product development activities for our pipeline of product candidates;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and initiate clinical trials of our product candidates;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either internally or in partnership with other pharmaceutical companies;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Financial Developments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January and February 2021, we undertook a series of transactions to regain our Nasdaq Capital Market listing and improve our balance sheet. These included a reverse stock split, an underwritten public offering, or the Public Offering, a restructuring of our debt and ultimately a payoff of all remaining debt and a transaction in which we induced the holders of some of the warrants we issued in the public offering to exercise those warrants for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 and Nasdaq Relisting</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Effective May 21, 2020, our common stock had been delisted from the Nasdaq Capital Market and we began listing on the OTC Markets Venture Market under the symbol “KMPH”. In anticipation of the Public Offering, we determined we would need to regain our Nasdaq listing.</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relist our common stock on the Nasdaq Capital Market, our common stock was required to satisfy the initial listing standards of the Nasdaq Capital Market., which included among others, that we have stockholders’ equity of at least $5.0 million, a market value of unrestricted publicly held shares of at least $15.0 million, at least 1.0 million unrestricted publicly held shares, at least 300 unrestricted round lot stockholders, at least three market makers and a bid price of at least $4.00 per share, or, collectively, the Nasdaq Listing Requirements. Accordingly, on December 23, 2020, we effectuated a 1-for-16 reverse stock split of our common stock in order to satisfy the bid price component of the Nasdaq Listing Requirements.</w:t>
      </w:r>
    </w:p>
    <w:p>
      <w:pPr>
        <w:spacing w:after="0" w:line="185" w:lineRule="exact"/>
        <w:rPr>
          <w:sz w:val="20"/>
          <w:szCs w:val="20"/>
          <w:color w:val="auto"/>
        </w:rPr>
      </w:pPr>
    </w:p>
    <w:p>
      <w:pPr>
        <w:jc w:val="both"/>
        <w:ind w:right="460"/>
        <w:spacing w:after="0" w:line="274" w:lineRule="auto"/>
        <w:rPr>
          <w:sz w:val="20"/>
          <w:szCs w:val="20"/>
          <w:color w:val="auto"/>
        </w:rPr>
      </w:pPr>
      <w:r>
        <w:rPr>
          <w:rFonts w:ascii="Times New Roman" w:cs="Times New Roman" w:eastAsia="Times New Roman" w:hAnsi="Times New Roman"/>
          <w:sz w:val="18"/>
          <w:szCs w:val="18"/>
          <w:color w:val="auto"/>
        </w:rPr>
        <w:t>On January 7, 2021, our common stock was approved for listing on the Nasdaq Capital Market. Our common stock began trading on the Nasdaq Capital Market on January 8, 2021, under the ticker symbol “KMPH”.</w:t>
      </w:r>
    </w:p>
    <w:p>
      <w:pPr>
        <w:spacing w:after="0" w:line="163" w:lineRule="exact"/>
        <w:rPr>
          <w:sz w:val="20"/>
          <w:szCs w:val="20"/>
          <w:color w:val="auto"/>
        </w:rPr>
      </w:pPr>
    </w:p>
    <w:p>
      <w:pPr>
        <w:jc w:val="both"/>
        <w:ind w:right="460"/>
        <w:spacing w:after="0" w:line="259" w:lineRule="auto"/>
        <w:rPr>
          <w:sz w:val="20"/>
          <w:szCs w:val="20"/>
          <w:color w:val="auto"/>
        </w:rPr>
      </w:pPr>
      <w:r>
        <w:rPr>
          <w:rFonts w:ascii="Times New Roman" w:cs="Times New Roman" w:eastAsia="Times New Roman" w:hAnsi="Times New Roman"/>
          <w:sz w:val="18"/>
          <w:szCs w:val="18"/>
          <w:color w:val="auto"/>
        </w:rPr>
        <w:t>On October 19, 2021, our common stock was approved for listing on the Nasdaq Global Select Market. Our common stock began trading on the Nasdaq Global Select Market on that date, under the ticker symbol “KMPH”. On March 1, 2023, our common stock began trading on The Nasdaq Global Select Market under the ticker symbol "ZVRA".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Restructuring</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anticipation of the Public Offering, and to meet the Nasdaq Listing Requirements, we agreed in December 2020 to restructure our outstanding senior secured convertible notes issued in December 2019 and January 2020, or the Senior Secured Notes, in the aggregate principal amount of $60.8 million and the senior secured convertible promissory note held by Deerfield Private Design Fund III, L.P., or Deerfield, in the principal amount of $7.5 million, or the Deerfield Note, and, collectively the Senior Secured Notes, the Facility Notes. The total outstanding principal and accrued interest under the Facility Notes was $69.4 million as of December 31,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agreement we entered into with our lenders in connection with this debt restructuring, which we refer to as the December 2020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Agreement, on January 12, 2021, in connection with the closing of our Public Offering, we:</w:t>
      </w:r>
    </w:p>
    <w:p>
      <w:pPr>
        <w:spacing w:after="0" w:line="198" w:lineRule="exact"/>
        <w:rPr>
          <w:sz w:val="20"/>
          <w:szCs w:val="20"/>
          <w:color w:val="auto"/>
        </w:rPr>
      </w:pPr>
    </w:p>
    <w:p>
      <w:pPr>
        <w:ind w:left="460" w:hanging="229"/>
        <w:spacing w:after="0" w:line="181" w:lineRule="auto"/>
        <w:tabs>
          <w:tab w:leader="none" w:pos="460" w:val="left"/>
        </w:tabs>
        <w:numPr>
          <w:ilvl w:val="0"/>
          <w:numId w:val="37"/>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exchanged $31.5 million of the outstanding principal and accrued interest on the Facility Notes for (i) 31,476.98412 shares of our Series B-2 convertible preferred stock, and (ii) warrants exercisable for 3,632,019 shares of our common stock, or the Exchange Warrants; and</w:t>
      </w:r>
    </w:p>
    <w:p>
      <w:pPr>
        <w:spacing w:after="0" w:line="193" w:lineRule="exact"/>
        <w:rPr>
          <w:rFonts w:ascii="Times New Roman" w:cs="Times New Roman" w:eastAsia="Times New Roman" w:hAnsi="Times New Roman"/>
          <w:sz w:val="34"/>
          <w:szCs w:val="34"/>
          <w:color w:val="auto"/>
          <w:vertAlign w:val="subscript"/>
        </w:rPr>
      </w:pPr>
    </w:p>
    <w:p>
      <w:pPr>
        <w:ind w:left="460" w:hanging="229"/>
        <w:spacing w:after="0"/>
        <w:tabs>
          <w:tab w:leader="none" w:pos="460" w:val="left"/>
        </w:tabs>
        <w:numPr>
          <w:ilvl w:val="0"/>
          <w:numId w:val="37"/>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made a payment of $30.3 million, or the Debt Payment, in partial repayment of the remaining outstanding principal and accrued interest on the Facility Notes.</w:t>
      </w:r>
    </w:p>
    <w:p>
      <w:pPr>
        <w:spacing w:after="0" w:line="2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share of Series B-2 convertible preferred stock issued pursuant to the December 2020 Exchange Agreement has a stated value of $1,000 and is convertible into shares of our common stock at any time, subject to specified limits. The shares of Series B-2 convertible preferred stock issued under the December 2020 Exchange Agreement are convertible into an aggregate of 4,842,690 shares of our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Warrants have substantially the same terms and conditions as the warrants sold by us in our January 2021 underwritten offering.</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Following the completion of these transactions, the aggregate balance of principal and accrued interest remaining outstanding under the Facility Notes was approximately $7.6 million. With respect to this remaining outstanding balance under the Facility Notes, the December 2020 Exchange Agreement amended the terms of that debt to provide that:</w:t>
      </w:r>
    </w:p>
    <w:p>
      <w:pPr>
        <w:spacing w:after="0" w:line="178" w:lineRule="exact"/>
        <w:rPr>
          <w:sz w:val="20"/>
          <w:szCs w:val="20"/>
          <w:color w:val="auto"/>
        </w:rPr>
      </w:pPr>
    </w:p>
    <w:p>
      <w:pPr>
        <w:ind w:left="460" w:hanging="229"/>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changed to March 31, 2023, and the debt is prepayable upon specified conditions; and</w:t>
      </w:r>
    </w:p>
    <w:p>
      <w:pPr>
        <w:spacing w:after="0" w:line="217" w:lineRule="exact"/>
        <w:rPr>
          <w:rFonts w:ascii="Times New Roman" w:cs="Times New Roman" w:eastAsia="Times New Roman" w:hAnsi="Times New Roman"/>
          <w:sz w:val="18"/>
          <w:szCs w:val="18"/>
          <w:color w:val="auto"/>
        </w:rPr>
      </w:pPr>
    </w:p>
    <w:p>
      <w:pPr>
        <w:ind w:left="460" w:right="240" w:hanging="229"/>
        <w:spacing w:after="0" w:line="181" w:lineRule="auto"/>
        <w:tabs>
          <w:tab w:leader="none" w:pos="460" w:val="left"/>
        </w:tabs>
        <w:numPr>
          <w:ilvl w:val="0"/>
          <w:numId w:val="38"/>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interest would accrue at the rate of 6.75% per annum, payable quarterly, would be added to principal until June 30, 2021, and then be payable in cash thereafter.</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closing of the transactions contemplated under the December 2020 Exchange Agreement, we filed an amended and restated certificate of designation with the Secretary of State of Delaware in order to modify the terms of our authorized, but unissued, shares of Series B-2 convertible preferred stock to reflect those contemplated under the December 2020 Exchange Agreement.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19"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17"/>
          <w:szCs w:val="17"/>
          <w:color w:val="auto"/>
        </w:rPr>
        <w:t>On January 8, 2021, we issued and sold 6,765,463 shares of our common stock, pre-funded warrants to purchase 926,844 shares of our common stock and warrants to purchase 7,692,307 shares of our common stock in the Public Offering. In addition, we granted the underwriter for the Public Offering an option to purchase, for a period of 45 days, up to an additional 1,153,846 shares of our common stock and/or warrants to purchase up to an additional 1,153,846 shares of our common stock. On January 8, 2021, the underwriter exercised its over-allotment option, in part, for warrants to purchase 754,035 shares of our common stock. On January 12, 2021, we closed the Public Offering. Further, on February 1, 2021, the underwriter again exercised its over-allotment option, in part, to purchase 374,035 shares of our common stock. On February 3, 2021, we closed the underwriter's partial exercise of its over-allotment option.</w:t>
      </w:r>
    </w:p>
    <w:p>
      <w:pPr>
        <w:spacing w:after="0" w:line="169"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The aggregate gross proceeds to us from the Public Offering, including from the exercises by the underwriter of its over-allotment option, totaled $52.4 million, before deducting underwriting discounts and commissions and offering expenses payable by us.</w:t>
      </w:r>
    </w:p>
    <w:p>
      <w:pPr>
        <w:spacing w:after="0" w:line="163"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On January 25, 2022, we filed an amendment to the registration statement on Form S-1 (File No. 333-250945) on Form S-3 covering the issuance of the shares of our common stock issuable upon the exercise of the warrants issued in the Public Offering and remaining unexercised as of the date of the amendment, which was declared effective on February 1, 2022.</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December 2020 Exchange Agreement Amendment</w:t>
      </w:r>
    </w:p>
    <w:p>
      <w:pPr>
        <w:spacing w:after="0" w:line="219"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On January 12, 2021, in connection with the transactions contemplated by the December 2020 Exchange Agreement, we entered into an Amendment to Senior Secured Convertible Notes and Amendment to Warrant, or the January 2021 Amendment, with Deerfield and Deerfield Special Situations Fund, LP, collectively the Deerfield Holders. The January 2021 Amendment modified certain specified terms of (i) the Facility Notes and (ii) the warrant held, issued on June 2, 2014, to, among other things, exclude the transactions contemplated by the December 2020 Exchange Agreement and issuance of securities pursuant to the Underwriting Agreement from the anti-dilution provisions of the Facility Notes and the warrant. Deerfield assigned the warrant, or the OTA Warrant, to OTA LLC, or OTA, in December 2022.</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January 2021 Warrant Exercise Inducement Letters and Issuance of Warrants</w:t>
      </w:r>
    </w:p>
    <w:p>
      <w:pPr>
        <w:spacing w:after="0" w:line="219"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On January 26, 2021, we entered into warrant exercise inducement offer letters, or the January 2021 Inducement Letters, with certain holders of warrants issued in the Public Offering, or the Existing Warrants, and collectively, the Exercising Holders, pursuant to which such holders exercised for cash their Existing Warrants to purchase 6,620,358 shares of our common stock in exchange for new warrants, or the January 2021 Inducement Warrants, on substantially the same terms as the Existing Warrants, except as set forth in the following sentence, to purchase up to 7,944,430 shares of our common stock, which was equal to 120% of the number of shares of our common stock issued upon exercise of the Existing Warrants, or the January 2021 Inducement Transaction. The purchase price of the January 2021 Inducement Warrants was $0.125 per share underlying each January 2021 Inducement Warrant, and the January 2021 Inducement Warrants have an exercise price of $6.36 per share. We received aggregate gross proceeds of $44.0 million from the exercise of the Existing Warrants by the Exercising Holders and the sale of the January 2021 Inducement Warrants.</w:t>
      </w:r>
    </w:p>
    <w:p>
      <w:pPr>
        <w:spacing w:after="0" w:line="190"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We also filed a registration statement on Form S-3 covering the resale of the shares of our common stock issued or issuable upon the exercise of the January 2021 Inducement Warrants which was declared effective on February 16, 2021.</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Payoff of Facility Agreement Notes and Termination of Facility Agreement</w:t>
      </w:r>
    </w:p>
    <w:p>
      <w:pPr>
        <w:spacing w:after="0" w:line="219" w:lineRule="exact"/>
        <w:rPr>
          <w:sz w:val="20"/>
          <w:szCs w:val="20"/>
          <w:color w:val="auto"/>
        </w:rPr>
      </w:pPr>
    </w:p>
    <w:p>
      <w:pPr>
        <w:ind w:left="20" w:right="120"/>
        <w:spacing w:after="0" w:line="274" w:lineRule="auto"/>
        <w:rPr>
          <w:sz w:val="20"/>
          <w:szCs w:val="20"/>
          <w:color w:val="auto"/>
        </w:rPr>
      </w:pPr>
      <w:r>
        <w:rPr>
          <w:rFonts w:ascii="Times New Roman" w:cs="Times New Roman" w:eastAsia="Times New Roman" w:hAnsi="Times New Roman"/>
          <w:sz w:val="18"/>
          <w:szCs w:val="18"/>
          <w:color w:val="auto"/>
        </w:rPr>
        <w:t>On February 8, 2021, we entered into a payoff letter with the Facility Note holders, pursuant to which we agreed to pay off and thereby terminate the Facility Agreement.</w:t>
      </w:r>
    </w:p>
    <w:p>
      <w:pPr>
        <w:spacing w:after="0" w:line="163" w:lineRule="exact"/>
        <w:rPr>
          <w:sz w:val="20"/>
          <w:szCs w:val="20"/>
          <w:color w:val="auto"/>
        </w:rPr>
      </w:pPr>
    </w:p>
    <w:p>
      <w:pPr>
        <w:ind w:left="20" w:right="100"/>
        <w:spacing w:after="0" w:line="274" w:lineRule="auto"/>
        <w:rPr>
          <w:sz w:val="20"/>
          <w:szCs w:val="20"/>
          <w:color w:val="auto"/>
        </w:rPr>
      </w:pPr>
      <w:r>
        <w:rPr>
          <w:rFonts w:ascii="Times New Roman" w:cs="Times New Roman" w:eastAsia="Times New Roman" w:hAnsi="Times New Roman"/>
          <w:sz w:val="18"/>
          <w:szCs w:val="18"/>
          <w:color w:val="auto"/>
        </w:rPr>
        <w:t>Pursuant to the payoff letter, we paid a total of $8.0 million to the Facility Note holders, representing the principal balance, accrued interest outstanding and a prepayment fee in repayment of our outstanding obligations under the Facility Agreement.</w:t>
      </w:r>
    </w:p>
    <w:p>
      <w:pPr>
        <w:spacing w:after="0" w:line="163" w:lineRule="exact"/>
        <w:rPr>
          <w:sz w:val="20"/>
          <w:szCs w:val="20"/>
          <w:color w:val="auto"/>
        </w:rPr>
      </w:pPr>
    </w:p>
    <w:p>
      <w:pPr>
        <w:ind w:left="20"/>
        <w:spacing w:after="0" w:line="274" w:lineRule="auto"/>
        <w:rPr>
          <w:sz w:val="20"/>
          <w:szCs w:val="20"/>
          <w:color w:val="auto"/>
        </w:rPr>
      </w:pPr>
      <w:r>
        <w:rPr>
          <w:rFonts w:ascii="Times New Roman" w:cs="Times New Roman" w:eastAsia="Times New Roman" w:hAnsi="Times New Roman"/>
          <w:sz w:val="18"/>
          <w:szCs w:val="18"/>
          <w:color w:val="auto"/>
        </w:rPr>
        <w:t>Pursuant to the payoff letter, all outstanding indebtedness and obligations owed by us to the Facility Note holders under the Facility Agreement have been paid in full. The Facility Agreement and the notes thereunder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2021 Warrant Exercise Inducement Letters and Issuance of Warrants</w:t>
      </w:r>
    </w:p>
    <w:p>
      <w:pPr>
        <w:spacing w:after="0" w:line="219" w:lineRule="exact"/>
        <w:rPr>
          <w:sz w:val="20"/>
          <w:szCs w:val="20"/>
          <w:color w:val="auto"/>
        </w:rPr>
      </w:pPr>
    </w:p>
    <w:p>
      <w:pPr>
        <w:jc w:val="both"/>
        <w:ind w:left="20" w:right="80"/>
        <w:spacing w:after="0" w:line="249" w:lineRule="auto"/>
        <w:rPr>
          <w:sz w:val="20"/>
          <w:szCs w:val="20"/>
          <w:color w:val="auto"/>
        </w:rPr>
      </w:pPr>
      <w:r>
        <w:rPr>
          <w:rFonts w:ascii="Times New Roman" w:cs="Times New Roman" w:eastAsia="Times New Roman" w:hAnsi="Times New Roman"/>
          <w:sz w:val="18"/>
          <w:szCs w:val="18"/>
          <w:color w:val="auto"/>
        </w:rPr>
        <w:t>On June 18, 2021, we entered into warrant exercise inducement offer letters, or the June 2021 Inducement Letters, with certain holders of the January 2021 Inducement Warrants, pursuant to which such holders exercised for cash their January 2021 Inducement Warrants to purchase 6,117,509 shares of our common stock in exchange for new warrants, or the June 2021 Inducement Warrants, on substantially the same terms as the January 2021 Inducement Warrants, except as set forth in the following sentence, to purchase up to 1,529,379 shares of our common stock, which was equal to 25% of the number of shares of our common stock issued upon exercise of the January 2021 Inducement Warrants, or the June 2021 Inducement Transaction. The purchase price of the June 2021 Inducement Warrants was $0.125 per share underlying each June 2021 Inducement Warrant, and the June 2021 Inducement Warrants have an exercise price of $16.50 per share and expire on December 31, 2026. We received aggregate gross proceeds of $39.1 million from the exercise of the January 2021 Inducement Warrants and the sale of the June 2021 Inducement Warrants.</w:t>
      </w:r>
    </w:p>
    <w:p>
      <w:pPr>
        <w:spacing w:after="0" w:line="19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We also filed a registration statement on Form S-3 covering the resale of the shares of our common stock issued or issuable upon the exercise of the June 202 Inducement Warrants which was declared effective on July 7, 2021.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Distribution Agreement</w:t>
      </w:r>
    </w:p>
    <w:p>
      <w:pPr>
        <w:spacing w:after="0" w:line="219" w:lineRule="exact"/>
        <w:rPr>
          <w:sz w:val="20"/>
          <w:szCs w:val="20"/>
          <w:color w:val="auto"/>
        </w:rPr>
      </w:pPr>
    </w:p>
    <w:p>
      <w:pPr>
        <w:jc w:val="both"/>
        <w:ind w:left="20" w:right="80"/>
        <w:spacing w:after="0" w:line="259" w:lineRule="auto"/>
        <w:rPr>
          <w:sz w:val="20"/>
          <w:szCs w:val="20"/>
          <w:color w:val="auto"/>
        </w:rPr>
      </w:pPr>
      <w:r>
        <w:rPr>
          <w:rFonts w:ascii="Times New Roman" w:cs="Times New Roman" w:eastAsia="Times New Roman" w:hAnsi="Times New Roman"/>
          <w:sz w:val="18"/>
          <w:szCs w:val="18"/>
          <w:color w:val="auto"/>
        </w:rPr>
        <w:t>On July 2, 2021, we entered into an Equity Distribution Agreement with JMP and RBCCM, under which we may offer and sell, from time to time at our sole discretion, shares of our common stock having an aggregate offering price of up to $75.0 million through JMP and RBCCM as our sales agents. The issuance and sale, if any, of our common stock under the Equity Distribution Agreement will be made pursuant to a registration statement on Form S-3.</w:t>
      </w:r>
    </w:p>
    <w:p>
      <w:pPr>
        <w:spacing w:after="0" w:line="17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filed a registration statement on Form S-3 covering the sale of the shares of our common stock up to $350.0 million, $75.0 million of which was allocated to the sales of the shares of common stock issuable under the Equity Distribution Agreement. The Form S-3 was declared effective on July 12, 2021. As of December 31, 2022, no shares have been issued or sold under the Equity Distribution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19" w:lineRule="exact"/>
        <w:rPr>
          <w:sz w:val="20"/>
          <w:szCs w:val="20"/>
          <w:color w:val="auto"/>
        </w:rPr>
      </w:pPr>
    </w:p>
    <w:p>
      <w:pPr>
        <w:jc w:val="both"/>
        <w:ind w:left="20" w:right="80"/>
        <w:spacing w:after="0" w:line="249" w:lineRule="auto"/>
        <w:rPr>
          <w:sz w:val="20"/>
          <w:szCs w:val="20"/>
          <w:color w:val="auto"/>
        </w:rPr>
      </w:pPr>
      <w:r>
        <w:rPr>
          <w:rFonts w:ascii="Times New Roman" w:cs="Times New Roman" w:eastAsia="Times New Roman" w:hAnsi="Times New Roman"/>
          <w:sz w:val="18"/>
          <w:szCs w:val="18"/>
          <w:color w:val="auto"/>
        </w:rPr>
        <w:t>On December 20, 2021, the Company initiated a share repurchase program, or the Share Repurchase Program, pursuant to which the Company may repurchase up to $50 million of shares of its common stock through December 31, 2023. Capital allocation to the Share Repurchase Program will be based on a variety of factors, including our business results, the receipt of royalties and sales milestones under the AZSTARYS License Agreement, and potentially other sources of non-dilutive capital that may become available to the Company. Repurchases will be made in compliance with Rule 10b-18 of the Securities Exchange Act of 1934, as amended, subject to a variety of factors, including the market price of the Company’s common stock, general market and economic conditions and applicable legal requirements. The exact number of shares to be repurchased by the Company is not guaranteed and the program may be suspended, modified, or discontinued at any time without prior notice. As of December 31, 2022, the Company has repurchased 909,953 shares of its common stock for approximately $7.5 million under the Share Repurchase Program.</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00" w:top="121" w:right="259"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Third-Party Agreements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AZSTARYS License Agreement</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See Part I, Item 1. "Business—AZSTARYS” of this Annual Report on Form 10-K for information regarding the AZSTARYS License Agreement.</w:t>
      </w:r>
    </w:p>
    <w:p>
      <w:pPr>
        <w:spacing w:after="0" w:line="22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340"/>
          </w:cols>
          <w:pgMar w:left="300" w:top="121" w:right="125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APADAZ License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 “Business—APADAZ” of this Annual Report on Form 10-K for information regarding the APADAZ License Agreement.</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Third-Party Agreements</w:t>
      </w:r>
    </w:p>
    <w:p>
      <w:pPr>
        <w:spacing w:after="0" w:line="22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Under our March 2012 termination agreement with Aquestive, Aquestive has the right to receive a royalty amount equal to 10% of any value generated by AZSTARYS and any product candidates containing SDX. In connection with the AZSTARYS License Agreement, we paid Aquestive a royalty equal to 10% of the regulatory milestone and royalty payments we received in 2021 from AZSTARYS.</w:t>
      </w:r>
    </w:p>
    <w:p>
      <w:pPr>
        <w:spacing w:after="0" w:line="178"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In July 2020, we entered into the Corium Consulting Agreementunder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will be paid in quarterly installments through March 31, 2022. The remaining $2.0 million was conditioned upon the approval by the FDA of the NDA for Corium's product candidate, ADLARITY. This $2.0 million was earned in the first quarter of 2022. Corium also agreed to be responsible for and reimburse us for all development, commercialization and regulatory expenses incurred as part of the performance of the consulting services.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commercial revenue is, and will be, primarily derived from sales of our approved products or any of our product candidates for which we obtain regulatory approval, and sales of arimoclomol under the Arimoclomol EAP. We expect that our other sources of revenues will be through payments arising from our license agreements with Corium and KVK, and through any other future arrangements related to one of our product candidates. To date, we have generated revenue from the AZSTARYS License Agreement, sale of arimoclomol under the Arimoclomol EAP, reimbursement of out-of-pocket third-party costs, and the performance of consulting services. We cannot guarantee that either Corium will be able to successfully commercialize AZSTARYS or our product candidates covered under the AZSTARYS License Agreement, or KVK will be able to successfully commercialize APADAZ, or that we will ever receive any payments under the APADAZ License Agreement from commercial sales of APADAZ or any future payments under the APADAZ License Agreement. We also do not know when, if ever, any other product candidate will be commercially available.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components of our cost of revenue are royalties and expenses directly attributable to revenue. To date, we have generated revenue from the AZSTARYS License Agreement, sales of arimoclomol under the Arimoclomol EAP, reimbursement of out-of-pocket third-party costs and the performance of consulting services. In connection with the AZSTARYS License Agreement, we paid Aquestive a royalty equal to 10% of the upfront license payment and all regulatory milestone and royalty payments. In addition, we capitalized incremental costs directly attributable to the AZSTARYS License Agreement, these costs are amortized to royalties and contract costs as revenue is recognized.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classify our operating expenses into three categories: research and development expenses, general and administrative expenses and severance expense. Salaries and personnel-related costs, including benefits, bonuses and stock-based compensation expense, comprise a significant component of each of these expense categories. We allocate expenses associated with our facilities, information technology costs and depreciation and amortization between research and development expenses and general and administrative expenses based on employee headcount and the nature of work performed by each employee.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while performing research and development activities to discover and develop potential product candidates. This includes conducting preclinical studies and clinical trials, manufacturing development efforts and activities related to regulatory filings for product candidates. We recognize research and development expenses as they are incurred. Our research and development expense primarily consists of:</w:t>
      </w:r>
    </w:p>
    <w:p>
      <w:pPr>
        <w:spacing w:after="0" w:line="180" w:lineRule="exact"/>
        <w:rPr>
          <w:sz w:val="20"/>
          <w:szCs w:val="20"/>
          <w:color w:val="auto"/>
        </w:rPr>
      </w:pPr>
    </w:p>
    <w:p>
      <w:pPr>
        <w:ind w:left="460" w:hanging="229"/>
        <w:spacing w:after="0" w:line="274"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personnel-related costs, including benefits and any stock-based compensation, for our scientific personnel performing research and development activities;</w:t>
      </w:r>
    </w:p>
    <w:p>
      <w:pPr>
        <w:spacing w:after="0" w:line="163"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executing preclinical studies and clinical trials;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and other third parties who support our product candidate development;</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 seeking regulatory approval of our products; and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 and overhead.</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typically use our employee, consultant and infrastructure resources across our development programs. We track outsourced development costs by product candidate or development program, but we do not allocate personnel costs, other internal costs or external consultant costs to specific product candidates or development programs.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costs for the years ended December 31, 2022 and 2021 (in thousands):</w:t>
      </w:r>
    </w:p>
    <w:p>
      <w:pPr>
        <w:spacing w:after="0" w:line="215" w:lineRule="exact"/>
        <w:rPr>
          <w:sz w:val="20"/>
          <w:szCs w:val="20"/>
          <w:color w:val="auto"/>
        </w:rPr>
      </w:pPr>
    </w:p>
    <w:tbl>
      <w:tblPr>
        <w:tblLayout w:type="fixed"/>
        <w:tblInd w:w="84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17"/>
                <w:szCs w:val="17"/>
                <w:color w:val="auto"/>
              </w:rPr>
            </w:pPr>
          </w:p>
        </w:tc>
        <w:tc>
          <w:tcPr>
            <w:tcW w:w="116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2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Outsourced development costs directly identified to programs:</w:t>
            </w:r>
          </w:p>
        </w:tc>
        <w:tc>
          <w:tcPr>
            <w:tcW w:w="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Arimoclomol</w:t>
            </w:r>
          </w:p>
        </w:tc>
        <w:tc>
          <w:tcPr>
            <w:tcW w:w="100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1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KP1077</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KP879</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AZSTARYS</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outsourced development costs directly identified to programs</w:t>
            </w:r>
          </w:p>
        </w:tc>
        <w:tc>
          <w:tcPr>
            <w:tcW w:w="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2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Research and development costs not directly identified to programs:</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62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Personnel costs including cash compensation, benefits and stock-based</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Facilities costs</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costs</w:t>
            </w:r>
          </w:p>
        </w:tc>
        <w:tc>
          <w:tcPr>
            <w:tcW w:w="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200" w:type="dxa"/>
            <w:vAlign w:val="bottom"/>
            <w:tcBorders>
              <w:bottom w:val="single" w:sz="8" w:color="CCEEFF"/>
            </w:tcBorders>
            <w:shd w:val="clear" w:color="auto" w:fill="CCEEFF"/>
          </w:tcPr>
          <w:p>
            <w:pPr>
              <w:ind w:left="300"/>
              <w:spacing w:after="0" w:line="205" w:lineRule="exact"/>
              <w:rPr>
                <w:sz w:val="20"/>
                <w:szCs w:val="20"/>
                <w:color w:val="auto"/>
              </w:rPr>
            </w:pPr>
            <w:r>
              <w:rPr>
                <w:rFonts w:ascii="Times New Roman" w:cs="Times New Roman" w:eastAsia="Times New Roman" w:hAnsi="Times New Roman"/>
                <w:sz w:val="18"/>
                <w:szCs w:val="18"/>
                <w:color w:val="auto"/>
              </w:rPr>
              <w:t>Total research and development costs not directly allocated to programs</w:t>
            </w:r>
          </w:p>
        </w:tc>
        <w:tc>
          <w:tcPr>
            <w:tcW w:w="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11,204</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8,360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5"/>
        </w:trPr>
        <w:tc>
          <w:tcPr>
            <w:tcW w:w="62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1000" w:type="dxa"/>
            <w:vAlign w:val="bottom"/>
            <w:gridSpan w:val="2"/>
          </w:tcPr>
          <w:p>
            <w:pPr>
              <w:jc w:val="right"/>
              <w:ind w:right="81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19,614</w:t>
            </w:r>
          </w:p>
        </w:tc>
        <w:tc>
          <w:tcPr>
            <w:tcW w:w="1160" w:type="dxa"/>
            <w:vAlign w:val="bottom"/>
            <w:gridSpan w:val="2"/>
          </w:tcPr>
          <w:p>
            <w:pPr>
              <w:jc w:val="right"/>
              <w:ind w:right="9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10,161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anticipate that our research and development expense will fluctuate for the foreseeable future as we continue our efforts to advance the development of our product candidates, subject to the availability of additional funding. In accordance with the AZSTARYS License Agreement, Corium has also agreed to be responsible and reimburse us for all of development, commercialization and regulatory expenses for the Licensed Product Candidates, subject to certain limitations as set forth in the AZSTARYS License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successful commercialization of AZSTARYS, APADAZ, and any of our product candidates that may be approved and the development of our product candidates is highly uncertain. At this time, we cannot reasonably estimate the nature, timing or costs required to commercialize AZSTARYS, APADAZ, or any of our product candidates, if approved, and complete the remaining development of any product candidates. This is due to the numerous risks and uncertainties associated with the commercialization and development of our products and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 consists primarily of salaries and personnel-related costs, including employee benefits and any stock-based compensation, for employees performing functions other than research and development. This includes personnel in executive, finance, human resources and administrative support functions. Other general and administrative expenses include facility-related costs not otherwise allocated to research and development expense, professional fees for auditing, tax and legal services, expenses associated with obtaining and maintaining patents, consulting costs and costs of our information systems.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our general and administrative expense will fluctuate as we continue to operate as a public reporting company and continue to develop our product candidates. We believe that these fluctuations will likely include costs related to the hiring of additional personnel and fees for outside consultants, lawyers and accountants. We also expect to continue to incur costs to comply with corporate governance, internal control, investor relations, disclosure and similar requirements applicable to public reporting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Other (expense) income consists primarily of non-cash costs associated with fair value adjustments to our derivative and warrant liability, amortization of debt issuance costs and debt discount to interest expense and a net loss on extinguishment of debt arising primarily from the debt payoff in the first quarter of 2021. Other (expense) income also includes interest expense incurred on our outstanding borrowings as well as interest and other income consisting primarily of interest earned on investments. These items are unrelated to our core business and thus are recognized as other (expense) income in our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Income tax (expense) benefit consists of refundable state income tax credits and adjustments to those credits. To date, we have not been required to pay U.S. federal or state income taxes or Denmark taxes because we have not generated taxable income. We have received state income tax credits related to our qualified research activities in Iowa and Denmark. These refundable state income tax credits and adjustments to those credits are recognized as income tax expense (benefit) in our consolidated statements of operations, and to the extent the refundable state income tax credits are not collected as of period end, they are recognized as accounts receivable in our consolidated balance sheets.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tbl>
      <w:tblPr>
        <w:tblLayout w:type="fixed"/>
        <w:tblInd w:w="2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Table of Contents</w:t>
            </w:r>
          </w:p>
        </w:tc>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45"/>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4"/>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Period-to</w:t>
            </w:r>
          </w:p>
        </w:tc>
      </w:tr>
      <w:tr>
        <w:trPr>
          <w:trHeight w:val="205"/>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bottom w:val="single" w:sz="8" w:color="auto"/>
            </w:tcBorders>
            <w:gridSpan w:val="3"/>
          </w:tcPr>
          <w:p>
            <w:pPr>
              <w:jc w:val="right"/>
              <w:ind w:right="60"/>
              <w:spacing w:after="0" w:line="205" w:lineRule="exact"/>
              <w:rPr>
                <w:sz w:val="20"/>
                <w:szCs w:val="20"/>
                <w:color w:val="auto"/>
              </w:rPr>
            </w:pPr>
            <w:r>
              <w:rPr>
                <w:rFonts w:ascii="Times New Roman" w:cs="Times New Roman" w:eastAsia="Times New Roman" w:hAnsi="Times New Roman"/>
                <w:sz w:val="18"/>
                <w:szCs w:val="18"/>
                <w:b w:val="1"/>
                <w:bCs w:val="1"/>
                <w:color w:val="auto"/>
              </w:rPr>
              <w:t>Period Change</w:t>
            </w:r>
          </w:p>
        </w:tc>
      </w:tr>
      <w:tr>
        <w:trPr>
          <w:trHeight w:val="205"/>
        </w:trPr>
        <w:tc>
          <w:tcPr>
            <w:tcW w:w="1140" w:type="dxa"/>
            <w:vAlign w:val="bottom"/>
          </w:tcPr>
          <w:p>
            <w:pPr>
              <w:spacing w:after="0"/>
              <w:rPr>
                <w:sz w:val="17"/>
                <w:szCs w:val="17"/>
                <w:color w:val="auto"/>
              </w:rPr>
            </w:pPr>
          </w:p>
        </w:tc>
        <w:tc>
          <w:tcPr>
            <w:tcW w:w="502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Revenue, net</w:t>
            </w:r>
          </w:p>
        </w:tc>
        <w:tc>
          <w:tcPr>
            <w:tcW w:w="220" w:type="dxa"/>
            <w:vAlign w:val="bottom"/>
            <w:gridSpan w:val="2"/>
            <w:shd w:val="clear" w:color="auto" w:fill="CCEEFF"/>
          </w:tcPr>
          <w:p>
            <w:pPr>
              <w:jc w:val="right"/>
              <w:ind w:right="37"/>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10,458</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28,650</w:t>
            </w: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(18,192)</w:t>
            </w:r>
          </w:p>
        </w:tc>
      </w:tr>
      <w:tr>
        <w:trPr>
          <w:trHeight w:val="212"/>
        </w:trPr>
        <w:tc>
          <w:tcPr>
            <w:tcW w:w="11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(1,716)</w:t>
            </w:r>
          </w:p>
        </w:tc>
      </w:tr>
      <w:tr>
        <w:trPr>
          <w:trHeight w:val="212"/>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80" w:type="dxa"/>
            <w:vAlign w:val="bottom"/>
            <w:shd w:val="clear" w:color="auto" w:fill="CCEEFF"/>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80" w:type="dxa"/>
            <w:vAlign w:val="bottom"/>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5020" w:type="dxa"/>
            <w:vAlign w:val="bottom"/>
            <w:tcBorders>
              <w:bottom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52,963</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20,921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32,042</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0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(Loss) income from operations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(42,505)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7,729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(50,234)</w:t>
            </w:r>
          </w:p>
        </w:tc>
      </w:tr>
      <w:tr>
        <w:trPr>
          <w:trHeight w:val="205"/>
        </w:trPr>
        <w:tc>
          <w:tcPr>
            <w:tcW w:w="1140" w:type="dxa"/>
            <w:vAlign w:val="bottom"/>
          </w:tcPr>
          <w:p>
            <w:pPr>
              <w:spacing w:after="0"/>
              <w:rPr>
                <w:sz w:val="17"/>
                <w:szCs w:val="17"/>
                <w:color w:val="auto"/>
              </w:rPr>
            </w:pPr>
          </w:p>
        </w:tc>
        <w:tc>
          <w:tcPr>
            <w:tcW w:w="502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Other (expense) income:</w:t>
            </w:r>
          </w:p>
        </w:tc>
        <w:tc>
          <w:tcPr>
            <w:tcW w:w="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8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90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Interest expense related to amortization of debt issuance costs</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discount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0"/>
                <w:szCs w:val="20"/>
                <w:color w:val="auto"/>
              </w:rPr>
            </w:pPr>
          </w:p>
        </w:tc>
      </w:tr>
      <w:tr>
        <w:trPr>
          <w:trHeight w:val="212"/>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12"/>
        </w:trPr>
        <w:tc>
          <w:tcPr>
            <w:tcW w:w="114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adjustment related to derivative and warrant liability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w:t>
            </w:r>
          </w:p>
        </w:tc>
      </w:tr>
      <w:tr>
        <w:trPr>
          <w:trHeight w:val="212"/>
        </w:trPr>
        <w:tc>
          <w:tcPr>
            <w:tcW w:w="114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Borders>
              <w:bottom w:val="single" w:sz="8" w:color="auto"/>
            </w:tcBorders>
            <w:shd w:val="clear" w:color="auto" w:fill="CCEEFF"/>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other income (expense)</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(16,250)</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16,426</w:t>
            </w:r>
          </w:p>
        </w:tc>
        <w:tc>
          <w:tcPr>
            <w:tcW w:w="80" w:type="dxa"/>
            <w:vAlign w:val="bottom"/>
            <w:tcBorders>
              <w:bottom w:val="single" w:sz="8" w:color="auto"/>
            </w:tcBorders>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02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(42,329)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(8,521)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(33,808)</w:t>
            </w:r>
          </w:p>
        </w:tc>
      </w:tr>
      <w:tr>
        <w:trPr>
          <w:trHeight w:val="212"/>
        </w:trPr>
        <w:tc>
          <w:tcPr>
            <w:tcW w:w="11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Borders>
              <w:bottom w:val="single" w:sz="8" w:color="auto"/>
            </w:tcBorders>
          </w:tcPr>
          <w:p>
            <w:pPr>
              <w:spacing w:after="0"/>
              <w:rPr>
                <w:sz w:val="18"/>
                <w:szCs w:val="18"/>
                <w:color w:val="auto"/>
              </w:rPr>
            </w:pPr>
          </w:p>
        </w:tc>
      </w:tr>
      <w:tr>
        <w:trPr>
          <w:trHeight w:val="205"/>
        </w:trPr>
        <w:tc>
          <w:tcPr>
            <w:tcW w:w="6160" w:type="dxa"/>
            <w:vAlign w:val="bottom"/>
            <w:gridSpan w:val="3"/>
          </w:tcPr>
          <w:p>
            <w:pPr>
              <w:ind w:left="1120"/>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7"/>
                <w:szCs w:val="17"/>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(41,543)</w:t>
            </w:r>
          </w:p>
        </w:tc>
        <w:tc>
          <w:tcPr>
            <w:tcW w:w="80" w:type="dxa"/>
            <w:vAlign w:val="bottom"/>
          </w:tcPr>
          <w:p>
            <w:pPr>
              <w:spacing w:after="0"/>
              <w:rPr>
                <w:sz w:val="17"/>
                <w:szCs w:val="17"/>
                <w:color w:val="auto"/>
              </w:rPr>
            </w:pPr>
          </w:p>
        </w:tc>
        <w:tc>
          <w:tcPr>
            <w:tcW w:w="26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(8,555)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(32,988)</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19"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 xml:space="preserve">Net loss for the year ended December 31, 2022, was $41.5 million compared to net loss of $8.6 million for the year ended December 31, 2021. The change was primarily attributable to a change in (loss) income from operations of $50.2 million, partially offset by a $16.1 million decrease in loss on extinguishment of debt, an increase in net interest income and other income of $0.3 million and an increase in income tax benefit of $0.8 million. Acquired in-process research and development expense of $17.7 million for the year ended December 31, 2022, resulted from the acquisition of an intangible asset related to arimoclomol. The portion of the purchase that was allocated to in-process research and development assets acquired from Orphazyme was immediately expensed in accordance with ASC Subtopic 730-10-25, </w:t>
      </w:r>
      <w:r>
        <w:rPr>
          <w:rFonts w:ascii="Times New Roman" w:cs="Times New Roman" w:eastAsia="Times New Roman" w:hAnsi="Times New Roman"/>
          <w:sz w:val="18"/>
          <w:szCs w:val="18"/>
          <w:i w:val="1"/>
          <w:iCs w:val="1"/>
          <w:color w:val="auto"/>
        </w:rPr>
        <w:t>Accounting for Research and Development Costs.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1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Revenue for the year ended December 31, 2022, was $10.5 million, a decrease of $18.2 million compared to revenue of $28.7 million for the year ended December 31, 2021. The decrease was primarily attributable to a decrease in revenue from the AZSTARYS License Agreement of approximately $20.1 million. a decrease in revenue from the Corium Consulting Agreement of approximately $0.9 million and a decrease in other consulting and reimbursement revenue of $2.6 million, partially offset by an increase in sales under the Arimoclomol EAP of approximately $5.5 million.</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19"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Cost of revenue for the year ended December 31, 2022, was $0.3 million, a decrease of $1.7 million compared to cost of revenue of $2.0 million for the year ended December 31, 2021. The decrease was primarily attributable to a decrease in royalty payments related to revenue from the AZSTARYS License Agreement of approximately $2.0 million, partially offset by an increase in costs of goods sold under the Arimoclomol EAP.</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0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increased by $9.5 million, from $10.1 million for the year ended December 31, 2021, to $19.6 million for the year ended December 31, 2022. This increase was primarily attributable to an increase in third-party research and development costs of $6.9 million, an increase in other research and development costs of $0.6 million and an increase in personnel-related costs of $1.9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increased by $6.6 million, from $8.7 million for the year ended December 31, 2021, to $15.3 million for the year ended December 31, 2022. This increase was primarily attributable to an increase in professional fees of $2.2 million and an increase in personnel-related costs of $3.3 million and an increase in other expenses of $1.0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Acquired in-process research and development increased by $17.7 million for the year ended December 31, 2022, due to the acquisition of an intangible asset related to the arimoclomol acquisition on May 15, 2022. In accordance with Accounting Standards Codification (ASC) Subtopic 730-10-25,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and Development Costs</w:t>
      </w:r>
      <w:r>
        <w:rPr>
          <w:rFonts w:ascii="Times New Roman" w:cs="Times New Roman" w:eastAsia="Times New Roman" w:hAnsi="Times New Roman"/>
          <w:sz w:val="18"/>
          <w:szCs w:val="18"/>
          <w:color w:val="auto"/>
        </w:rPr>
        <w:t>, the up-front payments to acquire a new drug compound, as well as future milestone payments when paid or payable,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expensed as acquired IPR&amp;D in transactions other than a business combination provided that the drug has not achieved regulatory approval for marketing and, absent obtaining such approval, has no alternative future use. Therefore, the portion of the purchase price that was allocated to the IPR&amp;D assets acquired was immediately expensed.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Other income (expense) increased by $16.4 million, from $16.3 million expense for the year ended December 31, 2021, to $0.2 million of income for the year ended December 31, 2022. This period-to-period decrease in expense was primarily attributable to a loss on extinguishment of debt of $16.1 million during the first quarter of 2021 and an increase in net interest and other income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Through December 31, 2022, we have funded our research and development and operating activities primarily through the issuance of debt, private placements of redeemable convertible preferred stock and the sale of common stock in our initial public offering, at-the-market offering, underwritten public offerings, through our purchase agreements with Lincoln Park Capital LLC, or Lincoln Park, and from revenue received under the Arimoclomol EAP, AZSTARYS License Agreement, the Corium Consulting Agreement and other consulting arrangements. As of December 31, 2022, we had cash, cash equivalents and investments of $102.9 million.</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 date, we have generated revenue from the Arimoclomol EAP, AZSTARYS License Agreement, reimbursement of out-of-pocket third-party costs, and the performance of consulting services.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was paid in quarterly installments through March 31, 2022. The remaining $2.0 million was conditioned upon the approval by the FDA of the NDA for Corium's product candidate, ADLARITY. This $2.0 million was earned in the first quarter of 2022. Corium also agreed to be responsible for and reimburse us for all development, commercialization and regulatory expenses incurred as part of the performance of the consulting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In February 2020, we entered into the 2020 ELOC Agreement, with Lincoln Park, which provided that, upon the terms and subject to the conditions and limitations set forth therein, we may sell to Lincoln Park up to $4.0 million of shares of our common stock, from time to time over the 12-month term of the 2020 ELOC Agreement, and upon execution of the 2020 ELOC Agreement we issued an additional 19,289 shares of our common stock to Lincoln Park as commitment shares in accordance with the closing conditions contained within the 2020 ELOC Agreement. In May 2020, we reached the maximum allowable shares to be issued under the registration statement on Form S-3 covering the sale from time to time of up to $80.0 million of our common stock, preferred stock, and debt and/or warrants, which was declared effective by the SEC on April 10, 2020, of 579,260 shares and therefore we cannot issue additional shares under the 2020 ELOC Agreement. Through May 2020, we sold 559,971 shares of common stock (exclusive of the 19,289 commitment shares previously issued to Lincoln Park) under the 2020 ELOC Agreement for approximately $2.3 million in gross proceeds.</w:t>
      </w:r>
    </w:p>
    <w:p>
      <w:pPr>
        <w:spacing w:after="0" w:line="190"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We have had recurring negative net operating cash flows and we anticipate that we may continue to incur minimal positive net cash flows from operations or negative net cash flows from operations for at least the next several years. We expect that our sources of revenue will be through payments arising from our license agreements with Corium and KVK, or through our Corium Consulting Agreement, and other potential consulting arrangements and any other future arrangements related to one of our product candidates.</w:t>
      </w:r>
    </w:p>
    <w:p>
      <w:pPr>
        <w:spacing w:after="0" w:line="180" w:lineRule="exact"/>
        <w:rPr>
          <w:sz w:val="20"/>
          <w:szCs w:val="20"/>
          <w:color w:val="auto"/>
        </w:rPr>
      </w:pPr>
    </w:p>
    <w:p>
      <w:pPr>
        <w:jc w:val="both"/>
        <w:ind w:left="20"/>
        <w:spacing w:after="0" w:line="304" w:lineRule="auto"/>
        <w:rPr>
          <w:sz w:val="20"/>
          <w:szCs w:val="20"/>
          <w:color w:val="auto"/>
        </w:rPr>
      </w:pPr>
      <w:r>
        <w:rPr>
          <w:rFonts w:ascii="Times New Roman" w:cs="Times New Roman" w:eastAsia="Times New Roman" w:hAnsi="Times New Roman"/>
          <w:sz w:val="17"/>
          <w:szCs w:val="17"/>
          <w:color w:val="auto"/>
        </w:rPr>
        <w:t>In January 2021, we completed the Public Offering. The aggregate gross proceeds to us from the Public Offering, including from the exercises by the underwriter of its over-allotment option, totaled $52.4 million, before deducting underwriting discounts and commissions and offering expenses payable by us.</w:t>
      </w:r>
    </w:p>
    <w:p>
      <w:pPr>
        <w:spacing w:after="0" w:line="141"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In January 2021, we entered into the January 2021 Inducement Letters. We received aggregate gross proceeds of $44.0 million from the exercise of the Existing Warrants by the Exercising Holders and the sale of the January 2021 Inducement Warrants.</w:t>
      </w:r>
    </w:p>
    <w:p>
      <w:pPr>
        <w:spacing w:after="0" w:line="163"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April 2020, we received proceeds of $0.8 million from a loan, or the PPP Loan, under the Paycheck Protection Program, or the PPP, of the Coronavirus Aid, Relief, and Economic Security Act, or the CARES Act, which we used to retain current teams, maintain payroll and make lease and utility payments. In May 2021, we received notice from the U.S. Small Business Administration that our PPP Loan was forgiven in full, including all principal and interest.</w:t>
      </w:r>
    </w:p>
    <w:p>
      <w:pPr>
        <w:spacing w:after="0" w:line="178" w:lineRule="exact"/>
        <w:rPr>
          <w:sz w:val="20"/>
          <w:szCs w:val="20"/>
          <w:color w:val="auto"/>
        </w:rPr>
      </w:pPr>
    </w:p>
    <w:p>
      <w:pPr>
        <w:jc w:val="both"/>
        <w:ind w:left="20" w:right="20"/>
        <w:spacing w:after="0" w:line="274" w:lineRule="auto"/>
        <w:rPr>
          <w:sz w:val="20"/>
          <w:szCs w:val="20"/>
          <w:color w:val="auto"/>
        </w:rPr>
      </w:pPr>
      <w:r>
        <w:rPr>
          <w:rFonts w:ascii="Times New Roman" w:cs="Times New Roman" w:eastAsia="Times New Roman" w:hAnsi="Times New Roman"/>
          <w:sz w:val="18"/>
          <w:szCs w:val="18"/>
          <w:color w:val="auto"/>
        </w:rPr>
        <w:t>In June 2021, we entered into the June 2021 Inducement Letters. We received aggregate gross proceeds of $39.1 million for the exercise of the select January 2021 Inducement Warrants by the select warrant holders and the sale of the June 2021 Inducement Warrants.</w:t>
      </w:r>
    </w:p>
    <w:p>
      <w:pPr>
        <w:spacing w:after="0" w:line="163"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July 2021, we entered into the Equity Distribution Agreement with JMP and RBCCM under which we may offer and sell, from time to time at our sole discretion, shares of our common stock, having an aggregate offering price of up to $75.0 million through JMP and RBCCM as its sales agents. The issuance and sale, if any, of our common stock the Equity Distribution Agreement will be made pursuant to a registration statement on Form S-3.</w:t>
      </w:r>
    </w:p>
    <w:p>
      <w:pPr>
        <w:spacing w:after="0" w:line="178"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We filed a registration statement on Form S-3 covering the sale of the shares of our common stock up to $350.0 million, $75.0 million of which was allocated to the sales of the shares of common stock issuable under the Equity Distribution Agreement. The Form S-3 was declared effective on July 12, 2021. As of December 31, 2022, no shares have been issued or sold under the Equity Distribution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1"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On December 20, 2021, we initiated the Share Repurchase Program pursuant to which we may repurchase up to $50 million of shares of its common stock through December 31, 2023. Capital allocation to the Share Repurchase Program will be based on a variety of factors, including our business results, the receipt of royalties and sales milestones under the AZSTARYS License Agreement, and potentially other sources of non-dilutive capital that may become available to us. Repurchases will be made in compliance with Rule 10b-18 of the Securities Exchange Act of 1934, as amended, subject to a variety of factors, including the market price of our common stock, general market and economic conditions and applicable legal requirements. The exact number of shares to be repurchased by us is not guaranteed and the program may be suspended, modified, or discontinued at any time without prior notice. As of December 31, 2022, we have repurchased 909,953 shares of its common stock for approximately $7.5 million under the Share Repurchase Program.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22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On May 31, 2022, we and Ameris Bank, as lender, entered into a $20.0 million revolving loan agreement, or the Line of Credit. Proceeds of the revolving facility provided by the Line of Credit are to be used for general corporate purposes. Loans under the Line of Credit bear interest at the Secured Overnight Financing Rate, or the SOFR, plus 1.60%, with a SOFR floor of 0.00%.</w:t>
      </w:r>
    </w:p>
    <w:p>
      <w:pPr>
        <w:spacing w:after="0" w:line="178" w:lineRule="exact"/>
        <w:rPr>
          <w:sz w:val="20"/>
          <w:szCs w:val="20"/>
          <w:color w:val="auto"/>
        </w:rPr>
      </w:pPr>
    </w:p>
    <w:p>
      <w:pPr>
        <w:ind w:left="20" w:right="40"/>
        <w:spacing w:after="0" w:line="274" w:lineRule="auto"/>
        <w:rPr>
          <w:sz w:val="20"/>
          <w:szCs w:val="20"/>
          <w:color w:val="auto"/>
        </w:rPr>
      </w:pPr>
      <w:r>
        <w:rPr>
          <w:rFonts w:ascii="Times New Roman" w:cs="Times New Roman" w:eastAsia="Times New Roman" w:hAnsi="Times New Roman"/>
          <w:sz w:val="18"/>
          <w:szCs w:val="18"/>
          <w:color w:val="auto"/>
        </w:rPr>
        <w:t>The revolving facility under the Line of Credit is secured by a perfected security interest in deposit accounts. The revolving facility under the Line of Credit is subject to customary affirmative and negative covenants.</w:t>
      </w:r>
    </w:p>
    <w:p>
      <w:pPr>
        <w:spacing w:after="0" w:line="163"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The latest maturity date of the loans under the Line of Credit is May 31, 2025. The Line of Credit contains customary events of default that could lead to an acceleration of the loans, including cross-default, bankruptcy and payment defaults. As of December 31, 2022, we have drawn $12.8 million from the Line of Credit to finance the transactions under the Arimoclomol Purchase Agreement, and this amount is supported by a $12.8 million certificate of deposit which is shown as long-term investments in the consolidated balance sheets. The remaining $7.2 million under the Line of Credit is in a separate interest-bearing certificate of deposit and is also recorded as long-term investments in the consolidated balance sheet as of December 31, 2022. These certificates of deposit are pledged as collateral against the Line of Credit and cannot be redeemed so long as the $20.0 million remains available under the Line of Credit. The total value of the certificates of deposit held with Ameris Bank must meet or exceed the amount available to borrow under the Line of Credit so long as the Line of Credit remains active.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Deerfield Facility Agreement</w:t>
      </w:r>
    </w:p>
    <w:p>
      <w:pPr>
        <w:spacing w:after="0" w:line="219"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June 2014, we entered into the Deerfield Facility Agreement as a $60.0 million multi-tranche credit facility with Deerfield. At the time we entered into the Deerfield Facility Agreement, we borrowed the first tranche, which consisted of a $15.0 million term note and the $10.0 million convertible note, or the Deerfield Convertible Note. The Deerfield Convertible Note originally bore interest at 9.75% per annum but was subsequently reduced to 6.75%.</w:t>
      </w:r>
    </w:p>
    <w:p>
      <w:pPr>
        <w:spacing w:after="0" w:line="178"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Pursuant to the Deerfield Facility Agreement, we also issued to Deerfield a warrant to purchase 14,423,076 shares of our Series D Preferred. Upon closing of our initial public offering, this warrant converted into a warrant exercisable for 1,923,077 shares of our common stock (effected for the 16-for-1 reverse stock split in December 2020, this became a warrant exercisable for 120,192 shares of our common stock). Deerfield assigned the warrant to OTA LLC in December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Notes</w:t>
      </w:r>
    </w:p>
    <w:p>
      <w:pPr>
        <w:spacing w:after="0" w:line="219"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February 2016, we issued our 5.50% Senior Convertible Notes due 2021, or the 2021 Notes, in aggregate principal amount of $86.3 million. The 2021 Notes were originally issued to Cowen and Company and RBCCM LLC as representatives of the several initial purchasers, who subsequently resold the 2021 Notes to qualified institutional buyers in reliance on the exemption from registration provided by Rule 144A under the Securities Act.</w:t>
      </w:r>
    </w:p>
    <w:p>
      <w:pPr>
        <w:spacing w:after="0" w:line="178" w:lineRule="exact"/>
        <w:rPr>
          <w:sz w:val="20"/>
          <w:szCs w:val="20"/>
          <w:color w:val="auto"/>
        </w:rPr>
      </w:pPr>
    </w:p>
    <w:p>
      <w:pPr>
        <w:jc w:val="both"/>
        <w:ind w:left="20" w:right="20"/>
        <w:spacing w:after="0" w:line="274" w:lineRule="auto"/>
        <w:rPr>
          <w:sz w:val="20"/>
          <w:szCs w:val="20"/>
          <w:color w:val="auto"/>
        </w:rPr>
      </w:pPr>
      <w:r>
        <w:rPr>
          <w:rFonts w:ascii="Times New Roman" w:cs="Times New Roman" w:eastAsia="Times New Roman" w:hAnsi="Times New Roman"/>
          <w:sz w:val="18"/>
          <w:szCs w:val="18"/>
          <w:color w:val="auto"/>
        </w:rPr>
        <w:t>In multiple exchanges occurring in October 2018, December 2019 and January 2020, all outstanding 2021 Notes were exchanged by the holders thereof for either shares of our common stock or the December 2019 Notes and January 2020 Note issued under the terms of the Deerfield Facility Agreement.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Note Exchange Effected in January 2020</w:t>
      </w:r>
    </w:p>
    <w:p>
      <w:pPr>
        <w:spacing w:after="0" w:line="219"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In January 2020, we entered into a January 2020 Exchange Agreement, or the January 2020 Exchange Agreement, with M.Kingdon Offshore Master Fund, LP, or Kingdon. Under the January 2020 Exchange Agreement, we issued the January 2020 Note as a senior secured convertible note in the aggregate principal amount of approximately $3.0 million in exchange for the cancellation of an aggregate of approximately $3.0 million of principal amount and accrued interest of the 2021 Note then owned by Kingdon. The terms of the January 2020 Note include (a) a conversion price of $93.60 per share and (b) a floor price of $9.328 per share, and (ii) amended Deerfield Facility Agreement. The Deerfield Facility Agreement was amended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Restructuring</w:t>
      </w:r>
    </w:p>
    <w:p>
      <w:pPr>
        <w:spacing w:after="0" w:line="221"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In December 2020, we entered into the December 2020 Exchange Agreement, which was amended on December 24, 2020. Pursuant to the December 2020 Exchange Agreement, (a) we made the Debt Payment as a cash pre-payment of a portion of principal amount of the Senior Secured Notes and the Deerfield Note to the Deerfield Lenders, DSC and Kingdon, or, collectively, the Holders, in an aggregate amount equal to approximately $30.3 million; and (b) we issued 31,476.98412 shares of our Series B-2 Preferred Stock and warrants exercisable for 3,632,019 shares of our common stock, or the Exchange Warrants, in exchange for the cancellation of a portion of the principal amount of the Senior Secured Notes and Deerfield Note owned by the Holders, with such transaction referred to as the Exchange. Immediately following the completion of the Exchange and Debt Payment, the aggregate balance of principal and accrued interest remaining outstanding under the Facility Notes was approximately $7.6 million.</w:t>
      </w:r>
    </w:p>
    <w:p>
      <w:pPr>
        <w:spacing w:after="0" w:line="187"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The December 2020 Exchange Agreement amended the Senior Secured Notes to provide that the failure of our common stock to remain listed on an eligible securities market will not constitute a “Major Transaction” unless such failure occurs after March 31, 2023.</w:t>
      </w:r>
    </w:p>
    <w:p>
      <w:pPr>
        <w:spacing w:after="0" w:line="163"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The Exercise Warrants are subject to substantially the same terms and conditions as the Existing Warrants, with an exercise price equal to the exercise price per share of the Existing Warrants and will provide that the Holders will be limited from exercising such Exchange Warrants if, as a result of such exercise, such holders (together with certain affiliates and “group” members of such holders) would beneficially own more than 4.985% of the total number of shares of our common stock then issued and outstanding.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connection with the December 2020 Exchange Agreement, we filed an Amended and Restated Certificate of Designation of Preferences, Rights and Limitations of Series B-2 Convertible Preferred Stock, or the Amended and Restated Series B-2 Certificate of Designation, with the Secretary of State of the State of Delaware, setting forth the preferences, rights and limitations of the Series B-2 Preferred Stock.</w:t>
      </w:r>
    </w:p>
    <w:p>
      <w:pPr>
        <w:spacing w:after="0" w:line="178"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The shares of Series B-2 Preferred Stock were convertible into an aggregate of 4,842,690 shares of our common stock. Each share of Series B-2 Preferred Stock had an aggregate stated value of $1,000 and was convertible into shares of our common stock.</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March 2021, all shares of Series B-2 Preferred Stock converted into common stock.</w:t>
      </w:r>
    </w:p>
    <w:p>
      <w:pPr>
        <w:spacing w:after="0" w:line="217"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In June 2021, we filed with the Secretary of State of the State of Delaware a Certificate of Elimination of Series B-2 Convertible Preferred Stock, eliminating from our Certificate of Incorporation the 31,480 shares designated as Series B-2 Convertible Preferred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Payoff of Facility Agreement Notes and Termination of Facility Agreement</w:t>
      </w:r>
    </w:p>
    <w:p>
      <w:pPr>
        <w:spacing w:after="0" w:line="221" w:lineRule="exact"/>
        <w:rPr>
          <w:sz w:val="20"/>
          <w:szCs w:val="20"/>
          <w:color w:val="auto"/>
        </w:rPr>
      </w:pPr>
    </w:p>
    <w:p>
      <w:pPr>
        <w:jc w:val="both"/>
        <w:ind w:left="20" w:right="20"/>
        <w:spacing w:after="0" w:line="274" w:lineRule="auto"/>
        <w:rPr>
          <w:sz w:val="20"/>
          <w:szCs w:val="20"/>
          <w:color w:val="auto"/>
        </w:rPr>
      </w:pPr>
      <w:r>
        <w:rPr>
          <w:rFonts w:ascii="Times New Roman" w:cs="Times New Roman" w:eastAsia="Times New Roman" w:hAnsi="Times New Roman"/>
          <w:sz w:val="18"/>
          <w:szCs w:val="18"/>
          <w:color w:val="auto"/>
        </w:rPr>
        <w:t>On February 8, 2021, we entered into a payoff letter with the Facility Agreement Note Holders, pursuant to which we agreed to pay off and thereby terminate the Facility Agreement.</w:t>
      </w:r>
    </w:p>
    <w:p>
      <w:pPr>
        <w:spacing w:after="0" w:line="163"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Pursuant to the payoff letter, we paid a total of $8.0 million to the Facility Agreement Note Holders, representing the principal balance, accrued interest outstanding and a prepayment fee in repayment of our outstanding obligations under the Facility Agreement.</w:t>
      </w:r>
    </w:p>
    <w:p>
      <w:pPr>
        <w:spacing w:after="0" w:line="163"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Pursuant to the payoff letter, all outstanding indebtedness and obligations owed by us to the Facility Agreement Note Holders under the Facility Agreement have been paid in full. The Facility Agreement and the notes thereunder, as well as the security interests in the assets of us securing the Facility Agreement and note obligations, have been terminated. The Facility Agreement Note Holders will retain the warrants previously issued to them.</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05" w:name="page106"/>
    <w:bookmarkEnd w:id="10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2022 and 2021 (in thousands):</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Period-to</w:t>
            </w:r>
          </w:p>
        </w:tc>
      </w:tr>
      <w:tr>
        <w:trPr>
          <w:trHeight w:val="205"/>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7"/>
                <w:szCs w:val="17"/>
                <w:color w:val="auto"/>
              </w:rPr>
            </w:pPr>
          </w:p>
        </w:tc>
        <w:tc>
          <w:tcPr>
            <w:tcW w:w="124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Period Change</w:t>
            </w:r>
          </w:p>
        </w:tc>
      </w:tr>
      <w:tr>
        <w:trPr>
          <w:trHeight w:val="205"/>
        </w:trPr>
        <w:tc>
          <w:tcPr>
            <w:tcW w:w="20" w:type="dxa"/>
            <w:vAlign w:val="bottom"/>
          </w:tcPr>
          <w:p>
            <w:pPr>
              <w:spacing w:after="0"/>
              <w:rPr>
                <w:sz w:val="17"/>
                <w:szCs w:val="17"/>
                <w:color w:val="auto"/>
              </w:rPr>
            </w:pPr>
          </w:p>
        </w:tc>
        <w:tc>
          <w:tcPr>
            <w:tcW w:w="50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2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(18,717)</w:t>
            </w:r>
          </w:p>
        </w:tc>
        <w:tc>
          <w:tcPr>
            <w:tcW w:w="34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10,439</w:t>
            </w:r>
          </w:p>
        </w:tc>
        <w:tc>
          <w:tcPr>
            <w:tcW w:w="24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(29,156)</w:t>
            </w: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(21,195)</w:t>
            </w:r>
          </w:p>
        </w:tc>
      </w:tr>
      <w:tr>
        <w:trPr>
          <w:trHeight w:val="212"/>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8,352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113,109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(104,757)</w:t>
            </w:r>
          </w:p>
        </w:tc>
      </w:tr>
      <w:tr>
        <w:trPr>
          <w:trHeight w:val="187"/>
        </w:trPr>
        <w:tc>
          <w:tcPr>
            <w:tcW w:w="20" w:type="dxa"/>
            <w:vAlign w:val="bottom"/>
          </w:tcPr>
          <w:p>
            <w:pPr>
              <w:spacing w:after="0"/>
              <w:rPr>
                <w:sz w:val="16"/>
                <w:szCs w:val="16"/>
                <w:color w:val="auto"/>
              </w:rPr>
            </w:pPr>
          </w:p>
        </w:tc>
        <w:tc>
          <w:tcPr>
            <w:tcW w:w="50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Pr>
          <w:p>
            <w:pPr>
              <w:spacing w:after="0"/>
              <w:rPr>
                <w:sz w:val="16"/>
                <w:szCs w:val="16"/>
                <w:color w:val="auto"/>
              </w:rPr>
            </w:pPr>
          </w:p>
        </w:tc>
        <w:tc>
          <w:tcPr>
            <w:tcW w:w="1080" w:type="dxa"/>
            <w:vAlign w:val="bottom"/>
          </w:tcPr>
          <w:p>
            <w:pPr>
              <w:jc w:val="right"/>
              <w:ind w:right="12"/>
              <w:spacing w:after="0" w:line="187" w:lineRule="exact"/>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2"/>
              <w:spacing w:after="0" w:line="187"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204</w:t>
            </w:r>
          </w:p>
        </w:tc>
      </w:tr>
      <w:tr>
        <w:trPr>
          <w:trHeight w:val="23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108,024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(154,904)</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1" w:lineRule="exact"/>
        <w:rPr>
          <w:sz w:val="20"/>
          <w:szCs w:val="20"/>
          <w:color w:val="auto"/>
        </w:rPr>
      </w:pPr>
    </w:p>
    <w:p>
      <w:pPr>
        <w:jc w:val="both"/>
        <w:ind w:left="20" w:right="100"/>
        <w:spacing w:after="0" w:line="264" w:lineRule="auto"/>
        <w:rPr>
          <w:sz w:val="20"/>
          <w:szCs w:val="20"/>
          <w:color w:val="auto"/>
        </w:rPr>
      </w:pPr>
      <w:r>
        <w:rPr>
          <w:rFonts w:ascii="Times New Roman" w:cs="Times New Roman" w:eastAsia="Times New Roman" w:hAnsi="Times New Roman"/>
          <w:sz w:val="17"/>
          <w:szCs w:val="17"/>
          <w:color w:val="auto"/>
        </w:rPr>
        <w:t>For the year ended December 31, 2022, net cash used in operating activities of $18.7 million consisted of a net loss of $41.5 million and $0.5 million in changes in working capital, partially offset by $23.3 million in adjustments for non-cash items. Net loss was primarily attributable to our spending on research and development programs and operating costs, partially offset by revenue received under the AZSTARYS License Agreement, Arimoclomol EAP and the Corium Consulting Agreement. The changes in working capital consisted of $0.7 million related to a change in prepaid expenses and other assets, $6.8 million related to a change in accounts and other receivables, $0.4 million related to a change in operating lease liabilities and $0.4 million related to a change in other liabilities, partially offset by $3.1 million related to a change in accounts payable and accrued expenses, $0.1 million related to a change in inventories, $0.3 million related to a change in operating lease right-of-use assets, $0.4 million related to other long-term assets, and $3.8 million related to a change in discount and rebate liabilities. The adjustments for non-cash items primarily consisted of stock-based compensation expense of $4.3 million, consulting fees paid in stock of $0.2 million, a change in the fair value adjustment related to investments of $0.6 million, $17.7 million related to acquired in-process research and development which was expensed as part of the transactions under the Arimoclomol Purchase Agreement and $0.9 million related to depreciation, amortization and other items, partially offset by a change in the fair value adjustment related to derivative and warrant liabilities of $0.3 million.</w:t>
      </w:r>
    </w:p>
    <w:p>
      <w:pPr>
        <w:spacing w:after="0" w:line="179" w:lineRule="exact"/>
        <w:rPr>
          <w:sz w:val="20"/>
          <w:szCs w:val="20"/>
          <w:color w:val="auto"/>
        </w:rPr>
      </w:pPr>
    </w:p>
    <w:p>
      <w:pPr>
        <w:jc w:val="both"/>
        <w:ind w:left="20" w:right="100"/>
        <w:spacing w:after="0" w:line="265" w:lineRule="auto"/>
        <w:rPr>
          <w:sz w:val="20"/>
          <w:szCs w:val="20"/>
          <w:color w:val="auto"/>
        </w:rPr>
      </w:pPr>
      <w:r>
        <w:rPr>
          <w:rFonts w:ascii="Times New Roman" w:cs="Times New Roman" w:eastAsia="Times New Roman" w:hAnsi="Times New Roman"/>
          <w:sz w:val="17"/>
          <w:szCs w:val="17"/>
          <w:color w:val="auto"/>
        </w:rPr>
        <w:t>For the year ended December 31, 2021, net cash provided by operating activities of $10.4 million consisted of $19.4 million in adjustments for non-cash items, partially offset by a net loss of $8.6 million and $0.4 million in changes in working capital. The adjustments for non-cash items primarily consisted of a loss on extinguishment of debt of $16.1 million, stock-based compensation expense of $2.4 million, amortization of debt issuance costs and debt discount of $0.2 million, a change in the fair value adjustment related to derivative and warrant liabilities of $0.1 million and $0.6 million related to depreciation, amortization and other items. The changes in working capital consisted of $1.1 million related to a change in accounts payable and accrued expenses, $0.3 million related to a change in operating lease liabilities and $0.8 million related to a change in prepaid expenses and other assets, partially offset by $1.1 million related to a change in accounts and other receivables, $0.1 million related to a change in operating lease right-of-use assets and $0.7 million related to a change in other liabilities. Net loss was primarily attributable to a loss on extinguishment of debt and our spending on research and development programs and operating costs, partially offset by revenue received under the AZSTARYS License Agreement and the Corium Consulting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1"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2022, net cash used in investing activities was $36.7 million, which was attributable to net acquisition costs of the transactions under the Arimoclomol Purchase Agreement of $14.1 million and purchases of investments of $23.8 million, partially offset by maturities of investments of $1.3 million.</w:t>
      </w:r>
    </w:p>
    <w:p>
      <w:pPr>
        <w:spacing w:after="0" w:line="1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For the year ended December 31, 2021, net cash used in investing activities was $15.5 million, which was attributable to purchases of property and equipment of $0.1 million and purchases of long-term investments of $15.4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1" w:lineRule="exact"/>
        <w:rPr>
          <w:sz w:val="20"/>
          <w:szCs w:val="20"/>
          <w:color w:val="auto"/>
        </w:rPr>
      </w:pPr>
    </w:p>
    <w:p>
      <w:pPr>
        <w:jc w:val="both"/>
        <w:ind w:left="20" w:right="100"/>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net cash provided by financing activities was $8.3 million, which was primarily attributable to proceeds from the issuance of debt of $12.8 million, proceeds from insurance financing arrangements of $1.3 million and proceeds from sales of common stock under the Employee Stock Purchase Plan, or the ESPP, of $0.3 million, partially offset by payments to repurchase shares as part of the Share Repurchase Program of $4.7 million, and payments of principal on insurance financing arrangements of $1.3 million.</w:t>
      </w:r>
    </w:p>
    <w:p>
      <w:pPr>
        <w:spacing w:after="0" w:line="180" w:lineRule="exact"/>
        <w:rPr>
          <w:sz w:val="20"/>
          <w:szCs w:val="20"/>
          <w:color w:val="auto"/>
        </w:rPr>
      </w:pPr>
    </w:p>
    <w:p>
      <w:pPr>
        <w:jc w:val="both"/>
        <w:ind w:left="20" w:right="100"/>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2021, net cash provided by financing activities was $113.1 million, which was primarily attributable to net proceeds from sales of our common stock in the Public Offering of $49.3 million, net proceeds from the January 2021 Inducement Transaction of $41.4 million, net proceeds from the June 2021 Inducement Transaction of $36.8 million and net proceeds from the exercise of common stock warrants of $30.8 million, partially offset by payment for repurchase of shares of $2.8 million, payment of offering costs of $1.3 million, repayment of principal on finance lease liabilities of $0.2 million, payment of debt issuance costs of $2.9 million, and repayment of principal on convertible notes of $37.9 million.</w:t>
      </w:r>
    </w:p>
    <w:p>
      <w:pPr>
        <w:spacing w:after="0" w:line="1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Based on our current operating forecast, we believe that our existing cash, cash equivalents and long-term investments will be sufficient to fund our operations into 2026. This estimate does not include our projected revenue, a portion of which is based on royalties from commercial sales and upon the achievement of milestones in the AZSTARYS License Agreement and the APADAZ License Agreement. Certain of the milestones are associated with regulatory matters that are outside our control.</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Potential near-term sources of additional funding include:</w:t>
      </w:r>
    </w:p>
    <w:p>
      <w:pPr>
        <w:spacing w:after="0" w:line="217" w:lineRule="exact"/>
        <w:rPr>
          <w:sz w:val="20"/>
          <w:szCs w:val="20"/>
          <w:color w:val="auto"/>
        </w:rPr>
      </w:pPr>
    </w:p>
    <w:p>
      <w:pPr>
        <w:ind w:left="240" w:hanging="148"/>
        <w:spacing w:after="0"/>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revenues generated under either the AZSTARYS License Agreement or the APADAZ License Agreement;</w:t>
      </w:r>
    </w:p>
    <w:p>
      <w:pPr>
        <w:spacing w:after="0" w:line="217" w:lineRule="exact"/>
        <w:rPr>
          <w:rFonts w:ascii="Times New Roman" w:cs="Times New Roman" w:eastAsia="Times New Roman" w:hAnsi="Times New Roman"/>
          <w:sz w:val="18"/>
          <w:szCs w:val="18"/>
          <w:color w:val="auto"/>
        </w:rPr>
      </w:pPr>
    </w:p>
    <w:p>
      <w:pPr>
        <w:ind w:left="240" w:hanging="148"/>
        <w:spacing w:after="0"/>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consulting services revenue or short-term milestone payments generated under the AZSTARYS License Agreement;</w:t>
      </w:r>
    </w:p>
    <w:p>
      <w:pPr>
        <w:spacing w:after="0" w:line="217" w:lineRule="exact"/>
        <w:rPr>
          <w:rFonts w:ascii="Times New Roman" w:cs="Times New Roman" w:eastAsia="Times New Roman" w:hAnsi="Times New Roman"/>
          <w:sz w:val="18"/>
          <w:szCs w:val="18"/>
          <w:color w:val="auto"/>
        </w:rPr>
      </w:pPr>
    </w:p>
    <w:p>
      <w:pPr>
        <w:ind w:left="240" w:hanging="148"/>
        <w:spacing w:after="0"/>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sales under the Arimoclomol EAP; and</w:t>
      </w:r>
    </w:p>
    <w:p>
      <w:pPr>
        <w:spacing w:after="0" w:line="217" w:lineRule="exact"/>
        <w:rPr>
          <w:rFonts w:ascii="Times New Roman" w:cs="Times New Roman" w:eastAsia="Times New Roman" w:hAnsi="Times New Roman"/>
          <w:sz w:val="18"/>
          <w:szCs w:val="18"/>
          <w:color w:val="auto"/>
        </w:rPr>
      </w:pPr>
    </w:p>
    <w:p>
      <w:pPr>
        <w:ind w:left="240" w:hanging="148"/>
        <w:spacing w:after="0"/>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consulting services revenue generated under other potential consulting arrangements.</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cannot guarantee that we will be able to generate sufficient proceeds from any of these potential sources to fund our operating expenses.</w:t>
      </w:r>
    </w:p>
    <w:p>
      <w:pPr>
        <w:spacing w:after="0" w:line="217"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To date, we have generated revenue from the AZSTARYS License Agreement, reimbursements of out-of-pocket third-party costs, the performance of consulting services and product sales under the Arimoclomol EAP. We expect that, for the foreseeable future, our only sources of revenues will be through payments arising from the AZSTARYS License Agreement, the APADAZ License Agreement, through potential consulting arrangements and any other future arrangements related to one of our product candidates and product sales under the Arimoclomol EAP. While we have entered into the APADAZ License Agreement to commercialize APADAZ in the United States, and entered into the AZSTARYS License Agreement to develop, manufacture and commercialize AZSTARYS, we cannot guarantee that this, or any strategy we adopt in the future, will be successful. For instance, we received milestone payments under the AZSTARYS License Agreement, but we cannot guarantee that we will earn any additional milestone or royalty payments under this agreement in the future. We also cannot guarantee that we will continue to generate revenue under the Arimoclomol EAP. We also expect to continue to incur additional costs associated with operating as a public company.</w:t>
      </w:r>
    </w:p>
    <w:p>
      <w:pPr>
        <w:spacing w:after="0" w:line="187"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The COVID-19 pandemic has caused major disruptions to businesses and markets worldwide. We cannot predict what the long-term effects of this pandemic or future public health crises and the resulting economic disruptions may have on our liquidity and results of operations. The extent of the effect of the COVID-19 pandemic on our liquidity and results of operations will depend on a number of future developments, including the duration, spread and intensity of the pandemic, and governmental, regulatory and private sector responses, all of which are uncertain and difficult to predict. A future public health crisis may make it more difficult for us to enroll patients in any future clinical trials or cause delays in the regulatory approval of our product candidates. A portion of our projected revenue is based upon the achievement of milestones in the AZSTARYS License Agreement associated with regulatory matters that may be impacted by the COVID-19 pandemic. As a result, we cannot predict what, if any, impact that the COVID-19 pandemic or a future public health crisis may have on our ability to achieve these milestones. The economic uncertainty surrounding the COVID-19 pandemic and as a result of rising inflation and interest rates may also dramatically reduce our ability to secure debt or equity financing necessary to support our operations.</w:t>
      </w:r>
    </w:p>
    <w:p>
      <w:pPr>
        <w:spacing w:after="0" w:line="187"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We have based our estimates of our cash needs and cash runway on assumptions that may prove to be wrong, and we may use our available capital resources sooner than we currently expect and we cannot guarantee that we will be able to generate sufficient proceeds from the AZSTARYS License Agreement, the APADAZ License Agreement, product reimbursements under the Arimoclomol EAP and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we have prepared in accordance with accounting principles generally accepted in the United States. The preparation of our financial statements requires us to make estimates that affect the reported amounts of assets and liabilities and the disclosure of contingent assets and liabilities at the date of our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B to our audited financial statements appearing elsewhere in this Annual Report on Form 10-K, we believe that the following accounting policies are critical to the process of making significant estimates in the preparation of our financial statements and understanding and evaluating our reported financial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accounted for the arimoclomol acquisition as an asset acquisition as the majority of the value of the assets acquired related to the arimoclomol acquired in-process research and development, or the IPR&amp;D asset. The intangible asset associated with IPR&amp;D relates to arimoclomol. The estimated fair value of $17.7 million was determined using the excess earnings valuation method, a variation of the income valuation approach. The excess earnings valuation method estimates the value of an intangible asset equal to the present value of the incremental after-tax cash flows attributable to that intangible asset over its remaining economic life. Some of the more significant assumptions utilized in our asset valuations included projected revenues, probability of commercial success, and the discount rate. The fair value using the excess earnings valuation method was determined using an estimated weighted average cost of capital of 42%, which reflects the risks inherent in future cash flow projections and represents a rate of return that a market participant would expect for this asset. This fair value measurement was based on significant inputs not observable in the market and thus represent Level 3 fair value measurement.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enter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We record liabilities under these contractual commitments when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w:t>
      </w:r>
    </w:p>
    <w:p>
      <w:pPr>
        <w:spacing w:after="0" w:line="190" w:lineRule="exact"/>
        <w:rPr>
          <w:sz w:val="20"/>
          <w:szCs w:val="20"/>
          <w:color w:val="auto"/>
        </w:rPr>
      </w:pPr>
    </w:p>
    <w:p>
      <w:pPr>
        <w:ind w:left="460" w:hanging="229"/>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in connection with preclinical and toxicology studies and clinical trials;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investigative sites in connection with clinical trials;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contract manufacturers in connection with the production of our raw materials, drug substance and product candidates; and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We record the fair value of stock options issued as of the grant date as compensation expense. We recognize compensation expense over the requisite service period, which is equal to the vesting period. Stock-based compensation expense has been reported in our statements of operations as follows (in thousands):</w:t>
      </w:r>
    </w:p>
    <w:p>
      <w:pPr>
        <w:spacing w:after="0" w:line="139" w:lineRule="exact"/>
        <w:rPr>
          <w:sz w:val="20"/>
          <w:szCs w:val="20"/>
          <w:color w:val="auto"/>
        </w:rPr>
      </w:pPr>
    </w:p>
    <w:tbl>
      <w:tblPr>
        <w:tblLayout w:type="fixed"/>
        <w:tblInd w:w="112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Research and development</w:t>
            </w:r>
          </w:p>
        </w:tc>
        <w:tc>
          <w:tcPr>
            <w:tcW w:w="226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914</w:t>
            </w:r>
          </w:p>
        </w:tc>
        <w:tc>
          <w:tcPr>
            <w:tcW w:w="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Pr>
          <w:p>
            <w:pPr>
              <w:spacing w:after="0"/>
              <w:rPr>
                <w:sz w:val="18"/>
                <w:szCs w:val="18"/>
                <w:color w:val="auto"/>
              </w:rPr>
            </w:pPr>
          </w:p>
        </w:tc>
      </w:tr>
      <w:tr>
        <w:trPr>
          <w:trHeight w:val="265"/>
        </w:trPr>
        <w:tc>
          <w:tcPr>
            <w:tcW w:w="20" w:type="dxa"/>
            <w:vAlign w:val="bottom"/>
          </w:tcPr>
          <w:p>
            <w:pPr>
              <w:spacing w:after="0"/>
              <w:rPr>
                <w:sz w:val="23"/>
                <w:szCs w:val="23"/>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80" w:type="dxa"/>
            <w:vAlign w:val="bottom"/>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348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Stock-Based Compensation Grants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calculate the fair value of stock-based compensation arrangements using the Black-Scholes option-pricing model. The Black-Scholes option-pricing model requires the use of subjective assumptions, including the expected volatility of our common stock, the assumed dividend yield, the expected term of our stock options, the risk-free interest rate for a period that approximates the expected term of our stock options and the fair value of the underlying common stock on the date of grant. In applying these assumptions, we considered the following factors:</w:t>
      </w:r>
    </w:p>
    <w:p>
      <w:pPr>
        <w:spacing w:after="0" w:line="180" w:lineRule="exact"/>
        <w:rPr>
          <w:sz w:val="20"/>
          <w:szCs w:val="20"/>
          <w:color w:val="auto"/>
        </w:rPr>
      </w:pPr>
    </w:p>
    <w:p>
      <w:pPr>
        <w:jc w:val="both"/>
        <w:ind w:left="460" w:hanging="229"/>
        <w:spacing w:after="0" w:line="251"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we have not had sufficient experience to estimate the volatility of our common stock. As such, we calculated the expected volatility based on reported data for selected similar publicly traded companies for which the historical information is available, or peer volatility, and blended it with our historical volatility, or leverage-adjusted peer volatility. For the purpose of identifying peer companies, we consider characteristics such as industry, length of trading history, similar vesting terms and in-the-money option status. We utilized this leverage-adjusted peer volatility for grants prior to the initial public offering, as well as grants within the two-year period immediately following the initial public offering. For grants after the second anniversary of the initial public offering we utilized our historical volatility to determine the expected volatility;</w:t>
      </w:r>
    </w:p>
    <w:p>
      <w:pPr>
        <w:spacing w:after="0" w:line="211"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dividend yield is based on our expectation of not paying dividends for the foreseeable future;</w:t>
      </w:r>
    </w:p>
    <w:p>
      <w:pPr>
        <w:spacing w:after="0" w:line="270" w:lineRule="exact"/>
        <w:rPr>
          <w:rFonts w:ascii="Times New Roman" w:cs="Times New Roman" w:eastAsia="Times New Roman" w:hAnsi="Times New Roman"/>
          <w:sz w:val="18"/>
          <w:szCs w:val="18"/>
          <w:color w:val="auto"/>
        </w:rPr>
      </w:pPr>
    </w:p>
    <w:p>
      <w:pPr>
        <w:jc w:val="both"/>
        <w:ind w:left="460" w:hanging="229"/>
        <w:spacing w:after="0" w:line="252"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the average expected life of “plain vanilla” stock options based on the simplified method in accordance with SEC Staff Accounting Bulletin Nos. 107 and 110, as our common stock to date has been publicly traded for a limited amount of time. We expect to use the simplified method until we have sufficient historical exercise data to provide a reasonable basis upon which to estimate expected term. For options that are not considered “plain vanilla,” such as those with exercise prices in excess of the fair market value of the underlying stock, we use an expected life equal to the contractual term of the option;</w:t>
      </w:r>
    </w:p>
    <w:p>
      <w:pPr>
        <w:spacing w:after="0" w:line="211" w:lineRule="exact"/>
        <w:rPr>
          <w:rFonts w:ascii="Times New Roman" w:cs="Times New Roman" w:eastAsia="Times New Roman" w:hAnsi="Times New Roman"/>
          <w:sz w:val="18"/>
          <w:szCs w:val="18"/>
          <w:color w:val="auto"/>
        </w:rPr>
      </w:pPr>
    </w:p>
    <w:p>
      <w:pPr>
        <w:ind w:left="460" w:right="20" w:hanging="229"/>
        <w:spacing w:after="0" w:line="274"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the risk-free interest rate by reference to implied yields available from U.S. Treasury securities with a remaining term equal to the expected life assumed at the date of grant; and</w:t>
      </w:r>
    </w:p>
    <w:p>
      <w:pPr>
        <w:spacing w:after="0" w:line="189"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forfeitures based on our historical analysis of actual stock option forfeitures.</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account for stock-based compensation arrangements with directors and consultants that contain only service conditions for vesting using a fair value approach. The grant date fair value of these options is measured using the Black-Scholes option pricing model reflecting the same assumptions as applied to employee options in each of the reported periods, other than the expected life, which is assumed to be the remaining contractual life of the option.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assumptions used for estimating the fair value of stock options granted to employees for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05"/>
        </w:trPr>
        <w:tc>
          <w:tcPr>
            <w:tcW w:w="11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360" w:type="dxa"/>
            <w:vAlign w:val="bottom"/>
            <w:tcBorders>
              <w:bottom w:val="single" w:sz="8" w:color="auto"/>
            </w:tcBorders>
            <w:gridSpan w:val="2"/>
          </w:tcPr>
          <w:p>
            <w:pPr>
              <w:jc w:val="right"/>
              <w:ind w:right="41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7"/>
                <w:szCs w:val="17"/>
                <w:color w:val="auto"/>
              </w:rPr>
            </w:pPr>
          </w:p>
        </w:tc>
        <w:tc>
          <w:tcPr>
            <w:tcW w:w="1340" w:type="dxa"/>
            <w:vAlign w:val="bottom"/>
            <w:tcBorders>
              <w:bottom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112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30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Risk-free interest rate</w:t>
            </w:r>
          </w:p>
        </w:tc>
        <w:tc>
          <w:tcPr>
            <w:tcW w:w="37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1.70%</w:t>
            </w:r>
          </w:p>
        </w:tc>
        <w:tc>
          <w:tcPr>
            <w:tcW w:w="7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- 3.80%</w:t>
            </w:r>
          </w:p>
        </w:tc>
        <w:tc>
          <w:tcPr>
            <w:tcW w:w="1420" w:type="dxa"/>
            <w:vAlign w:val="bottom"/>
            <w:gridSpan w:val="3"/>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0.92% - 1.55%</w:t>
            </w:r>
          </w:p>
        </w:tc>
        <w:tc>
          <w:tcPr>
            <w:tcW w:w="112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- 10.00</w:t>
            </w:r>
          </w:p>
        </w:tc>
        <w:tc>
          <w:tcPr>
            <w:tcW w:w="112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- 98.91%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- 102.57%</w:t>
            </w:r>
          </w:p>
        </w:tc>
        <w:tc>
          <w:tcPr>
            <w:tcW w:w="1120" w:type="dxa"/>
            <w:vAlign w:val="bottom"/>
          </w:tcPr>
          <w:p>
            <w:pPr>
              <w:spacing w:after="0"/>
              <w:rPr>
                <w:sz w:val="18"/>
                <w:szCs w:val="18"/>
                <w:color w:val="auto"/>
              </w:rPr>
            </w:pPr>
          </w:p>
        </w:tc>
      </w:tr>
      <w:tr>
        <w:trPr>
          <w:trHeight w:val="231"/>
        </w:trPr>
        <w:tc>
          <w:tcPr>
            <w:tcW w:w="114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Pr>
          <w:p>
            <w:pPr>
              <w:spacing w:after="0"/>
              <w:rPr>
                <w:sz w:val="20"/>
                <w:szCs w:val="20"/>
                <w:color w:val="auto"/>
              </w:rPr>
            </w:pPr>
          </w:p>
        </w:tc>
      </w:tr>
      <w:tr>
        <w:trPr>
          <w:trHeight w:val="40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160" w:type="dxa"/>
            <w:vAlign w:val="bottom"/>
          </w:tcPr>
          <w:p>
            <w:pPr>
              <w:jc w:val="right"/>
              <w:ind w:right="1492"/>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1"/>
        </w:trPr>
        <w:tc>
          <w:tcPr>
            <w:tcW w:w="114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09" w:name="page110"/>
    <w:bookmarkEnd w:id="10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We have a common stock warrant issued to OTA, put options embedded within those OTA warrants, and common stock warrants issued to KVK that meet the definition of derivative financial instruments and are accounted for as derivatives. The fair value of the common stock warrant issued to OTA, and put options embedded within the OTA Warrants are based on Monte Carlo simulations, while the common stock warrant issued to KVK is valued using a probability-weighted Black-Scholes option pricing model. These derivatives are fair valued at each reporting period.</w:t>
      </w:r>
    </w:p>
    <w:p>
      <w:pPr>
        <w:spacing w:after="0" w:line="180"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The derivative liability for the OTA common stock warrant was $1,000 and $288,000 at December 31, 2022, and 2021, respectively. The derivative liability for the put options embedded within the OTA common stock warrant was $0 and $18,000 at December 31, 2022, and 2021, respectively. The derivative liability for the KVK common stock warrant was $0 and $24,000 at December 31, 2022 and 2021, respectively. A 10% increase in the enterprise value would result in a negligible increase in the estimated fair value of the OTA common stock warrant, the put options embedded within the OTA common stock warrant and the KVK common stock warrant at December 31, 2022. Upon exercise of the warrants, we will adjust the associated derivative liability to fair value with any changes recorded in other (expense) income. At such time, such derivative liability will also be reclassified to additional paid-in capital, and no further revaluations will be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Utilization of Net Operating Loss Carryforwards and Research and Development Credits</w:t>
      </w:r>
    </w:p>
    <w:p>
      <w:pPr>
        <w:spacing w:after="0" w:line="22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As of December 31, 2022, we had federal net operating loss, or NOL, carryforwards of approximately $236.0 million, due to prior period losses, $138.1 million of which, if not utilized, will begin to expire in 2027 and $97.9 million with no expiration. We also had research and development credit carryforwards of $3.8 million with expiration dates ranging from 2027 to 2037 and $3.1 million with no expiration. As of December 31, 2022, we maintain a full valuation allowance over our deferred tax assets for financial reporting purposes.</w:t>
      </w:r>
    </w:p>
    <w:p>
      <w:pPr>
        <w:spacing w:after="0" w:line="180"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7"/>
          <w:szCs w:val="17"/>
          <w:color w:val="auto"/>
        </w:rPr>
        <w:t>In accordance with Section 382 of the Code, a change in equity ownership of greater than 50% within a three-year period results in an annual limitation on a company’s ability to utilize its NOL carryforwards created during the tax periods prior to the change in ownership.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have already experienced an ownership change, or may experience an ownership changes in the future, as a result of shifts in our stock ownership. If we determine that an ownership change has occurred and our ability to use our historical net operating loss carryforwards is materially limited, it would harm our future operating results by increasing our future tax obligations.</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9"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with Conversion and Other Options (Subtopic 470-20) and Derivatives and Hedging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 (Subtopic 815-40); Accounting for Convertible Instruments and Contracts in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w:t>
      </w:r>
      <w:r>
        <w:rPr>
          <w:rFonts w:ascii="Times New Roman" w:cs="Times New Roman" w:eastAsia="Times New Roman" w:hAnsi="Times New Roman"/>
          <w:sz w:val="18"/>
          <w:szCs w:val="18"/>
          <w:color w:val="auto"/>
        </w:rPr>
        <w:t>, or ASU 2020-06,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issues identified as a result of the complexities associated with applying U.S. GAAP for certain financial instruments with characteristics of liabilities and equity. This update addresses, among other things, the number of accounting models for convertible debt instruments and convertible preferred stock, targeted improvements to the disclosures for convertible instruments and earnings-per-share, or EPS, guidance and amendments to the guidance for the derivatives scope exception for contracts in an entity’s own equity, as well as the related EPS guidance. This update applies to all entities that issue convertible instruments and/or contracts in an entity’s own equity. This guidance is effective for financial statements issued for fiscal years beginning after December 15, 2021, and interim periods within those fiscal years. FASB specified that an entity should adopt the guidance as of the beginning of its annual fiscal year. The adoption of ASU 2020-06 did not have a material impact on our financial statements and disclosures.</w:t>
      </w:r>
    </w:p>
    <w:p>
      <w:pPr>
        <w:spacing w:after="0" w:line="187"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Modifications and Extinguishments (Subtopic 470-50),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Compensation (Topic 718),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 (Subtopic 815-40); Issuer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Accounting for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Modifications or Exchanges of Freestanding Equity-Classified Written Call Options, a consensus of the FASB Emerging Issues Task Force</w:t>
      </w:r>
      <w:r>
        <w:rPr>
          <w:rFonts w:ascii="Times New Roman" w:cs="Times New Roman" w:eastAsia="Times New Roman" w:hAnsi="Times New Roman"/>
          <w:sz w:val="18"/>
          <w:szCs w:val="18"/>
          <w:color w:val="auto"/>
        </w:rPr>
        <w:t>, or ASU 2021-04, which aims to clarify and reduce diversity in issuer's accounting for modifications or exchanges of freestanding equity-classified written call options that remain equity classified after modification or exchange. This update applies to all entities that issue freestanding written call options that are classified in equity. This guidance is effective for financial statements issued for fiscal years beginning after December 15, 2021, and interim periods within those fiscal years. FASB specified that an entity should adopt the guidance as of the beginning of its annual fiscal year. The adoption of ASU 2021-04 did not have a material impact on our consolidated financial statements and disclosures.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right="4220"/>
        <w:spacing w:after="0" w:line="276" w:lineRule="auto"/>
        <w:rPr>
          <w:sz w:val="20"/>
          <w:szCs w:val="20"/>
          <w:color w:val="auto"/>
        </w:rPr>
      </w:pPr>
      <w:r>
        <w:rPr>
          <w:rFonts w:ascii="Times New Roman" w:cs="Times New Roman" w:eastAsia="Times New Roman" w:hAnsi="Times New Roman"/>
          <w:sz w:val="18"/>
          <w:szCs w:val="18"/>
          <w:b w:val="1"/>
          <w:bCs w:val="1"/>
          <w:color w:val="auto"/>
        </w:rPr>
        <w:t>ITEM QUANTITATIVE AND QUALITATIVE DISCLOSURES ABOUT MARKET RISK 7A.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by this Item 8 are set forth beginning in Item 15 of this report and are incorporated herein by reference.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304 of Regulation S-K has been previously reported.</w:t>
      </w:r>
    </w:p>
    <w:p>
      <w:pPr>
        <w:spacing w:after="0" w:line="21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w:t>
        <w:tab/>
        <w:t>CONTROLS AND PROCEDURES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our chief financial officer, evaluated the effectiveness of our disclosure controls and procedures as of December 31, 2022. Based on the evaluation of our disclosure controls and procedures as of December 31, 2022, our chief executive officer and our chief financial officer concluded that, as of such date, our disclosure controls and procedures were effective at the reasonable assurance level.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our financial reporting, as such term is defined in Rules 13a-15(f) and 15d-15(e) under the Exchange Act. Under the supervision and with the participation of our management, including our chief executive officer and chief financial officer, we conducted an evaluation of the effectiveness of our internal control over financial reporting. Management has used the framework set forth in the report entitled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published by the Committee of Sponsoring Organizations of the Treadway Commission to evaluate the effectiveness of our internal control over financial reporting. Our evaluation of internal control over financial reporting did not include internal controls of Zevra Denmark A/S (formerly known as KemPharm Denmark A/S prior to February 21, 2023), our wholly-owned subsidiary formed in May 2022, through which we acquired all of the assets and operations of Orphazyme related to arimoclomol during the second quarter of fiscal year 2022. This fiscal year 2022 acquisition represented 9.5% of our consolidated total assets and 51.5% of our consolidated total revenue as of and for the fiscal year ended December 31, 2022. We have included the financial results of the acquired operations in our consolidated financial statements included elsewhere in this Annual Report on Form 10-K from the date of acquisition, and we are in the process of incorporating Zevra Denmark A/S into our internal control over financial reporting. Based on its evaluation, management has concluded that our internal control over financial reporting was effective as of December 31, 2022, the end of our most recent fiscal year.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independent registered public accounting firm has not performed an evaluation of our internal control over financial reporting during any period in accordance with the provisions of the Sarbanes-Oxley Act. For as long as we remain a non-accelerated filer,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of the Exchange Act that occurred during our fiscal quarter ended December 31, 2022, that materially affected, or is reasonably likely to materially affect, our internal control over financial reporting.</w:t>
      </w:r>
    </w:p>
    <w:p>
      <w:pPr>
        <w:spacing w:after="0" w:line="1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w:t>
        <w:tab/>
        <w:t>OTHER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9B.</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ind w:right="3220"/>
        <w:spacing w:after="0" w:line="276" w:lineRule="auto"/>
        <w:rPr>
          <w:sz w:val="20"/>
          <w:szCs w:val="20"/>
          <w:color w:val="auto"/>
        </w:rPr>
      </w:pPr>
      <w:r>
        <w:rPr>
          <w:rFonts w:ascii="Times New Roman" w:cs="Times New Roman" w:eastAsia="Times New Roman" w:hAnsi="Times New Roman"/>
          <w:sz w:val="18"/>
          <w:szCs w:val="18"/>
          <w:b w:val="1"/>
          <w:bCs w:val="1"/>
          <w:color w:val="auto"/>
        </w:rPr>
        <w:t>ITEM DISCLOSURES REGARDING FOREIGN JURISDICTIONS THAT PREVENT INSPECTIONS 9C.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7" w:lineRule="exact"/>
        <w:rPr>
          <w:sz w:val="20"/>
          <w:szCs w:val="20"/>
          <w:color w:val="auto"/>
        </w:rPr>
      </w:pPr>
    </w:p>
    <w:p>
      <w:pPr>
        <w:ind w:left="20" w:right="4640"/>
        <w:spacing w:after="0" w:line="276" w:lineRule="auto"/>
        <w:rPr>
          <w:sz w:val="20"/>
          <w:szCs w:val="20"/>
          <w:color w:val="auto"/>
        </w:rPr>
      </w:pPr>
      <w:r>
        <w:rPr>
          <w:rFonts w:ascii="Times New Roman" w:cs="Times New Roman" w:eastAsia="Times New Roman" w:hAnsi="Times New Roman"/>
          <w:sz w:val="18"/>
          <w:szCs w:val="18"/>
          <w:b w:val="1"/>
          <w:bCs w:val="1"/>
          <w:color w:val="auto"/>
        </w:rPr>
        <w:t>ITEM DIRECTORS, EXECUTIVE OFFICERS AND CORPORATE GOVERNANCE 10.</w:t>
      </w:r>
    </w:p>
    <w:p>
      <w:pPr>
        <w:spacing w:after="0" w:line="162"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The information required by this Item 10 will be set forth in the headings “Proposal 1 – Election of Directors,” “Executive Officers” and “Information Regarding the Board of Directors and Corporate Governance” in our definitive proxy statement for our 2023 annual meeting of stockholders, or the proxy statement, and, is incorporated herein by reference.</w:t>
      </w:r>
    </w:p>
    <w:p>
      <w:pPr>
        <w:spacing w:after="0" w:line="178" w:lineRule="exact"/>
        <w:rPr>
          <w:sz w:val="20"/>
          <w:szCs w:val="20"/>
          <w:color w:val="auto"/>
        </w:rPr>
      </w:pPr>
    </w:p>
    <w:p>
      <w:pPr>
        <w:jc w:val="both"/>
        <w:ind w:left="20" w:right="100"/>
        <w:spacing w:after="0" w:line="252"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or the Code of Conduct, applicable to all of our employees, executive officers and directors, including our principal executive officer, principal financial officer, principal accounting officer or controller, or persons performing similar functions. The Code of Conduct is available on our website at </w:t>
      </w:r>
      <w:r>
        <w:rPr>
          <w:rFonts w:ascii="Times New Roman" w:cs="Times New Roman" w:eastAsia="Times New Roman" w:hAnsi="Times New Roman"/>
          <w:sz w:val="18"/>
          <w:szCs w:val="18"/>
          <w:u w:val="single" w:color="auto"/>
          <w:color w:val="auto"/>
        </w:rPr>
        <w:t>www.zevra.com</w:t>
      </w:r>
      <w:r>
        <w:rPr>
          <w:rFonts w:ascii="Times New Roman" w:cs="Times New Roman" w:eastAsia="Times New Roman" w:hAnsi="Times New Roman"/>
          <w:sz w:val="18"/>
          <w:szCs w:val="18"/>
          <w:color w:val="auto"/>
          <w:highlight w:val="white"/>
        </w:rPr>
        <w:t>. The no</w:t>
      </w:r>
      <w:r>
        <w:rPr>
          <w:rFonts w:ascii="Times New Roman" w:cs="Times New Roman" w:eastAsia="Times New Roman" w:hAnsi="Times New Roman"/>
          <w:sz w:val="18"/>
          <w:szCs w:val="18"/>
          <w:color w:val="auto"/>
        </w:rPr>
        <w:t>minating and corporate governance committee of our board of directors is responsible for overseeing the Code of Conduct and must approve any waivers of the Code of Conduct for employees, executive officers and directors. We intend to post any amendments to the Code of Conduct or any waivers of its requirements for any executive officer or director on our website.</w:t>
      </w:r>
    </w:p>
    <w:p>
      <w:pPr>
        <w:spacing w:after="0" w:line="183"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w:t>
        <w:tab/>
        <w:t>EXECUTIVE COMPENSATION</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98" w:lineRule="exact"/>
        <w:rPr>
          <w:sz w:val="20"/>
          <w:szCs w:val="20"/>
          <w:color w:val="auto"/>
        </w:rPr>
      </w:pPr>
    </w:p>
    <w:p>
      <w:pPr>
        <w:ind w:left="20" w:right="100"/>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11 will be set forth under the headings “Executive Compensation", "Director Compensation" and “Information Regarding the Board of Directors and Corporate Governance” in our proxy statement and is incorporated herein by reference.</w:t>
      </w:r>
    </w:p>
    <w:p>
      <w:pPr>
        <w:spacing w:after="0" w:line="161" w:lineRule="exact"/>
        <w:rPr>
          <w:sz w:val="20"/>
          <w:szCs w:val="20"/>
          <w:color w:val="auto"/>
        </w:rPr>
      </w:pPr>
    </w:p>
    <w:p>
      <w:pPr>
        <w:ind w:left="8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w:t>
      </w:r>
    </w:p>
    <w:p>
      <w:pPr>
        <w:spacing w:after="0" w:line="219" w:lineRule="exact"/>
        <w:rPr>
          <w:sz w:val="20"/>
          <w:szCs w:val="20"/>
          <w:color w:val="auto"/>
        </w:rPr>
      </w:pPr>
    </w:p>
    <w:p>
      <w:pPr>
        <w:ind w:left="20" w:right="120"/>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12 will be set forth under the headings “Security Ownership of Certain Beneficial Owners and Management” and “Securities Authorized for Issuance under the Equity Compensation Plans” in the proxy statement and is incorporated herein by reference.</w:t>
      </w:r>
    </w:p>
    <w:p>
      <w:pPr>
        <w:spacing w:after="0" w:line="161" w:lineRule="exact"/>
        <w:rPr>
          <w:sz w:val="20"/>
          <w:szCs w:val="20"/>
          <w:color w:val="auto"/>
        </w:rPr>
      </w:pPr>
    </w:p>
    <w:p>
      <w:pPr>
        <w:ind w:left="20" w:right="2700"/>
        <w:spacing w:after="0" w:line="276" w:lineRule="auto"/>
        <w:rPr>
          <w:sz w:val="20"/>
          <w:szCs w:val="20"/>
          <w:color w:val="auto"/>
        </w:rPr>
      </w:pPr>
      <w:r>
        <w:rPr>
          <w:rFonts w:ascii="Times New Roman" w:cs="Times New Roman" w:eastAsia="Times New Roman" w:hAnsi="Times New Roman"/>
          <w:sz w:val="18"/>
          <w:szCs w:val="18"/>
          <w:b w:val="1"/>
          <w:bCs w:val="1"/>
          <w:color w:val="auto"/>
        </w:rPr>
        <w:t>ITEM CERTAIN RELATIONSHIPS AND RELATED TRANSACTIONS, AND DIRECTOR INDEPENDENCE 13.</w:t>
      </w:r>
    </w:p>
    <w:p>
      <w:pPr>
        <w:spacing w:after="0" w:line="16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The items required by this Item 13 will be set forth under the headings “Information Regarding the Board of Directors and Corporate Governance” an “Transactions with Related Persons” in the proxy statement and is incorporated herein by reference.</w:t>
      </w:r>
    </w:p>
    <w:p>
      <w:pPr>
        <w:spacing w:after="0" w:line="161"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w:t>
        <w:tab/>
        <w:t>PRINCIPAL ACCOUNTING FEES AND SERVICES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14.</w:t>
      </w:r>
    </w:p>
    <w:p>
      <w:pPr>
        <w:spacing w:after="0" w:line="19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14 will be set forth under the proposal with the heading “Proposal 2 - Ratification of Appointment of Independen Registered Public Accounting Firm” in the proxy statement and is incorporated herein by reference.</w:t>
      </w: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0" w:type="dxa"/>
            <w:vAlign w:val="bottom"/>
            <w:gridSpan w:val="5"/>
          </w:tcPr>
          <w:p>
            <w:pPr>
              <w:ind w:left="13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ITEM</w:t>
            </w:r>
          </w:p>
        </w:tc>
        <w:tc>
          <w:tcPr>
            <w:tcW w:w="9620" w:type="dxa"/>
            <w:vAlign w:val="bottom"/>
            <w:gridSpan w:val="9"/>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9620" w:type="dxa"/>
            <w:vAlign w:val="bottom"/>
            <w:gridSpan w:val="9"/>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8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Index list to Financial Statements: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85"/>
        </w:trPr>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300" w:type="dxa"/>
            <w:vAlign w:val="bottom"/>
            <w:gridSpan w:val="8"/>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0000EE"/>
              </w:rPr>
              <w:t>Report of RSM US LLP (PCAOB ID: 49)</w:t>
            </w:r>
          </w:p>
        </w:tc>
        <w:tc>
          <w:tcPr>
            <w:tcW w:w="1140" w:type="dxa"/>
            <w:vAlign w:val="bottom"/>
            <w:gridSpan w:val="3"/>
            <w:shd w:val="clear" w:color="auto" w:fill="CCEEFF"/>
          </w:tcPr>
          <w:p>
            <w:pPr>
              <w:jc w:val="center"/>
              <w:ind w:left="32"/>
              <w:spacing w:after="0" w:line="165" w:lineRule="exact"/>
              <w:rPr>
                <w:sz w:val="20"/>
                <w:szCs w:val="20"/>
                <w:color w:val="auto"/>
              </w:rPr>
            </w:pPr>
            <w:r>
              <w:rPr>
                <w:rFonts w:ascii="Times New Roman" w:cs="Times New Roman" w:eastAsia="Times New Roman" w:hAnsi="Times New Roman"/>
                <w:sz w:val="18"/>
                <w:szCs w:val="18"/>
                <w:color w:val="0000EE"/>
                <w:w w:val="96"/>
              </w:rPr>
              <w:t>110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60" w:type="dxa"/>
            <w:vAlign w:val="bottom"/>
            <w:tcBorders>
              <w:top w:val="single" w:sz="8" w:color="0000EE"/>
            </w:tcBorders>
            <w:gridSpan w:val="2"/>
          </w:tcPr>
          <w:p>
            <w:pPr>
              <w:spacing w:after="0" w:line="172" w:lineRule="exact"/>
              <w:rPr>
                <w:sz w:val="20"/>
                <w:szCs w:val="20"/>
                <w:color w:val="auto"/>
              </w:rPr>
            </w:pPr>
            <w:r>
              <w:rPr>
                <w:rFonts w:ascii="Times New Roman" w:cs="Times New Roman" w:eastAsia="Times New Roman" w:hAnsi="Times New Roman"/>
                <w:sz w:val="18"/>
                <w:szCs w:val="18"/>
                <w:color w:val="0000EE"/>
              </w:rPr>
              <w:t>Report of EY US LLP (PCAOB ID:42)</w:t>
            </w:r>
          </w:p>
        </w:tc>
        <w:tc>
          <w:tcPr>
            <w:tcW w:w="6340" w:type="dxa"/>
            <w:vAlign w:val="bottom"/>
            <w:tcBorders>
              <w:top w:val="single" w:sz="8" w:color="CCEEFF"/>
            </w:tcBorders>
            <w:gridSpan w:val="6"/>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300" w:type="dxa"/>
            <w:vAlign w:val="bottom"/>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Consolidated Balance Sheets as of December 31, 2022 and 2021</w:t>
            </w:r>
          </w:p>
        </w:tc>
        <w:tc>
          <w:tcPr>
            <w:tcW w:w="1140" w:type="dxa"/>
            <w:vAlign w:val="bottom"/>
            <w:gridSpan w:val="3"/>
            <w:shd w:val="clear" w:color="auto" w:fill="CCEEFF"/>
          </w:tcPr>
          <w:p>
            <w:pPr>
              <w:jc w:val="center"/>
              <w:ind w:left="32"/>
              <w:spacing w:after="0" w:line="182" w:lineRule="exact"/>
              <w:rPr>
                <w:sz w:val="20"/>
                <w:szCs w:val="20"/>
                <w:color w:val="auto"/>
              </w:rPr>
            </w:pPr>
            <w:r>
              <w:rPr>
                <w:rFonts w:ascii="Times New Roman" w:cs="Times New Roman" w:eastAsia="Times New Roman" w:hAnsi="Times New Roman"/>
                <w:sz w:val="18"/>
                <w:szCs w:val="18"/>
                <w:color w:val="0000EE"/>
                <w:w w:val="96"/>
              </w:rPr>
              <w:t>113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7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60" w:type="dxa"/>
            <w:vAlign w:val="bottom"/>
            <w:shd w:val="clear" w:color="auto" w:fill="0000EE"/>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400" w:type="dxa"/>
            <w:vAlign w:val="bottom"/>
            <w:tcBorders>
              <w:left w:val="single" w:sz="8" w:color="CCEE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300" w:type="dxa"/>
            <w:vAlign w:val="bottom"/>
            <w:gridSpan w:val="8"/>
          </w:tcPr>
          <w:p>
            <w:pPr>
              <w:spacing w:after="0" w:line="172"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2022 and 2021</w:t>
            </w:r>
          </w:p>
        </w:tc>
        <w:tc>
          <w:tcPr>
            <w:tcW w:w="1140" w:type="dxa"/>
            <w:vAlign w:val="bottom"/>
            <w:gridSpan w:val="3"/>
          </w:tcPr>
          <w:p>
            <w:pPr>
              <w:jc w:val="center"/>
              <w:ind w:left="32"/>
              <w:spacing w:after="0" w:line="172" w:lineRule="exact"/>
              <w:rPr>
                <w:sz w:val="20"/>
                <w:szCs w:val="20"/>
                <w:color w:val="auto"/>
              </w:rPr>
            </w:pPr>
            <w:r>
              <w:rPr>
                <w:rFonts w:ascii="Times New Roman" w:cs="Times New Roman" w:eastAsia="Times New Roman" w:hAnsi="Times New Roman"/>
                <w:sz w:val="18"/>
                <w:szCs w:val="18"/>
                <w:color w:val="0000EE"/>
                <w:w w:val="96"/>
              </w:rPr>
              <w:t>114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460" w:type="dxa"/>
            <w:vAlign w:val="bottom"/>
            <w:shd w:val="clear" w:color="auto" w:fill="0000EE"/>
          </w:tcPr>
          <w:p>
            <w:pPr>
              <w:spacing w:after="0"/>
              <w:rPr>
                <w:sz w:val="2"/>
                <w:szCs w:val="2"/>
                <w:color w:val="auto"/>
              </w:rPr>
            </w:pPr>
          </w:p>
        </w:tc>
        <w:tc>
          <w:tcPr>
            <w:tcW w:w="1720" w:type="dxa"/>
            <w:vAlign w:val="bottom"/>
            <w:shd w:val="clear" w:color="auto" w:fill="0000EE"/>
          </w:tcPr>
          <w:p>
            <w:pPr>
              <w:spacing w:after="0"/>
              <w:rPr>
                <w:sz w:val="2"/>
                <w:szCs w:val="2"/>
                <w:color w:val="auto"/>
              </w:rPr>
            </w:pPr>
          </w:p>
        </w:tc>
        <w:tc>
          <w:tcPr>
            <w:tcW w:w="1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300" w:type="dxa"/>
            <w:vAlign w:val="bottom"/>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Consolidated Statements of Comprehensive Income (Loss) for the years ended December 31, 2022 and 2021</w:t>
            </w:r>
          </w:p>
        </w:tc>
        <w:tc>
          <w:tcPr>
            <w:tcW w:w="1140" w:type="dxa"/>
            <w:vAlign w:val="bottom"/>
            <w:gridSpan w:val="3"/>
            <w:shd w:val="clear" w:color="auto" w:fill="CCEEFF"/>
          </w:tcPr>
          <w:p>
            <w:pPr>
              <w:jc w:val="center"/>
              <w:ind w:left="32"/>
              <w:spacing w:after="0" w:line="182" w:lineRule="exact"/>
              <w:rPr>
                <w:sz w:val="20"/>
                <w:szCs w:val="20"/>
                <w:color w:val="auto"/>
              </w:rPr>
            </w:pPr>
            <w:r>
              <w:rPr>
                <w:rFonts w:ascii="Times New Roman" w:cs="Times New Roman" w:eastAsia="Times New Roman" w:hAnsi="Times New Roman"/>
                <w:sz w:val="18"/>
                <w:szCs w:val="18"/>
                <w:color w:val="0000EE"/>
                <w:w w:val="96"/>
              </w:rPr>
              <w:t>115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7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60" w:type="dxa"/>
            <w:vAlign w:val="bottom"/>
            <w:shd w:val="clear" w:color="auto" w:fill="0000EE"/>
          </w:tcPr>
          <w:p>
            <w:pPr>
              <w:spacing w:after="0"/>
              <w:rPr>
                <w:sz w:val="3"/>
                <w:szCs w:val="3"/>
                <w:color w:val="auto"/>
              </w:rPr>
            </w:pPr>
          </w:p>
        </w:tc>
        <w:tc>
          <w:tcPr>
            <w:tcW w:w="1720" w:type="dxa"/>
            <w:vAlign w:val="bottom"/>
            <w:shd w:val="clear" w:color="auto" w:fill="0000EE"/>
          </w:tcPr>
          <w:p>
            <w:pPr>
              <w:spacing w:after="0"/>
              <w:rPr>
                <w:sz w:val="3"/>
                <w:szCs w:val="3"/>
                <w:color w:val="auto"/>
              </w:rPr>
            </w:pPr>
          </w:p>
        </w:tc>
        <w:tc>
          <w:tcPr>
            <w:tcW w:w="1400" w:type="dxa"/>
            <w:vAlign w:val="bottom"/>
            <w:tcBorders>
              <w:left w:val="single" w:sz="8" w:color="0000EE"/>
            </w:tcBorders>
            <w:shd w:val="clear" w:color="auto" w:fill="0000EE"/>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500" w:type="dxa"/>
            <w:vAlign w:val="bottom"/>
            <w:gridSpan w:val="7"/>
          </w:tcPr>
          <w:p>
            <w:pPr>
              <w:spacing w:after="0" w:line="172" w:lineRule="exact"/>
              <w:rPr>
                <w:sz w:val="20"/>
                <w:szCs w:val="20"/>
                <w:color w:val="auto"/>
              </w:rPr>
            </w:pPr>
            <w:r>
              <w:rPr>
                <w:rFonts w:ascii="Times New Roman" w:cs="Times New Roman" w:eastAsia="Times New Roman" w:hAnsi="Times New Roman"/>
                <w:sz w:val="18"/>
                <w:szCs w:val="18"/>
                <w:color w:val="0000EE"/>
                <w:w w:val="97"/>
              </w:rPr>
              <w:t>Consolidated Statements of Changes in Stockholders’ Equity (Deficit) for the years ended December 31, 2022 and 2021</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center"/>
              <w:ind w:right="380"/>
              <w:spacing w:after="0" w:line="172" w:lineRule="exact"/>
              <w:rPr>
                <w:sz w:val="20"/>
                <w:szCs w:val="20"/>
                <w:color w:val="auto"/>
              </w:rPr>
            </w:pPr>
            <w:r>
              <w:rPr>
                <w:rFonts w:ascii="Times New Roman" w:cs="Times New Roman" w:eastAsia="Times New Roman" w:hAnsi="Times New Roman"/>
                <w:sz w:val="18"/>
                <w:szCs w:val="18"/>
                <w:color w:val="0000EE"/>
                <w:w w:val="96"/>
              </w:rPr>
              <w:t>116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460" w:type="dxa"/>
            <w:vAlign w:val="bottom"/>
            <w:shd w:val="clear" w:color="auto" w:fill="0000EE"/>
          </w:tcPr>
          <w:p>
            <w:pPr>
              <w:spacing w:after="0"/>
              <w:rPr>
                <w:sz w:val="2"/>
                <w:szCs w:val="2"/>
                <w:color w:val="auto"/>
              </w:rPr>
            </w:pPr>
          </w:p>
        </w:tc>
        <w:tc>
          <w:tcPr>
            <w:tcW w:w="1720" w:type="dxa"/>
            <w:vAlign w:val="bottom"/>
            <w:shd w:val="clear" w:color="auto" w:fill="0000EE"/>
          </w:tcPr>
          <w:p>
            <w:pPr>
              <w:spacing w:after="0"/>
              <w:rPr>
                <w:sz w:val="2"/>
                <w:szCs w:val="2"/>
                <w:color w:val="auto"/>
              </w:rPr>
            </w:pPr>
          </w:p>
        </w:tc>
        <w:tc>
          <w:tcPr>
            <w:tcW w:w="1400" w:type="dxa"/>
            <w:vAlign w:val="bottom"/>
            <w:tcBorders>
              <w:left w:val="single" w:sz="8" w:color="0000EE"/>
            </w:tcBorders>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80" w:type="dxa"/>
            <w:vAlign w:val="bottom"/>
            <w:gridSpan w:val="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6"/>
              </w:rPr>
              <w:t>Consolidated Statements of Cash Flows for the years ended December 31, 2022 and 2021</w:t>
            </w:r>
          </w:p>
        </w:tc>
        <w:tc>
          <w:tcPr>
            <w:tcW w:w="2220" w:type="dxa"/>
            <w:vAlign w:val="bottom"/>
            <w:tcBorders>
              <w:left w:val="single" w:sz="8" w:color="CCEEFF"/>
            </w:tcBorders>
            <w:gridSpan w:val="2"/>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380"/>
              <w:spacing w:after="0" w:line="182" w:lineRule="exact"/>
              <w:rPr>
                <w:sz w:val="20"/>
                <w:szCs w:val="20"/>
                <w:color w:val="auto"/>
              </w:rPr>
            </w:pPr>
            <w:r>
              <w:rPr>
                <w:rFonts w:ascii="Times New Roman" w:cs="Times New Roman" w:eastAsia="Times New Roman" w:hAnsi="Times New Roman"/>
                <w:sz w:val="18"/>
                <w:szCs w:val="18"/>
                <w:color w:val="0000EE"/>
                <w:w w:val="96"/>
              </w:rPr>
              <w:t>117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7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60" w:type="dxa"/>
            <w:vAlign w:val="bottom"/>
            <w:shd w:val="clear" w:color="auto" w:fill="0000EE"/>
          </w:tcPr>
          <w:p>
            <w:pPr>
              <w:spacing w:after="0"/>
              <w:rPr>
                <w:sz w:val="3"/>
                <w:szCs w:val="3"/>
                <w:color w:val="auto"/>
              </w:rPr>
            </w:pPr>
          </w:p>
        </w:tc>
        <w:tc>
          <w:tcPr>
            <w:tcW w:w="1720" w:type="dxa"/>
            <w:vAlign w:val="bottom"/>
            <w:shd w:val="clear" w:color="auto" w:fill="0000EE"/>
          </w:tcPr>
          <w:p>
            <w:pPr>
              <w:spacing w:after="0"/>
              <w:rPr>
                <w:sz w:val="3"/>
                <w:szCs w:val="3"/>
                <w:color w:val="auto"/>
              </w:rPr>
            </w:pPr>
          </w:p>
        </w:tc>
        <w:tc>
          <w:tcPr>
            <w:tcW w:w="1400" w:type="dxa"/>
            <w:vAlign w:val="bottom"/>
            <w:tcBorders>
              <w:left w:val="single" w:sz="8" w:color="0000EE"/>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00" w:type="dxa"/>
            <w:vAlign w:val="bottom"/>
            <w:gridSpan w:val="3"/>
          </w:tcPr>
          <w:p>
            <w:pPr>
              <w:spacing w:after="0" w:line="172" w:lineRule="exact"/>
              <w:rPr>
                <w:sz w:val="20"/>
                <w:szCs w:val="20"/>
                <w:color w:val="auto"/>
              </w:rPr>
            </w:pPr>
            <w:r>
              <w:rPr>
                <w:rFonts w:ascii="Times New Roman" w:cs="Times New Roman" w:eastAsia="Times New Roman" w:hAnsi="Times New Roman"/>
                <w:sz w:val="18"/>
                <w:szCs w:val="18"/>
                <w:color w:val="0000EE"/>
                <w:w w:val="97"/>
              </w:rPr>
              <w:t>Notes to Consolidated Financial Statements</w:t>
            </w:r>
          </w:p>
        </w:tc>
        <w:tc>
          <w:tcPr>
            <w:tcW w:w="3180" w:type="dxa"/>
            <w:vAlign w:val="bottom"/>
            <w:gridSpan w:val="2"/>
          </w:tcPr>
          <w:p>
            <w:pPr>
              <w:spacing w:after="0"/>
              <w:rPr>
                <w:sz w:val="14"/>
                <w:szCs w:val="14"/>
                <w:color w:val="auto"/>
              </w:rPr>
            </w:pPr>
          </w:p>
        </w:tc>
        <w:tc>
          <w:tcPr>
            <w:tcW w:w="3020" w:type="dxa"/>
            <w:vAlign w:val="bottom"/>
            <w:gridSpan w:val="3"/>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center"/>
              <w:ind w:right="380"/>
              <w:spacing w:after="0" w:line="172" w:lineRule="exact"/>
              <w:rPr>
                <w:sz w:val="20"/>
                <w:szCs w:val="20"/>
                <w:color w:val="auto"/>
              </w:rPr>
            </w:pPr>
            <w:r>
              <w:rPr>
                <w:rFonts w:ascii="Times New Roman" w:cs="Times New Roman" w:eastAsia="Times New Roman" w:hAnsi="Times New Roman"/>
                <w:sz w:val="18"/>
                <w:szCs w:val="18"/>
                <w:color w:val="0000EE"/>
                <w:w w:val="96"/>
              </w:rPr>
              <w:t>118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5"/>
        </w:trPr>
        <w:tc>
          <w:tcPr>
            <w:tcW w:w="4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100" w:type="dxa"/>
            <w:vAlign w:val="bottom"/>
            <w:tcBorders>
              <w:top w:val="single" w:sz="8" w:color="0000EE"/>
            </w:tcBorders>
            <w:gridSpan w:val="3"/>
          </w:tcPr>
          <w:p>
            <w:pPr>
              <w:ind w:left="60"/>
              <w:spacing w:after="0"/>
              <w:rPr>
                <w:sz w:val="20"/>
                <w:szCs w:val="20"/>
                <w:color w:val="auto"/>
              </w:rPr>
            </w:pPr>
            <w:r>
              <w:rPr>
                <w:rFonts w:ascii="Times New Roman" w:cs="Times New Roman" w:eastAsia="Times New Roman" w:hAnsi="Times New Roman"/>
                <w:sz w:val="18"/>
                <w:szCs w:val="18"/>
                <w:i w:val="1"/>
                <w:iCs w:val="1"/>
                <w:color w:val="auto"/>
              </w:rPr>
              <w:t>Financial Statement Schedules</w:t>
            </w:r>
          </w:p>
        </w:tc>
        <w:tc>
          <w:tcPr>
            <w:tcW w:w="620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4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All other schedules are omitted because they are not required or the required information is included in the financial statements or notes thereto.</w:t>
            </w:r>
          </w:p>
        </w:tc>
        <w:tc>
          <w:tcPr>
            <w:tcW w:w="0" w:type="dxa"/>
            <w:vAlign w:val="bottom"/>
          </w:tcPr>
          <w:p>
            <w:pPr>
              <w:spacing w:after="0"/>
              <w:rPr>
                <w:sz w:val="1"/>
                <w:szCs w:val="1"/>
                <w:color w:val="auto"/>
              </w:rPr>
            </w:pPr>
          </w:p>
        </w:tc>
      </w:tr>
      <w:tr>
        <w:trPr>
          <w:trHeight w:val="424"/>
        </w:trPr>
        <w:tc>
          <w:tcPr>
            <w:tcW w:w="4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9300" w:type="dxa"/>
            <w:vAlign w:val="bottom"/>
            <w:gridSpan w:val="8"/>
          </w:tcPr>
          <w:p>
            <w:pPr>
              <w:ind w:left="60"/>
              <w:spacing w:after="0"/>
              <w:rPr>
                <w:sz w:val="20"/>
                <w:szCs w:val="20"/>
                <w:color w:val="auto"/>
              </w:rPr>
            </w:pPr>
            <w:r>
              <w:rPr>
                <w:rFonts w:ascii="Times New Roman" w:cs="Times New Roman" w:eastAsia="Times New Roman" w:hAnsi="Times New Roman"/>
                <w:sz w:val="18"/>
                <w:szCs w:val="18"/>
                <w:i w:val="1"/>
                <w:iCs w:val="1"/>
                <w:color w:val="auto"/>
              </w:rPr>
              <w:t>Exhibits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0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report.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80" w:type="dxa"/>
            <w:vAlign w:val="bottom"/>
            <w:gridSpan w:val="5"/>
          </w:tcPr>
          <w:p>
            <w:pPr>
              <w:ind w:left="4700"/>
              <w:spacing w:after="0"/>
              <w:rPr>
                <w:sz w:val="20"/>
                <w:szCs w:val="20"/>
                <w:color w:val="auto"/>
              </w:rPr>
            </w:pPr>
            <w:r>
              <w:rPr>
                <w:rFonts w:ascii="Times New Roman" w:cs="Times New Roman" w:eastAsia="Times New Roman" w:hAnsi="Times New Roman"/>
                <w:sz w:val="18"/>
                <w:szCs w:val="18"/>
                <w:color w:val="auto"/>
              </w:rPr>
              <w:t>109</w:t>
            </w: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21"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the Board of Directors of KemPharm,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have audited the accompanying balance sheets of KemPharm, Inc. (the Company) as of December 31, 2021 and 2020, the related statements of operations, changes in stockholders</w:t>
      </w:r>
      <w:r>
        <w:rPr>
          <w:rFonts w:ascii="Arial" w:cs="Arial" w:eastAsia="Arial" w:hAnsi="Arial"/>
          <w:sz w:val="17"/>
          <w:szCs w:val="17"/>
          <w:color w:val="auto"/>
        </w:rPr>
        <w:t>ʼ</w:t>
      </w:r>
      <w:r>
        <w:rPr>
          <w:rFonts w:ascii="Times New Roman" w:cs="Times New Roman" w:eastAsia="Times New Roman" w:hAnsi="Times New Roman"/>
          <w:sz w:val="17"/>
          <w:szCs w:val="17"/>
          <w:color w:val="auto"/>
        </w:rPr>
        <w:t xml:space="preserve"> equity (deficit) and cash flows for the years then ended, and the related notes to the financial statements. In our opinion, the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Zevra Therapeutics, Inc.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the Financial Statements</w:t>
      </w:r>
    </w:p>
    <w:p>
      <w:pPr>
        <w:spacing w:after="0" w:line="217"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Zevra Therapeutics, Inc. (the Company) as of December 31, 2022, the related consolidated statements of operations, comprehensive income (loss), changes in stockholders' equity (deficit) and cash flows for the year then ended, and the related notes (collectively referred to as the “consolidated financial statements”). In our opinion, the consolidated financial statements present fairly, in all material respects, the financial position of the Company at December 31, 2022, and the results of its operations and its cash flows for the year then ended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5"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16" w:name="page117"/>
    <w:bookmarkEnd w:id="11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19"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they relate.</w:t>
      </w:r>
    </w:p>
    <w:p>
      <w:pPr>
        <w:spacing w:after="0" w:line="18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i w:val="1"/>
          <w:iCs w:val="1"/>
          <w:color w:val="auto"/>
        </w:rPr>
        <w:t>Asset Purchase</w:t>
      </w:r>
    </w:p>
    <w:p>
      <w:pPr>
        <w:spacing w:after="0" w:line="28" w:lineRule="exact"/>
        <w:rPr>
          <w:sz w:val="20"/>
          <w:szCs w:val="20"/>
          <w:color w:val="auto"/>
        </w:rPr>
      </w:pPr>
    </w:p>
    <w:p>
      <w:pPr>
        <w:jc w:val="both"/>
        <w:ind w:left="2180" w:hanging="2159"/>
        <w:spacing w:after="0" w:line="247" w:lineRule="auto"/>
        <w:tabs>
          <w:tab w:leader="none" w:pos="216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described in Note A to the consolidated financial statements, on May 31, 2022, the Company completed a transaction to acquire the net assets of Arimoclomol from the third party seller (Orphazyme) in a transaction accounted for as an asset purchase (“the Transaction”). The net assets acquired were recorded at fair value and included acquired in-process research and development (“IPR&amp;D”) associated with Arimoclomol of $17.7 million and was recorded as an operating expense in the Company’s consolidated statement of operations.</w:t>
      </w:r>
    </w:p>
    <w:p>
      <w:pPr>
        <w:spacing w:after="0" w:line="188" w:lineRule="exact"/>
        <w:rPr>
          <w:sz w:val="20"/>
          <w:szCs w:val="20"/>
          <w:color w:val="auto"/>
        </w:rPr>
      </w:pPr>
    </w:p>
    <w:p>
      <w:pPr>
        <w:jc w:val="both"/>
        <w:ind w:left="2180"/>
        <w:spacing w:after="0" w:line="252" w:lineRule="auto"/>
        <w:rPr>
          <w:sz w:val="20"/>
          <w:szCs w:val="20"/>
          <w:color w:val="auto"/>
        </w:rPr>
      </w:pPr>
      <w:r>
        <w:rPr>
          <w:rFonts w:ascii="Times New Roman" w:cs="Times New Roman" w:eastAsia="Times New Roman" w:hAnsi="Times New Roman"/>
          <w:sz w:val="18"/>
          <w:szCs w:val="18"/>
          <w:color w:val="auto"/>
        </w:rPr>
        <w:t>Auditing the Company’s accounting for the Transaction was complex because of the judgment involved in evaluating whether the transaction met the criteria of a business combination or an asset acquisition among other accounting considerations. The subjective considerations included whether substantially all of the fair value of the gross assets acquired is concentrated in a single identifiable asset or group of similar identifiable assets which was supported by a fair value analyses of the acquired units of account, the most significant of which is the IPR&amp;D asset.</w:t>
      </w:r>
    </w:p>
    <w:p>
      <w:pPr>
        <w:spacing w:after="0" w:line="183"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To test the Company’s accounting for the Transaction, we performed audit procedures that included, among others, evaluating</w:t>
      </w:r>
    </w:p>
    <w:p>
      <w:pPr>
        <w:spacing w:after="0" w:line="26" w:lineRule="exact"/>
        <w:rPr>
          <w:sz w:val="20"/>
          <w:szCs w:val="20"/>
          <w:color w:val="auto"/>
        </w:rPr>
      </w:pPr>
    </w:p>
    <w:p>
      <w:pPr>
        <w:jc w:val="both"/>
        <w:ind w:left="2180" w:hanging="2159"/>
        <w:spacing w:after="0" w:line="246" w:lineRule="auto"/>
        <w:tabs>
          <w:tab w:leader="none" w:pos="216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the Company's application of the relevant accounting guidance as well as procedures over the Company’s fair value estimates of the units of account which included the value assigned to the IPR&amp;D asset. The procedures over the fair value estimates included the involvement of our valuation specialists to assist in evaluating the methodology used to estimate the fair value of the IPR&amp;D asset and to test certain significant assumptions, including the discount rate. Our valuation specialists independently calculated the fair values of the acquired units of account to compare to the Company’s recorded amounts. We also tested the significant assumptions used to develop the prospective financial information, including the completeness and accuracy of the underlying data supporting the significant assumptions and estimates. For example, we compared the significant assumptions to current industry, market and economic trends, historical results of the Company's business and other guideline companies within the same industry and to other relevant factors. We also performed sensitivity analyses of the significant assumptions to evaluate the change in the fair value of the IPR&amp;D asset resulting from changes in the assumptions. We also assessed the appropriateness of the related disclosures in the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74"/>
        </w:trPr>
        <w:tc>
          <w:tcPr>
            <w:tcW w:w="1260" w:type="dxa"/>
            <w:vAlign w:val="bottom"/>
            <w:tcBorders>
              <w:top w:val="single" w:sz="8" w:color="0000EE"/>
            </w:tcBorders>
          </w:tcPr>
          <w:p>
            <w:pPr>
              <w:spacing w:after="0"/>
              <w:rPr>
                <w:sz w:val="24"/>
                <w:szCs w:val="24"/>
                <w:color w:val="auto"/>
              </w:rPr>
            </w:pPr>
          </w:p>
        </w:tc>
        <w:tc>
          <w:tcPr>
            <w:tcW w:w="6740" w:type="dxa"/>
            <w:vAlign w:val="bottom"/>
          </w:tcPr>
          <w:p>
            <w:pPr>
              <w:jc w:val="center"/>
              <w:ind w:left="1892"/>
              <w:spacing w:after="0"/>
              <w:rPr>
                <w:sz w:val="20"/>
                <w:szCs w:val="20"/>
                <w:color w:val="auto"/>
              </w:rPr>
            </w:pPr>
            <w:r>
              <w:rPr>
                <w:rFonts w:ascii="Times New Roman" w:cs="Times New Roman" w:eastAsia="Times New Roman" w:hAnsi="Times New Roman"/>
                <w:sz w:val="18"/>
                <w:szCs w:val="18"/>
                <w:b w:val="1"/>
                <w:bCs w:val="1"/>
                <w:color w:val="auto"/>
                <w:w w:val="98"/>
              </w:rPr>
              <w:t>ZEVRA THERAPEUTICS,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260" w:type="dxa"/>
            <w:vAlign w:val="bottom"/>
          </w:tcPr>
          <w:p>
            <w:pPr>
              <w:spacing w:after="0"/>
              <w:rPr>
                <w:sz w:val="18"/>
                <w:szCs w:val="18"/>
                <w:color w:val="auto"/>
              </w:rPr>
            </w:pPr>
          </w:p>
        </w:tc>
        <w:tc>
          <w:tcPr>
            <w:tcW w:w="6740" w:type="dxa"/>
            <w:vAlign w:val="bottom"/>
          </w:tcPr>
          <w:p>
            <w:pPr>
              <w:jc w:val="center"/>
              <w:ind w:left="1892"/>
              <w:spacing w:after="0"/>
              <w:rPr>
                <w:sz w:val="20"/>
                <w:szCs w:val="20"/>
                <w:color w:val="auto"/>
              </w:rPr>
            </w:pPr>
            <w:r>
              <w:rPr>
                <w:rFonts w:ascii="Times New Roman" w:cs="Times New Roman" w:eastAsia="Times New Roman" w:hAnsi="Times New Roman"/>
                <w:sz w:val="18"/>
                <w:szCs w:val="18"/>
                <w:b w:val="1"/>
                <w:bCs w:val="1"/>
                <w:color w:val="auto"/>
                <w:w w:val="98"/>
              </w:rPr>
              <w:t>BALANCE SHEETS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1260" w:type="dxa"/>
            <w:vAlign w:val="bottom"/>
          </w:tcPr>
          <w:p>
            <w:pPr>
              <w:spacing w:after="0"/>
              <w:rPr>
                <w:sz w:val="20"/>
                <w:szCs w:val="20"/>
                <w:color w:val="auto"/>
              </w:rPr>
            </w:pPr>
          </w:p>
        </w:tc>
        <w:tc>
          <w:tcPr>
            <w:tcW w:w="6740" w:type="dxa"/>
            <w:vAlign w:val="bottom"/>
          </w:tcPr>
          <w:p>
            <w:pPr>
              <w:jc w:val="center"/>
              <w:ind w:left="1892"/>
              <w:spacing w:after="0"/>
              <w:rPr>
                <w:sz w:val="20"/>
                <w:szCs w:val="20"/>
                <w:color w:val="auto"/>
              </w:rPr>
            </w:pPr>
            <w:r>
              <w:rPr>
                <w:rFonts w:ascii="Times New Roman" w:cs="Times New Roman" w:eastAsia="Times New Roman" w:hAnsi="Times New Roman"/>
                <w:sz w:val="18"/>
                <w:szCs w:val="18"/>
                <w:b w:val="1"/>
                <w:bCs w:val="1"/>
                <w:color w:val="auto"/>
                <w:w w:val="98"/>
              </w:rPr>
              <w:t>(in thousands, except share and par value amounts)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2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5"/>
        </w:trPr>
        <w:tc>
          <w:tcPr>
            <w:tcW w:w="126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7"/>
                <w:szCs w:val="17"/>
                <w:color w:val="auto"/>
              </w:rPr>
            </w:pPr>
          </w:p>
        </w:tc>
      </w:tr>
      <w:tr>
        <w:trPr>
          <w:trHeight w:val="205"/>
        </w:trPr>
        <w:tc>
          <w:tcPr>
            <w:tcW w:w="80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65,466</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112,346</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at fair value</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 - other</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8,299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1,182</w:t>
            </w:r>
          </w:p>
        </w:tc>
      </w:tr>
      <w:tr>
        <w:trPr>
          <w:trHeight w:val="20"/>
        </w:trPr>
        <w:tc>
          <w:tcPr>
            <w:tcW w:w="1260" w:type="dxa"/>
            <w:vAlign w:val="bottom"/>
            <w:shd w:val="clear" w:color="auto" w:fill="CCEEFF"/>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5"/>
        </w:trPr>
        <w:tc>
          <w:tcPr>
            <w:tcW w:w="8000" w:type="dxa"/>
            <w:vAlign w:val="bottom"/>
            <w:gridSpan w:val="2"/>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7"/>
                <w:szCs w:val="17"/>
                <w:color w:val="auto"/>
              </w:rPr>
            </w:pPr>
          </w:p>
        </w:tc>
        <w:tc>
          <w:tcPr>
            <w:tcW w:w="124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93,023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115,056</w:t>
            </w: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w:t>
            </w: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at fair value</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14,932</w:t>
            </w: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 - other</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r>
      <w:tr>
        <w:trPr>
          <w:trHeight w:val="20"/>
        </w:trPr>
        <w:tc>
          <w:tcPr>
            <w:tcW w:w="12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80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115,529</w:t>
            </w:r>
          </w:p>
        </w:tc>
        <w:tc>
          <w:tcPr>
            <w:tcW w:w="640" w:type="dxa"/>
            <w:vAlign w:val="bottom"/>
            <w:gridSpan w:val="2"/>
            <w:shd w:val="clear" w:color="auto" w:fill="CCEEFF"/>
          </w:tcPr>
          <w:p>
            <w:pPr>
              <w:jc w:val="right"/>
              <w:ind w:right="4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132,941</w:t>
            </w:r>
          </w:p>
        </w:tc>
      </w:tr>
      <w:tr>
        <w:trPr>
          <w:trHeight w:val="192"/>
        </w:trPr>
        <w:tc>
          <w:tcPr>
            <w:tcW w:w="1260" w:type="dxa"/>
            <w:vAlign w:val="bottom"/>
            <w:tcBorders>
              <w:top w:val="single" w:sz="8" w:color="CCEEFF"/>
            </w:tcBorders>
          </w:tcPr>
          <w:p>
            <w:pPr>
              <w:spacing w:after="0"/>
              <w:rPr>
                <w:sz w:val="16"/>
                <w:szCs w:val="16"/>
                <w:color w:val="auto"/>
              </w:rPr>
            </w:pPr>
          </w:p>
        </w:tc>
        <w:tc>
          <w:tcPr>
            <w:tcW w:w="67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6,169</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3,038</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discount and rebate liabilities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w:t>
            </w:r>
          </w:p>
        </w:tc>
      </w:tr>
      <w:tr>
        <w:trPr>
          <w:trHeight w:val="20"/>
        </w:trPr>
        <w:tc>
          <w:tcPr>
            <w:tcW w:w="12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8000" w:type="dxa"/>
            <w:vAlign w:val="bottom"/>
            <w:gridSpan w:val="2"/>
            <w:shd w:val="clear" w:color="auto" w:fill="CCEEFF"/>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11,726</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4,230</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 of credit payable</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and warrant liability</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w:t>
            </w: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and rebate liabilities, less current portion</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2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8000" w:type="dxa"/>
            <w:vAlign w:val="bottom"/>
            <w:tcBorders>
              <w:bottom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29,722</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5,823</w:t>
            </w:r>
          </w:p>
        </w:tc>
      </w:tr>
      <w:tr>
        <w:trPr>
          <w:trHeight w:val="205"/>
        </w:trPr>
        <w:tc>
          <w:tcPr>
            <w:tcW w:w="126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H)</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12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Preferred stock:</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8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Undesignated preferred stock, $0.0001 par value, 10,000,000 shares authorized, no shares issued or</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 or December 31, 2021</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800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Common stock, $0.0001 par value, 250,000,000 shares authorized, 35,450,257 shares issued and 34,540,304</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outstanding as of December 31, 2022; 35,325,801 shares issued and 35,005,640 shares outstanding as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December 31, 2021</w:t>
            </w:r>
          </w:p>
        </w:tc>
        <w:tc>
          <w:tcPr>
            <w:tcW w:w="3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401,799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396,957</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(7,536)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(2,814)</w:t>
            </w: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(308,572)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(267,029)</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8000" w:type="dxa"/>
            <w:vAlign w:val="bottom"/>
            <w:tcBorders>
              <w:bottom w:val="single" w:sz="8" w:color="CCEEFF"/>
            </w:tcBorders>
            <w:gridSpan w:val="2"/>
            <w:shd w:val="clear" w:color="auto" w:fill="CCEEFF"/>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85,807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127,118</w:t>
            </w:r>
          </w:p>
        </w:tc>
      </w:tr>
      <w:tr>
        <w:trPr>
          <w:trHeight w:val="205"/>
        </w:trPr>
        <w:tc>
          <w:tcPr>
            <w:tcW w:w="80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115,529</w:t>
            </w:r>
          </w:p>
        </w:tc>
        <w:tc>
          <w:tcPr>
            <w:tcW w:w="640" w:type="dxa"/>
            <w:vAlign w:val="bottom"/>
            <w:gridSpan w:val="2"/>
          </w:tcPr>
          <w:p>
            <w:pPr>
              <w:jc w:val="right"/>
              <w:ind w:right="4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132,941</w:t>
            </w:r>
          </w:p>
        </w:tc>
      </w:tr>
      <w:tr>
        <w:trPr>
          <w:trHeight w:val="20"/>
        </w:trPr>
        <w:tc>
          <w:tcPr>
            <w:tcW w:w="12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2"/>
        </w:trPr>
        <w:tc>
          <w:tcPr>
            <w:tcW w:w="1260" w:type="dxa"/>
            <w:vAlign w:val="bottom"/>
            <w:tcBorders>
              <w:top w:val="single" w:sz="8" w:color="0000EE"/>
            </w:tcBorders>
          </w:tcPr>
          <w:p>
            <w:pPr>
              <w:spacing w:after="0"/>
              <w:rPr>
                <w:sz w:val="24"/>
                <w:szCs w:val="24"/>
                <w:color w:val="auto"/>
              </w:rPr>
            </w:pPr>
          </w:p>
        </w:tc>
        <w:tc>
          <w:tcPr>
            <w:tcW w:w="6480" w:type="dxa"/>
            <w:vAlign w:val="bottom"/>
          </w:tcPr>
          <w:p>
            <w:pPr>
              <w:jc w:val="center"/>
              <w:ind w:left="2152"/>
              <w:spacing w:after="0"/>
              <w:rPr>
                <w:sz w:val="20"/>
                <w:szCs w:val="20"/>
                <w:color w:val="auto"/>
              </w:rPr>
            </w:pPr>
            <w:r>
              <w:rPr>
                <w:rFonts w:ascii="Times New Roman" w:cs="Times New Roman" w:eastAsia="Times New Roman" w:hAnsi="Times New Roman"/>
                <w:sz w:val="18"/>
                <w:szCs w:val="18"/>
                <w:b w:val="1"/>
                <w:bCs w:val="1"/>
                <w:color w:val="auto"/>
                <w:w w:val="98"/>
              </w:rPr>
              <w:t>ZEVRA THERAPEUTICS, INC.</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260" w:type="dxa"/>
            <w:vAlign w:val="bottom"/>
          </w:tcPr>
          <w:p>
            <w:pPr>
              <w:spacing w:after="0"/>
              <w:rPr>
                <w:sz w:val="18"/>
                <w:szCs w:val="18"/>
                <w:color w:val="auto"/>
              </w:rPr>
            </w:pPr>
          </w:p>
        </w:tc>
        <w:tc>
          <w:tcPr>
            <w:tcW w:w="6480" w:type="dxa"/>
            <w:vAlign w:val="bottom"/>
          </w:tcPr>
          <w:p>
            <w:pPr>
              <w:jc w:val="center"/>
              <w:ind w:left="2152"/>
              <w:spacing w:after="0"/>
              <w:rPr>
                <w:sz w:val="20"/>
                <w:szCs w:val="20"/>
                <w:color w:val="auto"/>
              </w:rPr>
            </w:pPr>
            <w:r>
              <w:rPr>
                <w:rFonts w:ascii="Times New Roman" w:cs="Times New Roman" w:eastAsia="Times New Roman" w:hAnsi="Times New Roman"/>
                <w:sz w:val="18"/>
                <w:szCs w:val="18"/>
                <w:b w:val="1"/>
                <w:bCs w:val="1"/>
                <w:color w:val="auto"/>
                <w:w w:val="97"/>
              </w:rPr>
              <w:t>STATEMENTS OF OPERATIONS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1260" w:type="dxa"/>
            <w:vAlign w:val="bottom"/>
          </w:tcPr>
          <w:p>
            <w:pPr>
              <w:spacing w:after="0"/>
              <w:rPr>
                <w:sz w:val="20"/>
                <w:szCs w:val="20"/>
                <w:color w:val="auto"/>
              </w:rPr>
            </w:pPr>
          </w:p>
        </w:tc>
        <w:tc>
          <w:tcPr>
            <w:tcW w:w="6480" w:type="dxa"/>
            <w:vAlign w:val="bottom"/>
          </w:tcPr>
          <w:p>
            <w:pPr>
              <w:jc w:val="center"/>
              <w:ind w:left="2152"/>
              <w:spacing w:after="0"/>
              <w:rPr>
                <w:sz w:val="20"/>
                <w:szCs w:val="20"/>
                <w:color w:val="auto"/>
              </w:rPr>
            </w:pPr>
            <w:r>
              <w:rPr>
                <w:rFonts w:ascii="Times New Roman" w:cs="Times New Roman" w:eastAsia="Times New Roman" w:hAnsi="Times New Roman"/>
                <w:sz w:val="18"/>
                <w:szCs w:val="18"/>
                <w:b w:val="1"/>
                <w:bCs w:val="1"/>
                <w:color w:val="auto"/>
                <w:w w:val="98"/>
              </w:rPr>
              <w:t>(in thousands, except share and per share amounts)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2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5"/>
        </w:trPr>
        <w:tc>
          <w:tcPr>
            <w:tcW w:w="12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r>
      <w:tr>
        <w:trPr>
          <w:trHeight w:val="205"/>
        </w:trPr>
        <w:tc>
          <w:tcPr>
            <w:tcW w:w="774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Revenue, net</w:t>
            </w:r>
          </w:p>
        </w:tc>
        <w:tc>
          <w:tcPr>
            <w:tcW w:w="540" w:type="dxa"/>
            <w:vAlign w:val="bottom"/>
            <w:gridSpan w:val="2"/>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line="205" w:lineRule="exact"/>
              <w:rPr>
                <w:sz w:val="20"/>
                <w:szCs w:val="20"/>
                <w:color w:val="auto"/>
              </w:rPr>
            </w:pPr>
            <w:r>
              <w:rPr>
                <w:rFonts w:ascii="Times New Roman" w:cs="Times New Roman" w:eastAsia="Times New Roman" w:hAnsi="Times New Roman"/>
                <w:sz w:val="18"/>
                <w:szCs w:val="18"/>
                <w:color w:val="auto"/>
              </w:rPr>
              <w:t>10,458</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28,650</w:t>
            </w:r>
          </w:p>
        </w:tc>
      </w:tr>
      <w:tr>
        <w:trPr>
          <w:trHeight w:val="212"/>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2,059</w:t>
            </w:r>
          </w:p>
        </w:tc>
      </w:tr>
      <w:tr>
        <w:trPr>
          <w:trHeight w:val="212"/>
        </w:trPr>
        <w:tc>
          <w:tcPr>
            <w:tcW w:w="7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19,614</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10,161</w:t>
            </w:r>
          </w:p>
        </w:tc>
      </w:tr>
      <w:tr>
        <w:trPr>
          <w:trHeight w:val="212"/>
        </w:trPr>
        <w:tc>
          <w:tcPr>
            <w:tcW w:w="7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15,343</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8,701</w:t>
            </w:r>
          </w:p>
        </w:tc>
      </w:tr>
      <w:tr>
        <w:trPr>
          <w:trHeight w:val="212"/>
        </w:trPr>
        <w:tc>
          <w:tcPr>
            <w:tcW w:w="7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5"/>
        </w:trPr>
        <w:tc>
          <w:tcPr>
            <w:tcW w:w="7740" w:type="dxa"/>
            <w:vAlign w:val="bottom"/>
            <w:tcBorders>
              <w:bottom w:val="single" w:sz="8" w:color="CCEEFF"/>
            </w:tcBorders>
            <w:gridSpan w:val="2"/>
            <w:shd w:val="clear" w:color="auto" w:fill="CCEEFF"/>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52,963</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20,921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5"/>
        </w:trPr>
        <w:tc>
          <w:tcPr>
            <w:tcW w:w="77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(Loss) income from operations</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2"/>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(42,505)</w:t>
            </w:r>
          </w:p>
        </w:tc>
        <w:tc>
          <w:tcPr>
            <w:tcW w:w="300" w:type="dxa"/>
            <w:vAlign w:val="bottom"/>
          </w:tcPr>
          <w:p>
            <w:pPr>
              <w:spacing w:after="0"/>
              <w:rPr>
                <w:sz w:val="17"/>
                <w:szCs w:val="17"/>
                <w:color w:val="auto"/>
              </w:rPr>
            </w:pPr>
          </w:p>
        </w:tc>
        <w:tc>
          <w:tcPr>
            <w:tcW w:w="124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7,729</w:t>
            </w:r>
          </w:p>
        </w:tc>
      </w:tr>
      <w:tr>
        <w:trPr>
          <w:trHeight w:val="205"/>
        </w:trPr>
        <w:tc>
          <w:tcPr>
            <w:tcW w:w="774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(16,096)</w:t>
            </w:r>
          </w:p>
        </w:tc>
      </w:tr>
      <w:tr>
        <w:trPr>
          <w:trHeight w:val="212"/>
        </w:trPr>
        <w:tc>
          <w:tcPr>
            <w:tcW w:w="7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related to amortization of debt issuance costs and discount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212"/>
        </w:trPr>
        <w:tc>
          <w:tcPr>
            <w:tcW w:w="7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w:t>
            </w: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r>
      <w:tr>
        <w:trPr>
          <w:trHeight w:val="212"/>
        </w:trPr>
        <w:tc>
          <w:tcPr>
            <w:tcW w:w="7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adjustment related to derivative and warrant liability</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12"/>
        </w:trPr>
        <w:tc>
          <w:tcPr>
            <w:tcW w:w="7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w:t>
            </w: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2"/>
        </w:trPr>
        <w:tc>
          <w:tcPr>
            <w:tcW w:w="77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7740" w:type="dxa"/>
            <w:vAlign w:val="bottom"/>
            <w:gridSpan w:val="2"/>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other income (expense)</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(16,250)</w:t>
            </w:r>
          </w:p>
        </w:tc>
      </w:tr>
      <w:tr>
        <w:trPr>
          <w:trHeight w:val="20"/>
        </w:trPr>
        <w:tc>
          <w:tcPr>
            <w:tcW w:w="12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774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(42,329)</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(8,521)</w:t>
            </w:r>
          </w:p>
        </w:tc>
      </w:tr>
      <w:tr>
        <w:trPr>
          <w:trHeight w:val="212"/>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w:t>
            </w: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(41,543)</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(8,555)</w:t>
            </w:r>
          </w:p>
        </w:tc>
      </w:tr>
      <w:tr>
        <w:trPr>
          <w:trHeight w:val="20"/>
        </w:trPr>
        <w:tc>
          <w:tcPr>
            <w:tcW w:w="1260" w:type="dxa"/>
            <w:vAlign w:val="bottom"/>
            <w:shd w:val="clear" w:color="auto" w:fill="CCEEFF"/>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5"/>
        </w:trPr>
        <w:tc>
          <w:tcPr>
            <w:tcW w:w="77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Deemed dividend</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(54,342)</w:t>
            </w:r>
          </w:p>
        </w:tc>
      </w:tr>
      <w:tr>
        <w:trPr>
          <w:trHeight w:val="252"/>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(41,543)</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(62,897)</w:t>
            </w:r>
          </w:p>
        </w:tc>
      </w:tr>
      <w:tr>
        <w:trPr>
          <w:trHeight w:val="192"/>
        </w:trPr>
        <w:tc>
          <w:tcPr>
            <w:tcW w:w="1260" w:type="dxa"/>
            <w:vAlign w:val="bottom"/>
            <w:tcBorders>
              <w:top w:val="single" w:sz="8" w:color="CCEEFF"/>
            </w:tcBorders>
          </w:tcPr>
          <w:p>
            <w:pPr>
              <w:spacing w:after="0"/>
              <w:rPr>
                <w:sz w:val="16"/>
                <w:szCs w:val="16"/>
                <w:color w:val="auto"/>
              </w:rPr>
            </w:pPr>
          </w:p>
        </w:tc>
        <w:tc>
          <w:tcPr>
            <w:tcW w:w="64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2"/>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12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1260" w:type="dxa"/>
            <w:vAlign w:val="bottom"/>
            <w:shd w:val="clear" w:color="auto" w:fill="CCEEFF"/>
          </w:tcPr>
          <w:p>
            <w:pPr>
              <w:spacing w:after="0"/>
              <w:rPr>
                <w:sz w:val="16"/>
                <w:szCs w:val="16"/>
                <w:color w:val="auto"/>
              </w:rPr>
            </w:pPr>
          </w:p>
        </w:tc>
        <w:tc>
          <w:tcPr>
            <w:tcW w:w="6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77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34,488,800</w:t>
            </w:r>
          </w:p>
        </w:tc>
        <w:tc>
          <w:tcPr>
            <w:tcW w:w="3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29,766,347</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3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3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560" w:type="dxa"/>
            <w:vAlign w:val="bottom"/>
            <w:gridSpan w:val="2"/>
            <w:shd w:val="clear" w:color="auto" w:fill="CCEEFF"/>
          </w:tcPr>
          <w:p>
            <w:pPr>
              <w:jc w:val="right"/>
              <w:ind w:right="7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line="205" w:lineRule="exact"/>
              <w:rPr>
                <w:sz w:val="20"/>
                <w:szCs w:val="20"/>
                <w:color w:val="auto"/>
              </w:rPr>
            </w:pPr>
            <w:r>
              <w:rPr>
                <w:rFonts w:ascii="Times New Roman" w:cs="Times New Roman" w:eastAsia="Times New Roman" w:hAnsi="Times New Roman"/>
                <w:sz w:val="18"/>
                <w:szCs w:val="18"/>
                <w:color w:val="auto"/>
                <w:w w:val="94"/>
              </w:rPr>
              <w:t>(41,543)</w:t>
            </w:r>
          </w:p>
        </w:tc>
        <w:tc>
          <w:tcPr>
            <w:tcW w:w="90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w w:val="94"/>
              </w:rPr>
              <w:t>(62,897)</w:t>
            </w:r>
          </w:p>
        </w:tc>
      </w:tr>
      <w:tr>
        <w:trPr>
          <w:trHeight w:val="212"/>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5"/>
        </w:trPr>
        <w:tc>
          <w:tcPr>
            <w:tcW w:w="4360" w:type="dxa"/>
            <w:vAlign w:val="bottom"/>
          </w:tcPr>
          <w:p>
            <w:pPr>
              <w:ind w:left="320"/>
              <w:spacing w:after="0" w:line="205" w:lineRule="exact"/>
              <w:rPr>
                <w:sz w:val="20"/>
                <w:szCs w:val="20"/>
                <w:color w:val="auto"/>
              </w:rPr>
            </w:pPr>
            <w:r>
              <w:rPr>
                <w:rFonts w:ascii="Times New Roman" w:cs="Times New Roman" w:eastAsia="Times New Roman" w:hAnsi="Times New Roman"/>
                <w:sz w:val="18"/>
                <w:szCs w:val="18"/>
                <w:color w:val="auto"/>
              </w:rPr>
              <w:t>Other comprehensive income</w:t>
            </w:r>
          </w:p>
        </w:tc>
        <w:tc>
          <w:tcPr>
            <w:tcW w:w="3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gridSpan w:val="2"/>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113</w:t>
            </w:r>
          </w:p>
        </w:tc>
        <w:tc>
          <w:tcPr>
            <w:tcW w:w="900" w:type="dxa"/>
            <w:vAlign w:val="bottom"/>
          </w:tcPr>
          <w:p>
            <w:pPr>
              <w:spacing w:after="0"/>
              <w:rPr>
                <w:sz w:val="17"/>
                <w:szCs w:val="17"/>
                <w:color w:val="auto"/>
              </w:rPr>
            </w:pPr>
          </w:p>
        </w:tc>
        <w:tc>
          <w:tcPr>
            <w:tcW w:w="64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5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56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4"/>
              </w:rPr>
              <w:t>(41,430)</w:t>
            </w:r>
          </w:p>
        </w:tc>
        <w:tc>
          <w:tcPr>
            <w:tcW w:w="90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(62,897)</w:t>
            </w:r>
          </w:p>
        </w:tc>
      </w:tr>
      <w:tr>
        <w:trPr>
          <w:trHeight w:val="405"/>
        </w:trPr>
        <w:tc>
          <w:tcPr>
            <w:tcW w:w="4360" w:type="dxa"/>
            <w:vAlign w:val="bottom"/>
            <w:tcBorders>
              <w:top w:val="single" w:sz="8" w:color="CCEEFF"/>
            </w:tcBorders>
          </w:tcPr>
          <w:p>
            <w:pPr>
              <w:spacing w:after="0"/>
              <w:rPr>
                <w:sz w:val="24"/>
                <w:szCs w:val="24"/>
                <w:color w:val="auto"/>
              </w:rPr>
            </w:pPr>
          </w:p>
        </w:tc>
        <w:tc>
          <w:tcPr>
            <w:tcW w:w="3640" w:type="dxa"/>
            <w:vAlign w:val="bottom"/>
            <w:tcBorders>
              <w:top w:val="single" w:sz="8" w:color="CCEEFF"/>
            </w:tcBorders>
          </w:tcPr>
          <w:p>
            <w:pPr>
              <w:jc w:val="right"/>
              <w:ind w:right="2152"/>
              <w:spacing w:after="0"/>
              <w:rPr>
                <w:sz w:val="20"/>
                <w:szCs w:val="20"/>
                <w:color w:val="auto"/>
              </w:rPr>
            </w:pPr>
            <w:r>
              <w:rPr>
                <w:rFonts w:ascii="Times New Roman" w:cs="Times New Roman" w:eastAsia="Times New Roman" w:hAnsi="Times New Roman"/>
                <w:sz w:val="18"/>
                <w:szCs w:val="18"/>
                <w:color w:val="auto"/>
              </w:rPr>
              <w:t>115</w:t>
            </w:r>
          </w:p>
        </w:tc>
        <w:tc>
          <w:tcPr>
            <w:tcW w:w="9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1"/>
        </w:trPr>
        <w:tc>
          <w:tcPr>
            <w:tcW w:w="436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Series B-2</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100" w:type="dxa"/>
            <w:vAlign w:val="bottom"/>
            <w:gridSpan w:val="3"/>
            <w:shd w:val="clear" w:color="auto" w:fill="CCEEFF"/>
          </w:tcPr>
          <w:p>
            <w:pPr>
              <w:jc w:val="right"/>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5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Balance as of January 1, 2021</w:t>
            </w:r>
          </w:p>
        </w:tc>
        <w:tc>
          <w:tcPr>
            <w:tcW w:w="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192,062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9"/>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(258,474)</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39" w:lineRule="exact"/>
              <w:rPr>
                <w:sz w:val="20"/>
                <w:szCs w:val="20"/>
                <w:color w:val="auto"/>
              </w:rPr>
            </w:pPr>
            <w:r>
              <w:rPr>
                <w:rFonts w:ascii="Times New Roman" w:cs="Times New Roman" w:eastAsia="Times New Roman" w:hAnsi="Times New Roman"/>
                <w:sz w:val="14"/>
                <w:szCs w:val="14"/>
                <w:color w:val="auto"/>
              </w:rPr>
              <w:t>(66,412)</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5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(8,555)</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39" w:lineRule="exact"/>
              <w:rPr>
                <w:sz w:val="20"/>
                <w:szCs w:val="20"/>
                <w:color w:val="auto"/>
              </w:rPr>
            </w:pPr>
            <w:r>
              <w:rPr>
                <w:rFonts w:ascii="Times New Roman" w:cs="Times New Roman" w:eastAsia="Times New Roman" w:hAnsi="Times New Roman"/>
                <w:sz w:val="14"/>
                <w:szCs w:val="14"/>
                <w:color w:val="auto"/>
              </w:rPr>
              <w:t>(8,555)</w:t>
            </w:r>
          </w:p>
        </w:tc>
        <w:tc>
          <w:tcPr>
            <w:tcW w:w="0" w:type="dxa"/>
            <w:vAlign w:val="bottom"/>
          </w:tcPr>
          <w:p>
            <w:pPr>
              <w:spacing w:after="0"/>
              <w:rPr>
                <w:sz w:val="1"/>
                <w:szCs w:val="1"/>
                <w:color w:val="auto"/>
              </w:rPr>
            </w:pPr>
          </w:p>
        </w:tc>
      </w:tr>
      <w:tr>
        <w:trPr>
          <w:trHeight w:val="146"/>
        </w:trPr>
        <w:tc>
          <w:tcPr>
            <w:tcW w:w="35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6" w:lineRule="exact"/>
              <w:rPr>
                <w:sz w:val="20"/>
                <w:szCs w:val="20"/>
                <w:color w:val="auto"/>
              </w:rPr>
            </w:pPr>
            <w:r>
              <w:rPr>
                <w:rFonts w:ascii="Times New Roman" w:cs="Times New Roman" w:eastAsia="Times New Roman" w:hAnsi="Times New Roman"/>
                <w:sz w:val="14"/>
                <w:szCs w:val="14"/>
                <w:color w:val="auto"/>
              </w:rPr>
              <w:t>2,436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2,436</w:t>
            </w:r>
          </w:p>
        </w:tc>
        <w:tc>
          <w:tcPr>
            <w:tcW w:w="0" w:type="dxa"/>
            <w:vAlign w:val="bottom"/>
          </w:tcPr>
          <w:p>
            <w:pPr>
              <w:spacing w:after="0"/>
              <w:rPr>
                <w:sz w:val="1"/>
                <w:szCs w:val="1"/>
                <w:color w:val="auto"/>
              </w:rPr>
            </w:pPr>
          </w:p>
        </w:tc>
      </w:tr>
      <w:tr>
        <w:trPr>
          <w:trHeight w:val="123"/>
        </w:trPr>
        <w:tc>
          <w:tcPr>
            <w:tcW w:w="35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Issuance of common stock in connection with Public</w:t>
            </w: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49,284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49,285</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Offering, net of discounts and commissions</w:t>
            </w: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Issuance of common stock in connection with the exercise</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5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of warrants in the January 2021 Inducement Transaction,</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40,390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40,391</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discounts and commissions</w:t>
            </w: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Issuance of common stock in connection with the exercise</w:t>
            </w: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30,819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30,819</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of common stock warrants</w:t>
            </w: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Fair value of warrants issued in connection with the</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15,990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15,990</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Agreement</w:t>
            </w: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Fair value of Series B-2 Preferred Stock issued in</w:t>
            </w:r>
          </w:p>
        </w:tc>
        <w:tc>
          <w:tcPr>
            <w:tcW w:w="80" w:type="dxa"/>
            <w:vAlign w:val="bottom"/>
          </w:tcPr>
          <w:p>
            <w:pPr>
              <w:spacing w:after="0"/>
              <w:rPr>
                <w:sz w:val="10"/>
                <w:szCs w:val="10"/>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29,056</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29,056</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accordance with the Exchange Agreement</w:t>
            </w: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Issuance of common stock as a result of Series B-2</w:t>
            </w:r>
          </w:p>
        </w:tc>
        <w:tc>
          <w:tcPr>
            <w:tcW w:w="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(29,056)</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29,055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conversion</w:t>
            </w: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Fair value of warrants issued in connection with the</w:t>
            </w: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38,437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38,437</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January 2021 Inducement Transaction</w:t>
            </w: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Deemed dividend related to the January 2021 Inducement</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(37,444)</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(37,444)</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w:t>
            </w: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Issuance of common stock in connection with the exercise</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of warrants in the June 2021 Inducement Transaction, net</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36,559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36,560</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of discounts and commissions</w:t>
            </w: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Fair value of warrants issued in connection with the June</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17,089</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17,089</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 Inducement Transaction</w:t>
            </w: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Deemed dividend related to the June 2021 Inducement</w:t>
            </w: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(16,898)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(16,898)</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Transaction</w:t>
            </w: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Shares repurchased as part of the Share Repurchase</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(2,814)</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(2,814)</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w:t>
            </w: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Offering expenses charged to equity</w:t>
            </w:r>
          </w:p>
        </w:tc>
        <w:tc>
          <w:tcPr>
            <w:tcW w:w="8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(1,124)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(1,124)</w:t>
            </w:r>
          </w:p>
        </w:tc>
        <w:tc>
          <w:tcPr>
            <w:tcW w:w="0" w:type="dxa"/>
            <w:vAlign w:val="bottom"/>
          </w:tcPr>
          <w:p>
            <w:pPr>
              <w:spacing w:after="0"/>
              <w:rPr>
                <w:sz w:val="1"/>
                <w:szCs w:val="1"/>
                <w:color w:val="auto"/>
              </w:rPr>
            </w:pPr>
          </w:p>
        </w:tc>
      </w:tr>
      <w:tr>
        <w:trPr>
          <w:trHeight w:val="123"/>
        </w:trPr>
        <w:tc>
          <w:tcPr>
            <w:tcW w:w="35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Issuance of common stock in exchange for consulting</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5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services</w:t>
            </w: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200" w:type="dxa"/>
            <w:vAlign w:val="bottom"/>
            <w:tcBorders>
              <w:bottom w:val="single" w:sz="8" w:color="CCEEFF"/>
            </w:tcBorders>
            <w:vMerge w:val="continue"/>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200" w:type="dxa"/>
            <w:vAlign w:val="bottom"/>
            <w:tcBorders>
              <w:bottom w:val="single" w:sz="8" w:color="CCEEFF"/>
            </w:tcBorders>
            <w:vMerge w:val="continue"/>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5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Balance as of December 31,2021</w:t>
            </w:r>
          </w:p>
        </w:tc>
        <w:tc>
          <w:tcPr>
            <w:tcW w:w="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396,957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(2,814)</w:t>
            </w:r>
          </w:p>
        </w:tc>
        <w:tc>
          <w:tcPr>
            <w:tcW w:w="160" w:type="dxa"/>
            <w:vAlign w:val="bottom"/>
          </w:tcPr>
          <w:p>
            <w:pPr>
              <w:jc w:val="right"/>
              <w:ind w:right="9"/>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(267,029)</w:t>
            </w:r>
          </w:p>
        </w:tc>
        <w:tc>
          <w:tcPr>
            <w:tcW w:w="1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4"/>
                <w:szCs w:val="14"/>
                <w:color w:val="auto"/>
              </w:rPr>
              <w:t>127,118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5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(41,543)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39" w:lineRule="exact"/>
              <w:rPr>
                <w:sz w:val="20"/>
                <w:szCs w:val="20"/>
                <w:color w:val="auto"/>
              </w:rPr>
            </w:pPr>
            <w:r>
              <w:rPr>
                <w:rFonts w:ascii="Times New Roman" w:cs="Times New Roman" w:eastAsia="Times New Roman" w:hAnsi="Times New Roman"/>
                <w:sz w:val="14"/>
                <w:szCs w:val="14"/>
                <w:color w:val="auto"/>
              </w:rPr>
              <w:t>(41,543)</w:t>
            </w:r>
          </w:p>
        </w:tc>
        <w:tc>
          <w:tcPr>
            <w:tcW w:w="0" w:type="dxa"/>
            <w:vAlign w:val="bottom"/>
          </w:tcPr>
          <w:p>
            <w:pPr>
              <w:spacing w:after="0"/>
              <w:rPr>
                <w:sz w:val="1"/>
                <w:szCs w:val="1"/>
                <w:color w:val="auto"/>
              </w:rPr>
            </w:pPr>
          </w:p>
        </w:tc>
      </w:tr>
      <w:tr>
        <w:trPr>
          <w:trHeight w:val="146"/>
        </w:trPr>
        <w:tc>
          <w:tcPr>
            <w:tcW w:w="35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4"/>
                <w:szCs w:val="14"/>
                <w:color w:val="auto"/>
              </w:rPr>
              <w:t>4,294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4,294</w:t>
            </w:r>
          </w:p>
        </w:tc>
        <w:tc>
          <w:tcPr>
            <w:tcW w:w="0" w:type="dxa"/>
            <w:vAlign w:val="bottom"/>
          </w:tcPr>
          <w:p>
            <w:pPr>
              <w:spacing w:after="0"/>
              <w:rPr>
                <w:sz w:val="1"/>
                <w:szCs w:val="1"/>
                <w:color w:val="auto"/>
              </w:rPr>
            </w:pPr>
          </w:p>
        </w:tc>
      </w:tr>
      <w:tr>
        <w:trPr>
          <w:trHeight w:val="123"/>
        </w:trPr>
        <w:tc>
          <w:tcPr>
            <w:tcW w:w="35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Shares repurchased as part of the Share Repurchase</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(4,722)</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(4,723)</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w:t>
            </w: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Issuance of common stock as part of the Employee Stock</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Issuance of common stock in exchange for consulting</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79"/>
        </w:trPr>
        <w:tc>
          <w:tcPr>
            <w:tcW w:w="3500" w:type="dxa"/>
            <w:vAlign w:val="bottom"/>
            <w:tcBorders>
              <w:bottom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Balance as of December 31, 2022</w:t>
            </w:r>
          </w:p>
        </w:tc>
        <w:tc>
          <w:tcPr>
            <w:tcW w:w="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401,799</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(7,536)</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9"/>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(308,572)</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85,807</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2"/>
        </w:trPr>
        <w:tc>
          <w:tcPr>
            <w:tcW w:w="1260" w:type="dxa"/>
            <w:vAlign w:val="bottom"/>
            <w:tcBorders>
              <w:top w:val="single" w:sz="8" w:color="0000EE"/>
            </w:tcBorders>
          </w:tcPr>
          <w:p>
            <w:pPr>
              <w:spacing w:after="0"/>
              <w:rPr>
                <w:sz w:val="24"/>
                <w:szCs w:val="24"/>
                <w:color w:val="auto"/>
              </w:rPr>
            </w:pPr>
          </w:p>
        </w:tc>
        <w:tc>
          <w:tcPr>
            <w:tcW w:w="6440" w:type="dxa"/>
            <w:vAlign w:val="bottom"/>
          </w:tcPr>
          <w:p>
            <w:pPr>
              <w:jc w:val="center"/>
              <w:ind w:left="2192"/>
              <w:spacing w:after="0"/>
              <w:rPr>
                <w:sz w:val="20"/>
                <w:szCs w:val="20"/>
                <w:color w:val="auto"/>
              </w:rPr>
            </w:pPr>
            <w:r>
              <w:rPr>
                <w:rFonts w:ascii="Times New Roman" w:cs="Times New Roman" w:eastAsia="Times New Roman" w:hAnsi="Times New Roman"/>
                <w:sz w:val="18"/>
                <w:szCs w:val="18"/>
                <w:b w:val="1"/>
                <w:bCs w:val="1"/>
                <w:color w:val="auto"/>
                <w:w w:val="98"/>
              </w:rPr>
              <w:t>ZEVRA THERAPEUTICS, INC.</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260" w:type="dxa"/>
            <w:vAlign w:val="bottom"/>
          </w:tcPr>
          <w:p>
            <w:pPr>
              <w:spacing w:after="0"/>
              <w:rPr>
                <w:sz w:val="18"/>
                <w:szCs w:val="18"/>
                <w:color w:val="auto"/>
              </w:rPr>
            </w:pPr>
          </w:p>
        </w:tc>
        <w:tc>
          <w:tcPr>
            <w:tcW w:w="6440" w:type="dxa"/>
            <w:vAlign w:val="bottom"/>
          </w:tcPr>
          <w:p>
            <w:pPr>
              <w:jc w:val="center"/>
              <w:ind w:left="2192"/>
              <w:spacing w:after="0"/>
              <w:rPr>
                <w:sz w:val="20"/>
                <w:szCs w:val="20"/>
                <w:color w:val="auto"/>
              </w:rPr>
            </w:pPr>
            <w:r>
              <w:rPr>
                <w:rFonts w:ascii="Times New Roman" w:cs="Times New Roman" w:eastAsia="Times New Roman" w:hAnsi="Times New Roman"/>
                <w:sz w:val="18"/>
                <w:szCs w:val="18"/>
                <w:b w:val="1"/>
                <w:bCs w:val="1"/>
                <w:color w:val="auto"/>
                <w:w w:val="96"/>
              </w:rPr>
              <w:t>STATEMENTS OF CASH FLOWS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1260" w:type="dxa"/>
            <w:vAlign w:val="bottom"/>
          </w:tcPr>
          <w:p>
            <w:pPr>
              <w:spacing w:after="0"/>
              <w:rPr>
                <w:sz w:val="20"/>
                <w:szCs w:val="20"/>
                <w:color w:val="auto"/>
              </w:rPr>
            </w:pPr>
          </w:p>
        </w:tc>
        <w:tc>
          <w:tcPr>
            <w:tcW w:w="6440" w:type="dxa"/>
            <w:vAlign w:val="bottom"/>
          </w:tcPr>
          <w:p>
            <w:pPr>
              <w:jc w:val="center"/>
              <w:ind w:left="2192"/>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2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5"/>
        </w:trPr>
        <w:tc>
          <w:tcPr>
            <w:tcW w:w="126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7"/>
                <w:szCs w:val="17"/>
                <w:color w:val="auto"/>
              </w:rPr>
            </w:pPr>
          </w:p>
        </w:tc>
      </w:tr>
      <w:tr>
        <w:trPr>
          <w:trHeight w:val="205"/>
        </w:trPr>
        <w:tc>
          <w:tcPr>
            <w:tcW w:w="77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(41,543)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(8,555)</w:t>
            </w:r>
          </w:p>
        </w:tc>
      </w:tr>
      <w:tr>
        <w:trPr>
          <w:trHeight w:val="21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16,096</w:t>
            </w:r>
          </w:p>
        </w:tc>
      </w:tr>
      <w:tr>
        <w:trPr>
          <w:trHeight w:val="212"/>
        </w:trPr>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2,436</w:t>
            </w:r>
          </w:p>
        </w:tc>
      </w:tr>
      <w:tr>
        <w:trPr>
          <w:trHeight w:val="212"/>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2"/>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12"/>
        </w:trPr>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adjustment related to derivative and warrant liability</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2"/>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sublease and disposal of property and equipment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2"/>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Consulting fees paid in common stock</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2"/>
        </w:trPr>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on foreign currency exchange rates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r>
      <w:tr>
        <w:trPr>
          <w:trHeight w:val="212"/>
        </w:trPr>
        <w:tc>
          <w:tcPr>
            <w:tcW w:w="7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w:t>
            </w:r>
          </w:p>
        </w:tc>
      </w:tr>
      <w:tr>
        <w:trPr>
          <w:trHeight w:val="212"/>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12"/>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long-term assets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(1,113)</w:t>
            </w:r>
          </w:p>
        </w:tc>
      </w:tr>
      <w:tr>
        <w:trPr>
          <w:trHeight w:val="212"/>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Discount and rebate liabilities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r>
      <w:tr>
        <w:trPr>
          <w:trHeight w:val="212"/>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liabilities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w:t>
            </w:r>
          </w:p>
        </w:tc>
      </w:tr>
      <w:tr>
        <w:trPr>
          <w:trHeight w:val="20"/>
        </w:trPr>
        <w:tc>
          <w:tcPr>
            <w:tcW w:w="12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7700" w:type="dxa"/>
            <w:vAlign w:val="bottom"/>
            <w:tcBorders>
              <w:bottom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(18,717)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10,439</w:t>
            </w:r>
          </w:p>
        </w:tc>
      </w:tr>
      <w:tr>
        <w:trPr>
          <w:trHeight w:val="205"/>
        </w:trPr>
        <w:tc>
          <w:tcPr>
            <w:tcW w:w="126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net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1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long-term investments, net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(15,422)</w:t>
            </w:r>
          </w:p>
        </w:tc>
      </w:tr>
      <w:tr>
        <w:trPr>
          <w:trHeight w:val="20"/>
        </w:trPr>
        <w:tc>
          <w:tcPr>
            <w:tcW w:w="12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7700" w:type="dxa"/>
            <w:vAlign w:val="bottom"/>
            <w:tcBorders>
              <w:bottom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(36,719)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(15,524)</w:t>
            </w:r>
          </w:p>
        </w:tc>
      </w:tr>
      <w:tr>
        <w:trPr>
          <w:trHeight w:val="205"/>
        </w:trPr>
        <w:tc>
          <w:tcPr>
            <w:tcW w:w="126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Public Offering, net of discounts and commissions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49,285</w:t>
            </w:r>
          </w:p>
        </w:tc>
      </w:tr>
      <w:tr>
        <w:trPr>
          <w:trHeight w:val="21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January 2021 Inducement Transaction, net of discounts and commissions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41,384</w:t>
            </w:r>
          </w:p>
        </w:tc>
      </w:tr>
      <w:tr>
        <w:trPr>
          <w:trHeight w:val="21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June 2021 Inducement Transaction, net of discounts and commissions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36,751</w:t>
            </w:r>
          </w:p>
        </w:tc>
      </w:tr>
      <w:tr>
        <w:trPr>
          <w:trHeight w:val="21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insurance financing arrangements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of principal on insurance financing arrangements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repurchase shares as part of the Share Repurchase Program</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(2,814)</w:t>
            </w:r>
          </w:p>
        </w:tc>
      </w:tr>
      <w:tr>
        <w:trPr>
          <w:trHeight w:val="21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(1,338)</w:t>
            </w:r>
          </w:p>
        </w:tc>
      </w:tr>
      <w:tr>
        <w:trPr>
          <w:trHeight w:val="21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principal on finance lease liabilities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r>
      <w:tr>
        <w:trPr>
          <w:trHeight w:val="21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(2,881)</w:t>
            </w:r>
          </w:p>
        </w:tc>
      </w:tr>
      <w:tr>
        <w:trPr>
          <w:trHeight w:val="21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principal on convertible notes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(37,924)</w:t>
            </w:r>
          </w:p>
        </w:tc>
      </w:tr>
      <w:tr>
        <w:trPr>
          <w:trHeight w:val="21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proceeds from exercise of common stock warrants</w:t>
            </w:r>
          </w:p>
        </w:tc>
        <w:tc>
          <w:tcPr>
            <w:tcW w:w="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30,819</w:t>
            </w:r>
          </w:p>
        </w:tc>
        <w:tc>
          <w:tcPr>
            <w:tcW w:w="100" w:type="dxa"/>
            <w:vAlign w:val="bottom"/>
          </w:tcPr>
          <w:p>
            <w:pPr>
              <w:spacing w:after="0"/>
              <w:rPr>
                <w:sz w:val="18"/>
                <w:szCs w:val="18"/>
                <w:color w:val="auto"/>
              </w:rPr>
            </w:pPr>
          </w:p>
        </w:tc>
      </w:tr>
      <w:tr>
        <w:trPr>
          <w:trHeight w:val="205"/>
        </w:trPr>
        <w:tc>
          <w:tcPr>
            <w:tcW w:w="7700" w:type="dxa"/>
            <w:vAlign w:val="bottom"/>
            <w:tcBorders>
              <w:bottom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8,352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113,109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5"/>
        </w:trPr>
        <w:tc>
          <w:tcPr>
            <w:tcW w:w="77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1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108,024</w:t>
            </w:r>
          </w:p>
        </w:tc>
      </w:tr>
      <w:tr>
        <w:trPr>
          <w:trHeight w:val="21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112,346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4,322</w:t>
            </w:r>
          </w:p>
        </w:tc>
      </w:tr>
      <w:tr>
        <w:trPr>
          <w:trHeight w:val="245"/>
        </w:trPr>
        <w:tc>
          <w:tcPr>
            <w:tcW w:w="77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100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65,466</w:t>
            </w:r>
          </w:p>
        </w:tc>
        <w:tc>
          <w:tcPr>
            <w:tcW w:w="380" w:type="dxa"/>
            <w:vAlign w:val="bottom"/>
            <w:gridSpan w:val="2"/>
            <w:shd w:val="clear" w:color="auto" w:fill="CCEEFF"/>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112,346</w:t>
            </w:r>
          </w:p>
        </w:tc>
      </w:tr>
      <w:tr>
        <w:trPr>
          <w:trHeight w:val="192"/>
        </w:trPr>
        <w:tc>
          <w:tcPr>
            <w:tcW w:w="1260" w:type="dxa"/>
            <w:vAlign w:val="bottom"/>
            <w:tcBorders>
              <w:top w:val="single" w:sz="8" w:color="CCEEFF"/>
            </w:tcBorders>
          </w:tcPr>
          <w:p>
            <w:pPr>
              <w:spacing w:after="0"/>
              <w:rPr>
                <w:sz w:val="16"/>
                <w:szCs w:val="16"/>
                <w:color w:val="auto"/>
              </w:rPr>
            </w:pPr>
          </w:p>
        </w:tc>
        <w:tc>
          <w:tcPr>
            <w:tcW w:w="64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1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7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Facility Notes principal converted to Series B-2 Preferred Stock</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31,477</w:t>
            </w:r>
          </w:p>
        </w:tc>
      </w:tr>
      <w:tr>
        <w:trPr>
          <w:trHeight w:val="21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for deferred offering costs included in accounts payable and accrued expenses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31"/>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warrants issued to underwriters in connection with Public Offering</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3,485</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05" w:right="339" w:bottom="931"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348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05" w:right="339" w:bottom="931"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34" w:lineRule="exact"/>
        <w:rPr>
          <w:sz w:val="20"/>
          <w:szCs w:val="20"/>
          <w:color w:val="auto"/>
        </w:rPr>
      </w:pPr>
    </w:p>
    <w:p>
      <w:pPr>
        <w:ind w:left="680" w:hanging="674"/>
        <w:spacing w:after="0"/>
        <w:tabs>
          <w:tab w:leader="none" w:pos="6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Significant Transactions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Zevra Therapeutics, Inc</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(the "Company") is a biotechnology company focused on the discovery, development, and commercialization of novel treatments for rare central nervous system (“CNS”) and neurodegenerative diseases, lysosomal storage disorders, and related treatment areas. The Company has a diverse product portfolio, combining a clinical-stage pipeline with new drug application (“NDA”) stage and commercial assets. The Company’s pipeline includes arimoclomol, an orally-delivered, first-in-class investigational product candidate for Niemann-Pick disease type C (“NPC”), and KP1077, which the Company is developing as a treatment for idiopathic hypersomnia (“IH”), a rare neurological sleep disorder, and narcolepsy. In addition, the U.S. Food and Drug Administration (“FDA”) has approved AZSTARYS®, formerly referred to as KP415, a once-daily treatment for attention deficit hyperactivity disorder (“ADHD”) in patients six years and older containing the Company’s prodrug, serdexmethylphenidate (“SDX”), which is being commercialized by Corium, Inc. (“Corium”), an affiliate of Gurnet Point Capital, L.P. (“GPC”), in the U.S. The FDA has also approved APADAZ®, an immediate-release combination product containing benzhydrocodone, the Company’s prodrug of hydrocodone, and acetaminophen, which is being commercialized by KVK-Tech, Inc. (“KVK”) in the U.S. The Company changed its name from KemPharm, Inc. to Zevra Therapeutics, Inc. effective as of February 21,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prepared the consolidated financial statements in accordance with accounting principles generally accepted in the United States of America (“US GAAP”) and the rules and regulations of the Securities and Exchange Commission (“SEC”) and, in the Company’s opinion, reflect all adjustments, including normal recurring items that are necessary. All significant intercompany accounts and transactions have been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Arimoclomol Acquisition</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May 15, 2022, the Company and Zevra Denmark A/S (formerly known as KemPharm Denmark A/S prior to February 21, 2023) (“Zevra DK”), a newly formed Danish company and wholly-owned subsidiary of the Company entered into an asset purchase agreement (the “Arimoclomol Purchase Agreement”) with Orphazyme A/S in restructuring, a Danish public limited liability company (“Orphazyme”). The Arimoclomol Purchase Agreement closed on May 31, 2022. Under the terms of the Arimoclomol Purchase Agreement, Zevra DK purchased all of the assets and operations of Orphazyme related to arimoclomol and settled all of Orphazyme’s actual outstanding liabilities to its creditors with a cash payment of $12.8 million. In addition, Zevra DK agreed to assume an estimated reserve liability of $5.2 million related to revenue generated from Orphazyme’s Early Access Program in France.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 accounted for the arimoclomol acquisition as an asset acquisition as the majority of the value of the assets acquired related to the arimoclomol acquired in-process research and development (“IPR&amp;D”) asset. The intangible asset associated with IPR&amp;D relates to arimoclomol. The estimated fair value of $17.7 million was determined using the excess earnings valuation method, a variation of the income valuation approach. The excess earnings valuation method estimates the value of an intangible asset equal to the present value of the incremental after-tax cash flows attributable to that intangible asset over its remaining economic life. Some of the more significant assumptions utilized in our asset valuations included projected revenues, probability of commercial success, and the discount rate. The fair value using the excess earnings valuation method was determined using an estimated weighted average cost of capital of 42%, which reflects the risks inherent in future cash flow projections and represents a rate of return that a market participant would expect for this asset. This fair value measurement was based on significant inputs not observable in the market and thus represent Level 3 fair value measurement.</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Subtopic 730-10-25, </w:t>
      </w:r>
      <w:r>
        <w:rPr>
          <w:rFonts w:ascii="Times New Roman" w:cs="Times New Roman" w:eastAsia="Times New Roman" w:hAnsi="Times New Roman"/>
          <w:sz w:val="18"/>
          <w:szCs w:val="18"/>
          <w:i w:val="1"/>
          <w:iCs w:val="1"/>
          <w:color w:val="auto"/>
        </w:rPr>
        <w:t>Accounting for Research and Development Costs</w:t>
      </w:r>
      <w:r>
        <w:rPr>
          <w:rFonts w:ascii="Times New Roman" w:cs="Times New Roman" w:eastAsia="Times New Roman" w:hAnsi="Times New Roman"/>
          <w:sz w:val="18"/>
          <w:szCs w:val="18"/>
          <w:color w:val="auto"/>
        </w:rPr>
        <w:t>, the up-front payments to acquire a new drug compound, as well as future milestone payments when paid or payable, are immediately expensed as acquired IPR&amp;D in transactions other than a business combination provided that the drug has not achieved regulatory approval for marketing and, absent obtaining such approval, has no alternative future use. Therefore, the portion of the purchase price that was allocated to the IPR&amp;D assets acquired was immediately expensed. Other assets acquired and liabilities assumed, were recorded at fair value. The company also recorded a $0.8 million income tax benefit for the year-ended December 31, 2022, related to research and development credits that are expected to be realized from the local jurisdiction in Denmark.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represents the consideration paid and purchase price allocation for the acquisition of arimoclomol (in thousands):</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9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12,800</w:t>
            </w:r>
          </w:p>
        </w:tc>
      </w:tr>
      <w:tr>
        <w:trPr>
          <w:trHeight w:val="212"/>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Assumed reserve liability</w:t>
            </w:r>
          </w:p>
        </w:tc>
        <w:tc>
          <w:tcPr>
            <w:tcW w:w="3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Pr>
          <w:p>
            <w:pPr>
              <w:spacing w:after="0"/>
              <w:rPr>
                <w:sz w:val="18"/>
                <w:szCs w:val="18"/>
                <w:color w:val="auto"/>
              </w:rPr>
            </w:pPr>
          </w:p>
        </w:tc>
      </w:tr>
      <w:tr>
        <w:trPr>
          <w:trHeight w:val="225"/>
        </w:trPr>
        <w:tc>
          <w:tcPr>
            <w:tcW w:w="93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consideration</w:t>
            </w:r>
          </w:p>
        </w:tc>
        <w:tc>
          <w:tcPr>
            <w:tcW w:w="840" w:type="dxa"/>
            <w:vAlign w:val="bottom"/>
            <w:gridSpan w:val="2"/>
            <w:shd w:val="clear" w:color="auto" w:fill="CCEEFF"/>
          </w:tcPr>
          <w:p>
            <w:pPr>
              <w:jc w:val="right"/>
              <w:ind w:right="4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18,000</w:t>
            </w:r>
          </w:p>
        </w:tc>
      </w:tr>
      <w:tr>
        <w:trPr>
          <w:trHeight w:val="20"/>
        </w:trPr>
        <w:tc>
          <w:tcPr>
            <w:tcW w:w="9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21" w:right="339" w:bottom="507" w:gutter="0" w:footer="0" w:header="0"/>
        </w:sectPr>
      </w:pPr>
    </w:p>
    <w:p>
      <w:pPr>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134860" cy="134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 transaction costs associated with the acquisition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34860" cy="160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purchase price to be allocated</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18,000</w:t>
      </w:r>
    </w:p>
    <w:p>
      <w:pPr>
        <w:spacing w:after="0" w:line="2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9251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ind w:left="982" w:hanging="982"/>
        <w:spacing w:after="0"/>
        <w:tabs>
          <w:tab w:leader="none" w:pos="982"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19,290</w:t>
      </w:r>
    </w:p>
    <w:p>
      <w:pPr>
        <w:spacing w:after="0" w:line="243" w:lineRule="exact"/>
        <w:rPr>
          <w:sz w:val="20"/>
          <w:szCs w:val="20"/>
          <w:color w:val="auto"/>
        </w:rPr>
      </w:pPr>
    </w:p>
    <w:p>
      <w:pPr>
        <w:sectPr>
          <w:pgSz w:w="11900" w:h="16838" w:orient="portrait"/>
          <w:cols w:equalWidth="0" w:num="2">
            <w:col w:w="8958" w:space="720"/>
            <w:col w:w="1562"/>
          </w:cols>
          <w:pgMar w:left="320" w:top="121" w:right="339" w:bottom="507" w:gutter="0" w:footer="0" w:header="0"/>
          <w:type w:val="continuous"/>
        </w:sectPr>
      </w:pPr>
    </w:p>
    <w:p>
      <w:pPr>
        <w:spacing w:after="0" w:line="19" w:lineRule="exact"/>
        <w:rPr>
          <w:sz w:val="20"/>
          <w:szCs w:val="20"/>
          <w:color w:val="auto"/>
        </w:rPr>
      </w:pPr>
    </w:p>
    <w:p>
      <w:pPr>
        <w:ind w:right="3998"/>
        <w:spacing w:after="0" w:line="275" w:lineRule="auto"/>
        <w:rPr>
          <w:sz w:val="20"/>
          <w:szCs w:val="20"/>
          <w:color w:val="auto"/>
        </w:rPr>
      </w:pPr>
      <w:r>
        <w:rPr>
          <w:rFonts w:ascii="Times New Roman" w:cs="Times New Roman" w:eastAsia="Times New Roman" w:hAnsi="Times New Roman"/>
          <w:sz w:val="18"/>
          <w:szCs w:val="18"/>
          <w:color w:val="auto"/>
        </w:rPr>
        <w:t>Property and equipment, inventory and assembled workforce acquired IPR&amp;D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-288925</wp:posOffset>
            </wp:positionV>
            <wp:extent cx="7134860" cy="134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0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allocated purchase price</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1,627</w:t>
      </w:r>
    </w:p>
    <w:p>
      <w:pPr>
        <w:spacing w:after="0" w:line="2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17,663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9251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ind w:left="982" w:hanging="982"/>
        <w:spacing w:after="0"/>
        <w:tabs>
          <w:tab w:leader="none" w:pos="982"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19,290</w:t>
      </w:r>
    </w:p>
    <w:p>
      <w:pPr>
        <w:spacing w:after="0" w:line="243" w:lineRule="exact"/>
        <w:rPr>
          <w:sz w:val="20"/>
          <w:szCs w:val="20"/>
          <w:color w:val="auto"/>
        </w:rPr>
      </w:pPr>
    </w:p>
    <w:p>
      <w:pPr>
        <w:sectPr>
          <w:pgSz w:w="11900" w:h="16838" w:orient="portrait"/>
          <w:cols w:equalWidth="0" w:num="2">
            <w:col w:w="8958" w:space="720"/>
            <w:col w:w="1562"/>
          </w:cols>
          <w:pgMar w:left="320" w:top="121" w:right="339" w:bottom="507" w:gutter="0" w:footer="0" w:header="0"/>
          <w:type w:val="continuous"/>
        </w:sectPr>
      </w:pPr>
    </w:p>
    <w:p>
      <w:pPr>
        <w:spacing w:after="0" w:line="231" w:lineRule="exact"/>
        <w:rPr>
          <w:sz w:val="20"/>
          <w:szCs w:val="20"/>
          <w:color w:val="auto"/>
        </w:rPr>
      </w:pPr>
    </w:p>
    <w:p>
      <w:pPr>
        <w:ind w:firstLine="6"/>
        <w:spacing w:after="0" w:line="272" w:lineRule="auto"/>
        <w:tabs>
          <w:tab w:leader="none" w:pos="25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asset acquisition accounting, the transaction costs associated with the acquisition should be included in the costs of the assets acquired and allocated amongst qualifying assets using the relative fair value basis. The transaction costs primarily included financial advisor fees and legal expenses.</w:t>
      </w:r>
    </w:p>
    <w:p>
      <w:pPr>
        <w:ind w:left="260" w:hanging="254"/>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asset acquired, the IPR&amp;D asset, was expensed and the allocated transaction related costs were included with and expensed with this asset.</w:t>
      </w:r>
    </w:p>
    <w:p>
      <w:pPr>
        <w:sectPr>
          <w:pgSz w:w="11900" w:h="16838" w:orient="portrait"/>
          <w:cols w:equalWidth="0" w:num="1">
            <w:col w:w="11240"/>
          </w:cols>
          <w:pgMar w:left="320" w:top="121" w:right="339" w:bottom="507"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348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507" w:gutter="0" w:footer="0" w:header="0"/>
          <w:type w:val="continuous"/>
        </w:sectPr>
      </w:pPr>
    </w:p>
    <w:bookmarkStart w:id="123" w:name="page124"/>
    <w:bookmarkEnd w:id="12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1"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On January 8, 2021, the Company entered into an underwriting agreement (the “Underwriting Agreement”) with Roth Capital Partners, LLC (the “Underwriter” or “Roth”), to issue and sell 6,765,463 shares of common stock of the Company, pre-funded warrants to purchase 926,844 shares of common stock and warrants to purchase 7,692,307 shares of common stock in an underwritten public offering (the “Public Offering”) pursuant to a registration statement on Form S-1 (File No. 333-250945) and a related prospectus, in each case filed with the SEC. The offering price to the public was $6.50 per share of common stock and accompanying warrant, representing a public offering price of $6.4999 per share of common stock and $0.0001 per related warrant. In addition, the Company granted the Underwriter an option to purchase, for a period of 45 days, up to an additional 1,153,846 shares of the Company’s common stock and/or warrants to purchase up to an additional 1,153,846 shares of the Company’s common stock and/or warrants to purchase up to an additional 1,153,846 of the Company’s common stock.</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 January 8, 2021, the Underwriter exercised its over-allotment option, in part, for warrants to purchase 754,035 shares of the Company’s common stock.</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Further on February 1, 2021, the Underwriter again exercised its over-allotment option to purchase 374,035 shares of common stock.</w:t>
      </w:r>
    </w:p>
    <w:p>
      <w:pPr>
        <w:spacing w:after="0" w:line="198"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On January 12, 2021, the Company closed the Public Offering. The aggregate gross proceeds to the Company from the Public Offering, including over-allotment, totaled approximately $52.4 million, before deducting underwriting discounts and commissions and offering expenses payable by the Company.</w:t>
      </w:r>
    </w:p>
    <w:p>
      <w:pPr>
        <w:spacing w:after="0" w:line="163"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On January 25, 2022, the Company filed an amendment to the registration statement on Form S-1 (File No. 333-250945) on Form S-3 covering the issuance of the shares of our common stock issuable upon the exercise of the warrants issued in the Public Offering and remaining unexercised as of the date of the amendment, which was declared effective on February 1, 2022.</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Listing on the Nasdaq Stock Market</w:t>
      </w:r>
    </w:p>
    <w:p>
      <w:pPr>
        <w:spacing w:after="0" w:line="221"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On January 7, 2021, the Company’s common stock was approved for listing on the Nasdaq Capital Market. The Company’s common stock began trading on the Nasdaq Capital Market on January 8, 2021, under the ticker symbol “KMPH”.</w:t>
      </w:r>
    </w:p>
    <w:p>
      <w:pPr>
        <w:spacing w:after="0" w:line="163" w:lineRule="exact"/>
        <w:rPr>
          <w:sz w:val="20"/>
          <w:szCs w:val="20"/>
          <w:color w:val="auto"/>
        </w:rPr>
      </w:pPr>
    </w:p>
    <w:p>
      <w:pPr>
        <w:jc w:val="both"/>
        <w:ind w:left="20" w:right="20"/>
        <w:spacing w:after="0" w:line="259" w:lineRule="auto"/>
        <w:rPr>
          <w:sz w:val="20"/>
          <w:szCs w:val="20"/>
          <w:color w:val="auto"/>
        </w:rPr>
      </w:pPr>
      <w:r>
        <w:rPr>
          <w:rFonts w:ascii="Times New Roman" w:cs="Times New Roman" w:eastAsia="Times New Roman" w:hAnsi="Times New Roman"/>
          <w:sz w:val="18"/>
          <w:szCs w:val="18"/>
          <w:color w:val="auto"/>
        </w:rPr>
        <w:t>On October 19, 2021, the Company announced that its shares of common stock were approved for listing to the Nasdaq Global Select Market. Trading on the Nasdaq Global Select Market commenced effective with the open of business on October 19, 2021, under the Company’s ticker symbol, “KMPH”. The Company was previously listed on the Nasdaq Capital Market, following its uplisting to the exchange in January 2021.</w:t>
      </w:r>
    </w:p>
    <w:p>
      <w:pPr>
        <w:spacing w:after="0" w:line="178"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On March 1, 2023, following its name change, the Company's common stock began trading on the Nasdaq Global Select Market under the ticker symbol "ZVRA".</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Entry into 2021 ATM Agreement</w:t>
      </w:r>
    </w:p>
    <w:p>
      <w:pPr>
        <w:spacing w:after="0" w:line="221" w:lineRule="exact"/>
        <w:rPr>
          <w:sz w:val="20"/>
          <w:szCs w:val="20"/>
          <w:color w:val="auto"/>
        </w:rPr>
      </w:pPr>
    </w:p>
    <w:p>
      <w:pPr>
        <w:jc w:val="both"/>
        <w:ind w:left="20"/>
        <w:spacing w:after="0" w:line="248" w:lineRule="auto"/>
        <w:rPr>
          <w:sz w:val="20"/>
          <w:szCs w:val="20"/>
          <w:color w:val="auto"/>
        </w:rPr>
      </w:pPr>
      <w:r>
        <w:rPr>
          <w:rFonts w:ascii="Times New Roman" w:cs="Times New Roman" w:eastAsia="Times New Roman" w:hAnsi="Times New Roman"/>
          <w:sz w:val="18"/>
          <w:szCs w:val="18"/>
          <w:color w:val="auto"/>
        </w:rPr>
        <w:t>On July 2, 2021, the Company entered into an equity distribution agreement (the “2021 ATM Agreement”) with JMP Securities LLC (“JMP”) and RBC Capital Markets, LLC (“RBCCM”) under which the Company may offer and sell, from time to time at its sole discretion, shares of its common stock having an aggregate offering price of up to $75.0 million through JMP and RBCCM as its sales agents. The issuance and sale, if any, of common stock by the Company under the 2021 ATM Agreement will be made pursuant to a registration statement on Form S-3. JMP and RBCCM may sell the common stock by any method permitted by law deemed to be an “at the market offering” as defined in Rule 415 of the Securities Act of 1933, as amended. JMP and RBCCM will use commercially reasonable efforts to sell the common stock from time to time, based upon instructions from the Company (including any price, time or size limits or other customary parameters or conditions the Company may impose). The Company will pay JMP and RBCCM a commission equal to 3.0% in the aggregate of the gross sales proceeds of any common stock sold through JMP and RBCCM under the 2021 ATM Agreement. The Company filed a registration statement on Form S-3 covering the sale of the shares of its common stock up to $350.0 million, $75.0 million of which was allocated to the sales of the shares of common stock issuable under the 2021 ATM Agreement, which was declared effective on July 12, 2021. As of December 31, 2022 and 2021, no shares have been issued or sold under the 2021 ATM Agreement.</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1"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On December 20, 2021, the Company initiated a share repurchase program (the “Share Repurchase Program”) pursuant to which the Company may repurchase up to $50 million of shares of its common stock through December 31, 2023. Capital allocation to the Share Repurchase Program will be based on a variety of factors, including our business results, the receipt of royalties and sales milestones under the AZSTARYS License Agreement (refer to Note B), and potentially other sources of non-dilutive capital that may become available to the Company. Repurchases will be made in compliance with Rule 10b-18 of the Securities Exchange Act of 1934, as amended, subject to a variety of factors, including the market price of the Company’s common stock, general market and economic conditions and applicable legal requirements. The exact number of shares to be repurchased by the Company is not guaranteed and the program may be suspended, modified, or discontinued at any time without prior notice. As of December 31, 2022, the Company has repurchased 909,953 shares of its common stock for approximately $7.5 million under the Share Repurchase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1" w:lineRule="exact"/>
        <w:rPr>
          <w:sz w:val="20"/>
          <w:szCs w:val="20"/>
          <w:color w:val="auto"/>
        </w:rPr>
      </w:pPr>
    </w:p>
    <w:p>
      <w:pPr>
        <w:jc w:val="both"/>
        <w:ind w:left="20" w:right="20"/>
        <w:spacing w:after="0" w:line="274" w:lineRule="auto"/>
        <w:rPr>
          <w:sz w:val="20"/>
          <w:szCs w:val="20"/>
          <w:color w:val="auto"/>
        </w:rPr>
      </w:pPr>
      <w:r>
        <w:rPr>
          <w:rFonts w:ascii="Times New Roman" w:cs="Times New Roman" w:eastAsia="Times New Roman" w:hAnsi="Times New Roman"/>
          <w:sz w:val="18"/>
          <w:szCs w:val="18"/>
          <w:color w:val="auto"/>
        </w:rPr>
        <w:t>Certain reclassifications were made to the 2021 consolidated financial statements to conform to the classifications used in 2022. These reclassifications had no impact on the consolidated net loss, changes in stockholder's equity, or cash flows previously reported.</w:t>
      </w:r>
    </w:p>
    <w:p>
      <w:pPr>
        <w:sectPr>
          <w:pgSz w:w="11900" w:h="16838" w:orient="portrait"/>
          <w:cols w:equalWidth="0" w:num="1">
            <w:col w:w="11260"/>
          </w:cols>
          <w:pgMar w:left="300" w:top="121"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89535</wp:posOffset>
            </wp:positionV>
            <wp:extent cx="713486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124" w:name="page125"/>
    <w:bookmarkEnd w:id="12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700" w:hanging="674"/>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1" w:lineRule="exact"/>
        <w:rPr>
          <w:sz w:val="20"/>
          <w:szCs w:val="20"/>
          <w:color w:val="auto"/>
        </w:rPr>
      </w:pPr>
    </w:p>
    <w:p>
      <w:pPr>
        <w:jc w:val="both"/>
        <w:ind w:left="20" w:right="20"/>
        <w:spacing w:after="0" w:line="274"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U.S. GAAP requires the Company to make estimates and assumptions that affect the amounts reported in the consolidated financial statements and accompanying notes. Actual results could differ from those estimates.</w:t>
      </w:r>
    </w:p>
    <w:p>
      <w:pPr>
        <w:spacing w:after="0" w:line="163"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long-term investments, the fair value of the derivative and warrant liability and discount and rebate liabilities,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on deposit and investments with multiple financial institutions, the balances of which frequently exceed insured limits, and accounts receivable, which are concentrated amongst a limited number of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any highly liquid investments with an original maturity of three months or less to be cash equivalents.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1"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7"/>
          <w:szCs w:val="17"/>
          <w:color w:val="auto"/>
        </w:rPr>
        <w:t xml:space="preserve">The Company maintains investment securities that are classified as available-for-sale securities for which the Company has elected the fair value option under ASC 825,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As such, these securities are carried at fair value with unrealized gains and losses included in fair value adjustment related to investments on the consolidated statements of operations. The securities primarily consist of U.S. Treasury securities and U.S. government-sponsored agency securities and are included in Securities at fair value in the consolidated balance sheets. As of December 31, 2022, and 2021, the Company held securities with an aggregate fair value of $16.9 million and $14.9 million, respectively, that contained aggregate unrealized losses of approximately $577,000 and $13,000, respectively. Applying fair value accounting to these debt securities more accurately represents the Company's investment strategy due to the fact that excess cash is currently being invested for the purpose of funding future operation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 xml:space="preserve"> In addition, the Company holds certificates of deposit totaling $20.5 million and $0.5 million as of December 31, 2022, and 2021, respectively, and are included in long-term investments - other in the consolidated balance sheets. Interest income is recognized as earned using an effective yield method giving effect to the amortization of premium and accretion of discount and is based on the economic life of the securities Interest income is included in Interest and other income, net in the consolidated statements of operations.</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1"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The Company records property and equipment at cost less accumulated depreciation and amortization.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ten years. Leasehold improvements are amortized over the shorter of the useful life of the asset or the term of the related lease. Upon retirement or disposition of assets, the costs and related accumulated depreciation and amortization are removed from the accounts with the resulting gains or losses, if any, reflected in the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Debt issuance costs incurred in connection with financing arrangements are recorded as a reduction of the related debt on the balance sheet and amortized over the life of the respective financing arrangement using the effective interest method. In the first quarter of 2021, all outstanding debt was extinguished through a series of debt payments and a conversion of debt principal and interest to Series B-2 Preferred Stock (Note G). As a result of the debt extinguishment, the associated discount and debt issuance costs were written off and recorded as a loss on extinguishment.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5" w:name="page126"/>
    <w:bookmarkEnd w:id="12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Long-lived assets to be held and used are reviewed for impairment whenever events or changes in circumstances indicate that the carrying amounts of the assets may not be recoverable. When such events occur, the Company compares the carrying amounts of the assets to their undiscounted expected future cash flows. If the undiscounted cash flows are insufficient to recover the carrying values, an impairment loss is recorded for the difference between the carrying values and fair values of the asset. No such impairment occurred for the years ended December 31, 2022 , or 2021 .</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1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as a result, follows the five-step model when recognizing revenue: 1) identifying a contract; 2) identifying the performance obligations; 3) determining the transaction price; 4) allocating the price to the performance obligations; and 5) recognizing revenue when the performance obligations have been fulfilled.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Arimoclomol Early Access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-8255</wp:posOffset>
            </wp:positionV>
            <wp:extent cx="279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99" w:lineRule="exact"/>
        <w:rPr>
          <w:sz w:val="20"/>
          <w:szCs w:val="20"/>
          <w:color w:val="auto"/>
        </w:rPr>
      </w:pPr>
    </w:p>
    <w:p>
      <w:pPr>
        <w:jc w:val="both"/>
        <w:ind w:left="20"/>
        <w:spacing w:after="0" w:line="246" w:lineRule="auto"/>
        <w:rPr>
          <w:sz w:val="20"/>
          <w:szCs w:val="20"/>
          <w:color w:val="auto"/>
        </w:rPr>
      </w:pPr>
      <w:r>
        <w:rPr>
          <w:rFonts w:ascii="Times New Roman" w:cs="Times New Roman" w:eastAsia="Times New Roman" w:hAnsi="Times New Roman"/>
          <w:sz w:val="18"/>
          <w:szCs w:val="18"/>
          <w:color w:val="auto"/>
        </w:rPr>
        <w:t>Net revenue includes revenue from the sale of arimoclomol for the treatment of NPC under the remunerated early access compassionate use program in France (“French nATU”). An early access compassionate use program is a program giving specific patients access to a drug, which is not yet approved for commercial sale. Only drugs targeting serious or rare indications and for which there is currently no appropriate treatment are considered for early access compassionate use programs. Further, to be considered for the early access compassionate use program, the drug must have proven efficacy and safety and must either be undergoing price negotiations or seeking marketing approval. In accordance with ASC 606, the Company recognizes revenue when fulfilling its performance obligation under the Arimoclomol Early Access Program ("Arimoclomol EAP")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Revenue is recognized net of sales deductions, including discounts, rebates, applicable distributor fees, and revenue-based taxes. Under the French nATU, the manufacturer can set its own price for the drug products until a price agreement with the authorities is in place. Any excess in the price charged by the manufacturer compared to the price agreed with the health authorities once the drug product is approved in France must be repaid. The repayment is considered in the clawback liability (rebate). An estimate of net revenue and clawback liability are recognized using the ‘expected value’ method. Accounting for net revenue and clawback liability requires determination of the most appropriate method for the expected final transaction price, which depends on the terms and conditions in the contracts with the French Health Authorities and is subject to price negotiations with the French Health Authorities, following marketing approval. This estimate also requires assumptions with respect to inputs into the method, including current pricing of comparable marketed products within the rare disease area in France. Management has considered the expected final sales price as well as the price of similar drug products. The Company is operating within a rare disease therapeutic area where there is unmet treatment need and hence a limited number of comparable commercialized drugs products. The limited available relevant market information for directly comparable commercialized drugs within rare disease increases the uncertainty in management's estimate. For the year ended December 31, 2022, the Company recognized revenue related to the Arimoclomol EAP in France of $4.8 million, which is net of a clawback liability of $3.8 million. As part of the Arimoclomol Purchase Agreement the Company assumed an estimated reserve liability of $5.2 million related to revenue generated from the Arimoclomol EAP in France. The total estimate reserve liability as of December 31, 2022, including the additional clawback liability for the year ended December 31, 2022, was $9.0 million. As of December 31, 2022, this estimated reserve liability is recorded as discount and rebate liabilities in the consolidated balance sheet and is separated into current and long-term based upon the timing of the expected payment to the French regulators.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6" w:name="page127"/>
    <w:bookmarkEnd w:id="12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Licensing Agreements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licensing agreements with licensees that fall under the scope of ASC 606.</w:t>
      </w:r>
    </w:p>
    <w:p>
      <w:pPr>
        <w:spacing w:after="0" w:line="21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78"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88"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i w:val="1"/>
          <w:iCs w:val="1"/>
          <w:color w:val="auto"/>
        </w:rPr>
        <w:t>Up-front Fees</w:t>
      </w:r>
      <w:r>
        <w:rPr>
          <w:rFonts w:ascii="Times New Roman" w:cs="Times New Roman" w:eastAsia="Times New Roman" w:hAnsi="Times New Roman"/>
          <w:sz w:val="18"/>
          <w:szCs w:val="18"/>
          <w:color w:val="auto"/>
        </w:rPr>
        <w:t>: If a license to the Company’s intellectual property is determined to be distinct from the other performance obligations identified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77"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milestone payments (variable consideration),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AZSTARYS License Agreement</w:t>
      </w:r>
    </w:p>
    <w:p>
      <w:pPr>
        <w:spacing w:after="0" w:line="221"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7"/>
          <w:szCs w:val="17"/>
          <w:color w:val="auto"/>
        </w:rPr>
        <w:t>In September 2019, the Company entered into a Collaboration and License Agreement (the "AZSTARYS License Agreement") with Commave Therapeutics SA (“Commave”), an affiliate of GPC. Under the AZSTARYS License Agreement, the Company granted to Commave an exclusive, worldwide license to develop, manufacture and commercialize the Company’s product candidates containing SDX and d-methylphenidate (“d-MPH”), including AZSTARYS, or any other product candidate developed by the Company containing SDX and developed to treat ADHD or any other CNS disorder. Corium was tasked by Commave, to lead all commercialization activities for AZSTARYS under the AZSTARYS License Agreement. Pursuant to the AZSTARYS License Agreement, Corium agreed to pay milestone payments upon the occurrence of specified regulatory milestones related to AZSTARYS, additional fixed payments upon the achievement of specified U.S. sales milestones, and quarterly, tiered royalty payments based on a range of percentages of net sales. Commave is obligated to make such royalty payments on a product-by-product basis until expiration of the royalty term for the applicable product.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April 2021, the Company entered into Amendment No. 1 to the AZSTARYS License Agreement (the "AZSTARYS Amendment"). Pursuant to the AZSTARYS Amendment, the Company and Commave agreed to modify the compensation terms of the AZSTARYS License Agreement. Pursuant to the AZSTARYS Amendment, Commave paid the Company $10.0 million in connection with the entry into the AZSTARYS Amendment as a result of the regulatory approval of AZSTARYS in the United States, which occurred on March 2, 2021. Commave also paid the Company $10.0 million following the receipt of the scheduling determination of the compound SDX by the U.S. Drug Enforcement Agency ("DEA"), which occurred on May 7, 2021. In addition, the AZSTARYS Amendment increased the total remaining future regulatory and sales milestone payments related to AZSTARYS up to an aggregate of $590.0 million in payments upon the occurrence of specified regulatory milestones related to AZSTARYS and upon the achievement of specified U.S. net sales milestones.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Commave also agreed to be responsible for and reimburse the Company for all of the development, commercialization and regulatory expenses incurred on the licensed products, subject to certain limitations as set forth in the AZSTARYS License Agreement. As part of this agreement, the Company is obligated to perform consulting services on behalf of Commave related to the licensed products. For these consulting services, Commave has agreed to pay the Company a set rate per hour on any consulting services performed on behalf of Commave for the benefit of the licensed products.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accordance with the terms of the Company’s March 20, 2012 Termination Agreement with Aquestive Therapeutics, Aquestive Therapeutics has the right to receive an amount equal to 10% of any royalty or milestone payments made to the Company related to AZSTARYS, KP879 or KP1077 under the AZSTARYS License Agreement.</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AZSTARYS License Agreement is within the scope of ASC 606, as the transaction represents a contract with a customer where the participants function in a customer / vendor relationship and are not exposed equally to the risks and rewards of the activities contemplated under the AZSTARYS License Agreement. Using the concepts of ASC 606, the Company identified the grant of the exclusive, worldwide license and the performance of consulting services, which includes the reimbursement of out-of-pocket third-party research and development costs, as its only two performance obligations at inception. The Company further determined that the transaction price, at inception, under the agreement was $10.0 million upfront payment plus the fair value of the Development Costs (as defined in the AZSTARYS License Agreement) which was allocated among the performance obligations based on their respective related stand-alone selling price.</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consideration allocated to the grant of the exclusive, worldwide license was $10.0 million, which reflects the standalone selling price. The Company utilized the adjusted market assessment approach to determine this standalone selling price which included analyzing prospective offers received from various entities throughout our licensing negotiation process as well as the consideration paid to other competitors in the market for a similar type of transaction. The Company determined that the intellectual property licensed under the AZSTARYS License Agreement represented functional intellectual property and it has significant standalone functionality and therefore should be recognized at a point in time as opposed to over time. The revenue related to the grant of the exclusive, worldwide license was recognized at a point in time at the inception of the AZSTARYS License Agreement.</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is entitled to additional payments from Commave conditioned upon the achievement of specified regulatory milestones related to AZSTARYS and the achievement of certain U.S. sales milestones. Further, Commave will pay the Company quarterly, tiered royalty payments based on a range of percentages of Net Sales (as defined in the AZSTARYS License Agreement). 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 For the years ended December 31, 2022, and 2021, the Company recognized revenue under the AZSTARYS License Agreement of $0.9 million and $20.9 million, respectively. There was no deferred revenue related to this agreement as of December 31, 2022, and 2021.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Arrangements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consulting arrangements with third parties that fall under the scope of ASC 606. These arrangements may require the Company to deliver various rights, services, including research and development services, regulatory services and/or commercialization support services. The underlying terms of these arrangements generally provide for consideration to the Company in the form of consulting fees and reimbursements of out-of-pocket third-party research and development, regulatory and commercial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Corium Consulting Agreement</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2020, the Company entered into a consultation services arrangement (the “Corium Consulting Agreement”) with Corium, Inc. (“Corium”) under which Corium engaged the Company to guide the product development and regulatory activities for certain current and potential future products in Corium’s portfolio, as well as continue supporting preparation for the potential commercial launch of AZSTARYS (together, “Corium Consulting Services”). Corium is a portfolio company of GPC and was tasked by Commave to lead all commercialization activities for AZSTARYS under the AZSTARYS License Agreement, as discussed above.</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Under the Corium Consulting Agreement, the Company is entitled to receive payments from Corium of up to $15.6 million, $13.6 million of which was paid in quarterly installments through March 31, 2022. The remaining $2.0 million was conditioned upon the approval by the FDA of the NDA for Corium's product candidate, ADLARITY. This $2.0 million was earned in the first quarter of 2022. Corium also agreed to be responsible for and reimburse the Company for all development, commercialization and regulatory expenses incurred as part of the performance of the Corium Consulting Services. The Corium Consulting Agreement is within the scope of ASC 606, as the transaction represents a contract with a customer where the participants function in a customer / vendor relationship and are not exposed equally to the risks and rewards of the activities contemplated under the Corium Consulting Agreement. The Company identified the performance of consulting services, which includes the reimbursement to the Company of third-party pass-through costs, as its only performance obligation at inception. The Company further determined that the transaction price, at inception, under the agreement was $13.6 million which is the fair value of the consulting services, including the reimbursement of third-party pass-through costs. The Company concluded that the regulatory milestone contains a significant uncertainty associated with a future event. As such, this milestone is constrained at contract inception and is not included in the transaction price as the Company could not conclude that it is probable a significant reversal in the amount of cumulative revenue recognized will not occur surrounding these milestone payments.</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determined that the performance of consulting services, including reimbursement of third-party pass-through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third-party pass-through costs are incurred and paid by the Company, in accordance with the practical expedient allowed under ASC 606 regarding an entity’s right to consideration from a customer in an amount that corresponds directly to the value to the customer of the entity’s performance completed to date. As of December 31, 2022, the Company has recognized approximately all of the consulting services and third-party pass-through costs under the Corium Consulting Agreement.</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years ended December 31, 2022, and 2021, the Company recognized revenue under the Corium Consulting Agreement of $4.7 million and $7.7 million, respectively. As of December 31, 2022, the Company had no deferred revenue related to this agreement. As of December 31, 2021, the Company had deferred revenue related to this agreement of $0.4 million.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Consulting Arrangements</w:t>
      </w:r>
    </w:p>
    <w:p>
      <w:pPr>
        <w:spacing w:after="0" w:line="221"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2022, and 2021, the Company recognized revenue under other consulting arrangements of $0.1 million and $0.1 million, respectively. There was no deferred revenue from other consulting arrangements as of December 31, 2022, or 2021.</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Accounts and Other Receivables</w:t>
      </w:r>
    </w:p>
    <w:p>
      <w:pPr>
        <w:spacing w:after="0" w:line="219"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Accounts and other receivables consist of receivables under the AZSTARYS License Agreement and Arimoclomol EAP, as well as receivables related to consulting arrangements, income tax receivables and other receivables due to the Company. Receivables under the AZSTARYS License Agreement are recorded for amounts due to the Company related to reimbursable third-party costs and royalties on product sales. Receivables under the Arimoclomol EAP are recorded for product sales under the French nATU. These receivables, as well as the receivables related to consulting arrangements, are evaluated to determine if any reserve or allowance should be established at each reporting date.</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As discussed in Note A, a portion of the purchase price was allocated to inventory acquired representing the value of inventory associated with forecasted EAP revenues and as of December 31, 2022, the Company had inventory of $0.7 million remaining. Inventories are stated at net realizable value using the first-in, first-out method of valuation.</w:t>
      </w:r>
    </w:p>
    <w:p>
      <w:pPr>
        <w:spacing w:after="0" w:line="178"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The Company may scale-up and make commercial quantities of its product candidates prior to the date it anticipates that such product will receive final regulatory approval. The scale-up and commercial production of pre-launch inventory involves the risk that such products may not be approved for marketing on a timely basis, or ever. This risk notwithstanding, the Company may scale-up and build pre-launch inventory of product that have not received final regulatory approval when the Company believes such action is appropriate in relation to the commercial value of the product launch opportunity. Inventory manufactured prior to regulatory approval is recorded as research and development expense until regulatory approval for the product is obtained. As of December 31, 2022, and 2021, the Company did not have pre-launch inventory that qualified for capitalization.</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Major components of research and development costs include cash compensation, stock-based compensation, depreciation and amortization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Costs incurred in research and development are expensed as incurred.</w:t>
      </w:r>
    </w:p>
    <w:p>
      <w:pPr>
        <w:spacing w:after="0" w:line="180"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statements of operations as the Company receives the related goods or services.</w:t>
      </w:r>
    </w:p>
    <w:p>
      <w:pPr>
        <w:spacing w:after="0" w:line="163"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The Company enters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The Company records liabilities under these contractual commitments when an obligation has been incurred. This accrual process involves reviewing open contracts and purchase orders, communicating with the applicable personnel to identify services that have been performed and estimating the level of service performed and the associated cost when the Company has not yet been invoiced or otherwise notified of actual cost. The majority of the service providers invoice the Company monthly in arrears for services performed. The Company makes estimates of the accrued expenses as of each balance sheet date based on the facts and circumstances known. The Company periodically confirms the accuracy of the estimates with the service providers and make adjustments, if necessary.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Patent costs, including related legal costs, are expensed as incurred and recorded within general and administrative expenses on the statements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Valuation allowances are recorded to reduce deferred tax assets to the amount the Company believes is more likely than not to be realized.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unrecognized income tax uncertainties in income tax expense. The Company did not have any accrued interest or penalties associated with uncertain tax positions as of December 31, 2022 and 2021.</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for federal and various state jurisdictions. With few exceptions, the Company is no longer subject to U.S. federal and state and local income tax examinations for years prior to 2015, although carryforward attributes that were generated prior to 2017 may still be adjusted upon examination by the Internal Revenue Service if used in a future period. No income tax returns are currently under examination by taxing authorities.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22, 2017, the U.S. government enacted H.R. 1, “An Act to provide for reconciliation pursuant to titles II and V of the concurrent resolution on the budget for fiscal year 2018” ("Tax Act"). Effective January 1, 2018, the Tax Act provides for a new global intangible low-taxed income ("GILTI") provision. Under the GILTI provision, certain foreign subsidiary earnings in excess of an allowable return on the foreign subsidiary’s tangible assets are included in U.S. taxable income. The Company has not recorded any deferred taxes for future GILTI inclusions as any future inclusions are expected to be treated as a period expense and offset by net operating loss carryforwards in the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payment awards made to employees, officers and directors based on the estimated fair values of the awards as of the grant date. The Company records the value of the portion of the award that is ultimately expected to vest as expense over the requisite service period. The Company also accounts for equity instruments issued to non-employees using a fair value approach under Accounting Standards Codification ("ASC") subtopic 505-50. The Company values equity instruments and stock options granted using the Black-Scholes option pricing model.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Share of Common Stock</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uses the two-class method to compute net loss per common share because the Company has issued securities, other than common stock, that contractually entitle the holders to participate in dividends and earnings of the Company. The two-class method requires earnings for the period to be allocated between common stock and participating securities based upon their respective rights to receive distributed and undistributed earnings. Holders of each series of the Company’s convertible preferred stock and select warrants are entitled to participate in distributions, when and if declared by the board of directors, that are made to common stockholders and, as a result, are considered participating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(business activity from which it earns revenue and incurs expenses) for which discrete financial information is available and regularly reviewed by the chief operating decision maker ("CODM") in deciding how to allocate resources and in assessing performance. The Company’s CODM is its Chief Executive Officer. The Company views its operations and manages its business as a single operating and reporting segment. The Company holds assets in both the United States and Europe as of December 31, 2022 and 2021.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Assets and liabilities are translated into the reporting currency using the exchange rates in effect on the consolidated balance sheet dates. Equity accounts are translated at historical rates, except for the change in retained earnings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income/loss in the accompanying consolidated statements of stockholders’ 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of New or Revised Accounting Standards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Adopted</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(the “FASB”) or other standard-setting bodies issue accounting standards that are adopted by the Company as of the specified effective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August 2020, the FASB issued Accounting Standards Update (“ASU”) No. 2020-06,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with Conversion and Other Options (Subtopic 470-</w:t>
      </w:r>
    </w:p>
    <w:p>
      <w:pPr>
        <w:spacing w:after="0" w:line="26" w:lineRule="exact"/>
        <w:rPr>
          <w:sz w:val="20"/>
          <w:szCs w:val="20"/>
          <w:color w:val="auto"/>
        </w:rPr>
      </w:pPr>
    </w:p>
    <w:p>
      <w:pPr>
        <w:jc w:val="both"/>
        <w:ind w:firstLine="6"/>
        <w:spacing w:after="0" w:line="246" w:lineRule="auto"/>
        <w:tabs>
          <w:tab w:leader="none" w:pos="279"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and Derivatives and Hedging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 (Subtopic 815-40); Accounting for Convertible Instruments and Contracts in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Own Equity </w:t>
      </w:r>
      <w:r>
        <w:rPr>
          <w:rFonts w:ascii="Times New Roman" w:cs="Times New Roman" w:eastAsia="Times New Roman" w:hAnsi="Times New Roman"/>
          <w:sz w:val="18"/>
          <w:szCs w:val="18"/>
          <w:color w:val="auto"/>
        </w:rPr>
        <w:t>(“ASU 2020-06”), which addresses issues identified as a result of the complexities associated with applying U.S. GAAP for certain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with characteristics of liabilities and equity. This update addresses, among other things, the number of accounting models for convertible debt instruments and convertible preferred stock, targeted improvements to the disclosures for convertible instruments and earnings-per-share (“EPS”) guidance and amendments to the guidance for the derivatives scope exception for contracts in an entity’s own equity, as well as the related EPS guidance. This update applies to all entities that issue convertible instruments and/or contracts in an entity’s own equity. This guidance is effective for financial statements issued for fiscal years beginning after December 15, 2021, and interim periods within those fiscal years. FASB specified that an entity should adopt the guidance as of the beginning of its annual fiscal year. The adoption of ASU 2020-06 did not have a material impact on the Company’s consolidated financial statements and disclosures.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May 2021, the FASB issued ASU No. 2021-04, </w:t>
      </w:r>
      <w:r>
        <w:rPr>
          <w:rFonts w:ascii="Times New Roman" w:cs="Times New Roman" w:eastAsia="Times New Roman" w:hAnsi="Times New Roman"/>
          <w:sz w:val="18"/>
          <w:szCs w:val="18"/>
          <w:i w:val="1"/>
          <w:iCs w:val="1"/>
          <w:color w:val="auto"/>
        </w:rPr>
        <w:t>Earnings Per Share (Topic 260), 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Modifications and Extinguishments (Subtopic 470-50),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Compensation (Topic 718), and Derivatives and Hedging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 (Subtopic 815-40); Issuer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Accounting for Certain Modifications or Exchanges of Freestanding Equity-Classified Written Call Options, a consensus of the FASB Emerging Issues Task Force </w:t>
      </w:r>
      <w:r>
        <w:rPr>
          <w:rFonts w:ascii="Times New Roman" w:cs="Times New Roman" w:eastAsia="Times New Roman" w:hAnsi="Times New Roman"/>
          <w:sz w:val="18"/>
          <w:szCs w:val="18"/>
          <w:color w:val="auto"/>
        </w:rPr>
        <w:t>(“ASU 2021-04”), which aims to clarify and reduce diversity in issuer's accounting for modifications or exchanges of freestanding equity-classified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call options that remain equity classified after modification or exchange. This update applies to all entities that issue freestanding written call options that are classified in equity. This guidance is effective for financial statements issued for fiscal years beginning after December 15, 2021, and interim periods within those fiscal years. FASB specified that an entity should adopt the guidance as of the beginning of its annual fiscal year. The adoption of ASU 2021-04 did not have a material impact on the Company’s consolidated financial statements and disclosures.</w:t>
      </w:r>
    </w:p>
    <w:p>
      <w:pPr>
        <w:sectPr>
          <w:pgSz w:w="11900" w:h="16838" w:orient="portrait"/>
          <w:cols w:equalWidth="0" w:num="1">
            <w:col w:w="11240"/>
          </w:cols>
          <w:pgMar w:left="320" w:top="121" w:right="339" w:bottom="1440" w:gutter="0" w:footer="0" w:header="0"/>
        </w:sectPr>
      </w:pPr>
    </w:p>
    <w:p>
      <w:pPr>
        <w:spacing w:after="0" w:line="210" w:lineRule="exact"/>
        <w:rPr>
          <w:sz w:val="20"/>
          <w:szCs w:val="20"/>
          <w:color w:val="auto"/>
        </w:rPr>
      </w:pPr>
    </w:p>
    <w:p>
      <w:pPr>
        <w:ind w:left="680" w:hanging="674"/>
        <w:spacing w:after="0"/>
        <w:tabs>
          <w:tab w:leader="none" w:pos="6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and Other Receivables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and other receivables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-119380</wp:posOffset>
            </wp:positionV>
            <wp:extent cx="5704205" cy="134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04205" cy="134620"/>
                    </a:xfrm>
                    <a:prstGeom prst="rect">
                      <a:avLst/>
                    </a:prstGeom>
                    <a:noFill/>
                  </pic:spPr>
                </pic:pic>
              </a:graphicData>
            </a:graphic>
          </wp:anchor>
        </w:drawing>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10795</wp:posOffset>
            </wp:positionV>
            <wp:extent cx="5704205" cy="1600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04205" cy="160020"/>
                    </a:xfrm>
                    <a:prstGeom prst="rect">
                      <a:avLst/>
                    </a:prstGeom>
                    <a:noFill/>
                  </pic:spPr>
                </pic:pic>
              </a:graphicData>
            </a:graphic>
          </wp:anchor>
        </w:drawing>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Total accounts and other receivables</w:t>
      </w:r>
    </w:p>
    <w:p>
      <w:pPr>
        <w:spacing w:after="0" w:line="200" w:lineRule="exact"/>
        <w:rPr>
          <w:sz w:val="20"/>
          <w:szCs w:val="20"/>
          <w:color w:val="auto"/>
        </w:rPr>
      </w:pPr>
    </w:p>
    <w:p>
      <w:pPr>
        <w:spacing w:after="0" w:line="254" w:lineRule="exact"/>
        <w:rPr>
          <w:sz w:val="20"/>
          <w:szCs w:val="20"/>
          <w:color w:val="auto"/>
        </w:rPr>
      </w:pPr>
    </w:p>
    <w:p>
      <w:pPr>
        <w:ind w:left="680" w:hanging="674"/>
        <w:spacing w:after="0"/>
        <w:tabs>
          <w:tab w:leader="none" w:pos="6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240" w:type="dxa"/>
            <w:vAlign w:val="bottom"/>
          </w:tcPr>
          <w:p>
            <w:pPr>
              <w:jc w:val="right"/>
              <w:ind w:right="77"/>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7,185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jc w:val="right"/>
              <w:ind w:right="97"/>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1,421</w:t>
            </w:r>
          </w:p>
        </w:tc>
        <w:tc>
          <w:tcPr>
            <w:tcW w:w="8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8,299</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1,528</w:t>
            </w:r>
          </w:p>
        </w:tc>
        <w:tc>
          <w:tcPr>
            <w:tcW w:w="8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16325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32585" cy="8255"/>
                    </a:xfrm>
                    <a:prstGeom prst="rect">
                      <a:avLst/>
                    </a:prstGeom>
                    <a:noFill/>
                  </pic:spPr>
                </pic:pic>
              </a:graphicData>
            </a:graphic>
          </wp:anchor>
        </w:drawing>
      </w:r>
    </w:p>
    <w:p>
      <w:pPr>
        <w:spacing w:after="0" w:line="6" w:lineRule="exact"/>
        <w:rPr>
          <w:sz w:val="20"/>
          <w:szCs w:val="20"/>
          <w:color w:val="auto"/>
        </w:rPr>
      </w:pPr>
    </w:p>
    <w:p>
      <w:pPr>
        <w:ind w:left="44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37" w:lineRule="exact"/>
        <w:rPr>
          <w:sz w:val="20"/>
          <w:szCs w:val="20"/>
          <w:color w:val="auto"/>
        </w:rPr>
      </w:pPr>
    </w:p>
    <w:p>
      <w:pPr>
        <w:sectPr>
          <w:pgSz w:w="11900" w:h="16838" w:orient="portrait"/>
          <w:cols w:equalWidth="0" w:num="2">
            <w:col w:w="6820" w:space="720"/>
            <w:col w:w="37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40" w:type="dxa"/>
            <w:vAlign w:val="bottom"/>
          </w:tcPr>
          <w:p>
            <w:pPr>
              <w:spacing w:after="0"/>
              <w:rPr>
                <w:sz w:val="16"/>
                <w:szCs w:val="16"/>
                <w:color w:val="auto"/>
              </w:rPr>
            </w:pPr>
          </w:p>
        </w:tc>
        <w:tc>
          <w:tcPr>
            <w:tcW w:w="38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Prepaid insurance</w:t>
            </w:r>
          </w:p>
        </w:tc>
        <w:tc>
          <w:tcPr>
            <w:tcW w:w="25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52"/>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577</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340"/>
              <w:spacing w:after="0" w:line="185"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637</w:t>
            </w: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offering costs</w:t>
            </w: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25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80" w:type="dxa"/>
            <w:vAlign w:val="bottom"/>
            <w:gridSpan w:val="2"/>
          </w:tcPr>
          <w:p>
            <w:pPr>
              <w:ind w:left="1120"/>
              <w:spacing w:after="0" w:line="205" w:lineRule="exact"/>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000" w:type="dxa"/>
            <w:vAlign w:val="bottom"/>
            <w:gridSpan w:val="2"/>
          </w:tcPr>
          <w:p>
            <w:pPr>
              <w:jc w:val="right"/>
              <w:ind w:right="2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1,877</w:t>
            </w:r>
          </w:p>
        </w:tc>
        <w:tc>
          <w:tcPr>
            <w:tcW w:w="80" w:type="dxa"/>
            <w:vAlign w:val="bottom"/>
          </w:tcPr>
          <w:p>
            <w:pPr>
              <w:spacing w:after="0"/>
              <w:rPr>
                <w:sz w:val="17"/>
                <w:szCs w:val="17"/>
                <w:color w:val="auto"/>
              </w:rPr>
            </w:pPr>
          </w:p>
        </w:tc>
        <w:tc>
          <w:tcPr>
            <w:tcW w:w="500" w:type="dxa"/>
            <w:vAlign w:val="bottom"/>
            <w:gridSpan w:val="2"/>
          </w:tcPr>
          <w:p>
            <w:pPr>
              <w:jc w:val="right"/>
              <w:ind w:right="3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560" w:type="dxa"/>
            <w:vAlign w:val="bottom"/>
            <w:vMerge w:val="restart"/>
          </w:tcPr>
          <w:p>
            <w:pPr>
              <w:jc w:val="right"/>
              <w:ind w:right="1692"/>
              <w:spacing w:after="0"/>
              <w:rPr>
                <w:sz w:val="20"/>
                <w:szCs w:val="20"/>
                <w:color w:val="auto"/>
              </w:rPr>
            </w:pPr>
            <w:r>
              <w:rPr>
                <w:rFonts w:ascii="Times New Roman" w:cs="Times New Roman" w:eastAsia="Times New Roman" w:hAnsi="Times New Roman"/>
                <w:sz w:val="18"/>
                <w:szCs w:val="18"/>
                <w:color w:val="auto"/>
              </w:rPr>
              <w:t>127</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57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Laboratory equipment</w:t>
            </w:r>
          </w:p>
        </w:tc>
        <w:tc>
          <w:tcPr>
            <w:tcW w:w="160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710</w:t>
            </w:r>
          </w:p>
        </w:tc>
        <w:tc>
          <w:tcPr>
            <w:tcW w:w="20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hardware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6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Total property and equipment</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2,237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2,809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0" w:type="dxa"/>
            <w:vAlign w:val="bottom"/>
          </w:tcPr>
          <w:p>
            <w:pPr>
              <w:spacing w:after="0"/>
              <w:rPr>
                <w:sz w:val="17"/>
                <w:szCs w:val="17"/>
                <w:color w:val="auto"/>
              </w:rPr>
            </w:pPr>
          </w:p>
        </w:tc>
        <w:tc>
          <w:tcPr>
            <w:tcW w:w="5780" w:type="dxa"/>
            <w:vAlign w:val="bottom"/>
            <w:gridSpan w:val="2"/>
          </w:tcPr>
          <w:p>
            <w:pPr>
              <w:ind w:left="700"/>
              <w:spacing w:after="0" w:line="205" w:lineRule="exact"/>
              <w:rPr>
                <w:sz w:val="20"/>
                <w:szCs w:val="20"/>
                <w:color w:val="auto"/>
              </w:rPr>
            </w:pPr>
            <w:r>
              <w:rPr>
                <w:rFonts w:ascii="Times New Roman" w:cs="Times New Roman" w:eastAsia="Times New Roman" w:hAnsi="Times New Roman"/>
                <w:sz w:val="18"/>
                <w:szCs w:val="18"/>
                <w:color w:val="auto"/>
              </w:rPr>
              <w:t>Property and equipment, net</w:t>
            </w:r>
          </w:p>
        </w:tc>
        <w:tc>
          <w:tcPr>
            <w:tcW w:w="1600" w:type="dxa"/>
            <w:vAlign w:val="bottom"/>
            <w:gridSpan w:val="2"/>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794</w:t>
            </w:r>
          </w:p>
        </w:tc>
        <w:tc>
          <w:tcPr>
            <w:tcW w:w="20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estimated useful lives of property and equipment are as follows:</w:t>
            </w: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200" w:type="dxa"/>
            <w:vAlign w:val="bottom"/>
            <w:gridSpan w:val="3"/>
            <w:vMerge w:val="continue"/>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57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6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Laboratory equipment</w:t>
            </w:r>
          </w:p>
        </w:tc>
        <w:tc>
          <w:tcPr>
            <w:tcW w:w="1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ind w:right="52"/>
              <w:spacing w:after="0" w:line="205" w:lineRule="exact"/>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5 - 10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hardware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6"/>
              </w:rPr>
              <w:t>3 - 7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88"/>
              </w:rPr>
              <w:t>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Depreciation and amortization expense, including amounts pertaining to assets held under finance leases, was approximately $298,000 and $257,000 for the years ended December 31, 2022 and 2021, respectively.</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ind w:left="680" w:hanging="674"/>
        <w:spacing w:after="0"/>
        <w:tabs>
          <w:tab w:leader="none" w:pos="6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Accrued banking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-119380</wp:posOffset>
            </wp:positionV>
            <wp:extent cx="5704205" cy="134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04205" cy="134620"/>
                    </a:xfrm>
                    <a:prstGeom prst="rect">
                      <a:avLst/>
                    </a:prstGeom>
                    <a:noFill/>
                  </pic:spPr>
                </pic:pic>
              </a:graphicData>
            </a:graphic>
          </wp:anchor>
        </w:drawing>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Accrued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2540</wp:posOffset>
            </wp:positionV>
            <wp:extent cx="5704205" cy="134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04205" cy="134620"/>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18"/>
          <w:szCs w:val="18"/>
          <w:color w:val="auto"/>
        </w:rPr>
        <w:t>Accrued professional fees</w:t>
      </w:r>
    </w:p>
    <w:p>
      <w:pPr>
        <w:spacing w:after="0" w:line="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2540</wp:posOffset>
            </wp:positionV>
            <wp:extent cx="5704205" cy="142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04205" cy="14287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18"/>
          <w:szCs w:val="18"/>
          <w:color w:val="auto"/>
        </w:rPr>
        <w:t>Other accrued expenses</w:t>
      </w:r>
    </w:p>
    <w:p>
      <w:pPr>
        <w:spacing w:after="0" w:line="3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Total accounts payable and accrued expenses</w:t>
      </w:r>
    </w:p>
    <w:p>
      <w:pPr>
        <w:spacing w:after="0" w:line="217"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16325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32585" cy="8255"/>
                    </a:xfrm>
                    <a:prstGeom prst="rect">
                      <a:avLst/>
                    </a:prstGeom>
                    <a:noFill/>
                  </pic:spPr>
                </pic:pic>
              </a:graphicData>
            </a:graphic>
          </wp:anchor>
        </w:drawing>
      </w:r>
    </w:p>
    <w:p>
      <w:pPr>
        <w:spacing w:after="0" w:line="6" w:lineRule="exact"/>
        <w:rPr>
          <w:sz w:val="20"/>
          <w:szCs w:val="20"/>
          <w:color w:val="auto"/>
        </w:rPr>
      </w:pPr>
    </w:p>
    <w:p>
      <w:pPr>
        <w:ind w:left="44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700</w:t>
            </w:r>
          </w:p>
        </w:tc>
        <w:tc>
          <w:tcPr>
            <w:tcW w:w="80" w:type="dxa"/>
            <w:vAlign w:val="bottom"/>
            <w:tcBorders>
              <w:top w:val="single" w:sz="8" w:color="auto"/>
            </w:tcBorders>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Pr>
          <w:p>
            <w:pPr>
              <w:spacing w:after="0"/>
              <w:rPr>
                <w:sz w:val="20"/>
                <w:szCs w:val="20"/>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6,169</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3,038</w:t>
            </w:r>
          </w:p>
        </w:tc>
        <w:tc>
          <w:tcPr>
            <w:tcW w:w="8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820" w:space="720"/>
            <w:col w:w="3700"/>
          </w:cols>
          <w:pgMar w:left="320" w:top="121" w:right="339" w:bottom="1440" w:gutter="0" w:footer="0" w:header="0"/>
          <w:type w:val="continuous"/>
        </w:sectPr>
      </w:pPr>
    </w:p>
    <w:bookmarkStart w:id="133" w:name="page134"/>
    <w:bookmarkEnd w:id="13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700" w:hanging="674"/>
        <w:spacing w:after="0"/>
        <w:tabs>
          <w:tab w:leader="none" w:pos="7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Obligations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Deerfield Facility Agreement</w:t>
      </w:r>
    </w:p>
    <w:p>
      <w:pPr>
        <w:spacing w:after="0" w:line="22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In June 2014, the Company entered into a $60 million multi-tranche credit facility (the “Deerfield Facility Agreement”) with Deerfield Private Design Fund III, LP (“Deerfield”). At the time the Company entered into the Deerfield Facility Agreement, the Company borrowed the first tranche, which consisted of a term loan of $15 million (the “Term Note”) and a senior secured loan of $10 million (the “Deerfield Convertible Note”). The Deerfield Convertible Note originally bore interest at 9.75% per annum but was subsequently reduced to 6.75%.</w:t>
      </w:r>
    </w:p>
    <w:p>
      <w:pPr>
        <w:spacing w:after="0" w:line="180"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 xml:space="preserve">Pursuant to the Deerfield Facility Agreement, the Company issued to Deerfield a warrant to purchase 14,423,076 shares of Series D Preferred, which is exercisable until June 2, 2024, and Deerfield assigned this warrant to OTA LLC in December of 2022 (the “OTA Warrant”). Upon completion of the Company’s initial public offering, the OTA Warrant automatically converted into a warrant to purchase 120,192 shares of the Company’s common stock. This warrant qualifies as a participating security under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and is treated as such in the net loss per share calculation (Note O). If a Major Transaction occurs (as defined in the Deerfield Facility Agreement), OTA may require the Company to redeem the OTA Warrant for a cash amount equal to the Black-Scholes value of the portion of the OTA Warrant to be redeemed (the “Warrant Put Option”).</w:t>
      </w:r>
    </w:p>
    <w:p>
      <w:pPr>
        <w:spacing w:after="0" w:line="185"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The Company recorded the fair value of the shares of Series D Preferred to debt issuance costs on the date of issuance. The Company also recorded the fair value of the OTA Warrant and the embedded Warrant Put Option to debt discount on the date of issuance. The debt issuance costs and debt discount were amortized over the term of the related debt and the expense was recorded as interest expense related to amortization of debt issuance costs and discount in the consolidated statements of operations. As discussed below, in the first quarter of 2021, the debt was extinguished, through a series of debt payments and a conversion of debt principal and interest to Series B-2 Preferred Stock. As a result of the debt extinguishment, the associated discount and debt issuance costs were written off and recorded as a loss on extinguishment in the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5.50% Senior Convertible Notes</w:t>
      </w:r>
    </w:p>
    <w:p>
      <w:pPr>
        <w:spacing w:after="0" w:line="22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In February 2016, the Company issued $86.3 million aggregate principal amount of its 5.50% Senior Convertible Notes due 2021 (the “2021 Notes”) to Cowen and RBC Capital Markets, LLC, as representatives of several initial purchasers, who subsequently resold the 2021 Notes to qualified institutional buyers, including Kingdon Offshore Master Fund, LP (“Kingdon”) in reliance on the exemption from registration provided by Rule 144A under the Securities Act of 1933, as amended.</w:t>
      </w:r>
    </w:p>
    <w:p>
      <w:pPr>
        <w:spacing w:after="0" w:line="180"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As described in more detail below, in multiple exchanges, all outstanding 2021 Notes were exchanged by the holders thereof for either shares of our common stock or senior secured convertible promissory notes issued under the terms of the Deerfield Facility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Note Exchange Effected in December 2019</w:t>
      </w:r>
    </w:p>
    <w:p>
      <w:pPr>
        <w:spacing w:after="0" w:line="221"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17"/>
          <w:szCs w:val="17"/>
          <w:color w:val="auto"/>
        </w:rPr>
        <w:t>In December 2019, the Company entered into the December 2019 Exchange Agreement and Amendment to Facility Agreement, Senior Secured Convertible Notes and Warrants (the “December 2019 Exchange Agreement”) with Deerfield and Deerfield Special Situations Fund LP (collectively, “the Deerfield Lenders”) and Delaware Street Capital Master Fund, L.P. (“DSC” and, collectively with the Deerfield Lenders, the “December 2019 Holders”). Under the December 2019 Exchange Agreement, the Company issued senior secured convertible promissory notes under the Deerfield Facility Agreement in the aggregate principal amount of approximately $71.4 million (the “December 2019 Notes”), in exchange for the cancellation of an aggregate of approximately $71.4 million principal amount and accrued interest of the Company’s 2021 Notes. The December 2019 Notes bore interest at 6.75% per annum.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Note Exchange Effected in January 2020</w:t>
      </w:r>
    </w:p>
    <w:p>
      <w:pPr>
        <w:spacing w:after="0" w:line="22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In January 2020, the Company entered into the January 2020 Exchange Agreement (the “January 2020 Exchange Agreement”) with Kingdon. Under the January 2020 Exchange Agreement, the Company issued a senior secured convertible note in the aggregate principal amount of approximately $3.0 million (the “January 2020 Note”) in exchange for the cancellation of an aggregate of $3.0 million principal amount and accrued interest of the 2021 Note then owned by Kingdon.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2020 Exchange Agreement and Amendment to Facility Agreement, Notes and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Rights Agreement</w:t>
      </w:r>
    </w:p>
    <w:p>
      <w:pPr>
        <w:spacing w:after="0" w:line="221"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In December 2020, the Company entered into a December 2020 Exchange Agreement and Amendment to Facility Agreement, Notes and Investors’ Rights Agreement (the “December 2020 Exchange Agreement”). with the Deerfield Lenders, DSC and Kingdon (collectively, the “Facility Agreement Note Holders”). Under the December 2020 Exchange Agreement, the Company and the Facility Agreement Note Holders agreed that the Company would make a cash pre-payment of a portion of principal amount of the Deerfield Convertible Note, the December 2019 Notes and the January 2020 Note to the Facility Agreement Note Holders (the “Debt Payment”) equal to approximately $30.3 million, plus accrued interest and that the Company would issue shares of its Series B-2 Preferred Stock and warrants exercisable for shares of its common stock (the “Exchange Warrants”), in exchange for the cancellation of a portion of the principal amount of the Deerfield Facility Agreement (such transaction, the “December 2020 Exchange”).</w:t>
      </w:r>
    </w:p>
    <w:p>
      <w:pPr>
        <w:spacing w:after="0" w:line="18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anticipation of the Public Offering, and to meet the Nasdaq Listing Requirements, the Company agreed in December 2020 to restructure the December 2019 Notes and the January 2020 Note in the aggregate principal amount of $60.8 million and the Deerfield Note in the principal amount of $7.5 million (collectively the "the Facility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December 2020 Exchange Agreement, the Company, on January 12, 2021, in connection with the closing of the Public Offering:</w:t>
      </w:r>
    </w:p>
    <w:p>
      <w:pPr>
        <w:spacing w:after="0" w:line="217" w:lineRule="exact"/>
        <w:rPr>
          <w:sz w:val="20"/>
          <w:szCs w:val="20"/>
          <w:color w:val="auto"/>
        </w:rPr>
      </w:pPr>
    </w:p>
    <w:p>
      <w:pPr>
        <w:ind w:left="200" w:hanging="121"/>
        <w:spacing w:after="0" w:line="201" w:lineRule="auto"/>
        <w:tabs>
          <w:tab w:leader="none" w:pos="200" w:val="left"/>
        </w:tabs>
        <w:numPr>
          <w:ilvl w:val="0"/>
          <w:numId w:val="53"/>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Exchanged $31.5 million of the outstanding principal and accrued interest on the Facility Notes for (i) 31,476.98412 shares of Series B-2 Preferred Stock, and (ii) Exchange Warrants exercisable for 3,632,019 shares of the Company's common stock, and</w:t>
      </w:r>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●Made the Debt Payment, in partial repayment of the remaining outstanding principal and accrued interest of the Facility Notes.</w:t>
      </w:r>
    </w:p>
    <w:p>
      <w:pPr>
        <w:sectPr>
          <w:pgSz w:w="11900" w:h="16838" w:orient="portrait"/>
          <w:cols w:equalWidth="0" w:num="1">
            <w:col w:w="11260"/>
          </w:cols>
          <w:pgMar w:left="300" w:top="121" w:right="339" w:bottom="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89535</wp:posOffset>
            </wp:positionV>
            <wp:extent cx="71348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4" w:gutter="0" w:footer="0" w:header="0"/>
          <w:type w:val="continuous"/>
        </w:sectPr>
      </w:pPr>
    </w:p>
    <w:bookmarkStart w:id="134" w:name="page135"/>
    <w:bookmarkEnd w:id="13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Following the completion of these transactions, the aggregate balance of principal and accrued interest remaining outstanding under the Facility Notes was approximately $7.6 million. With respect to this remaining outstanding balance under the Facility Notes, the December 2020 Exchange Agreement amended the terms of that debt to provide that:</w:t>
      </w:r>
    </w:p>
    <w:p>
      <w:pPr>
        <w:spacing w:after="0" w:line="1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maturity date was amended to March 31, 2023, and the debt was prepayable upon specified conditions, and</w:t>
      </w:r>
    </w:p>
    <w:p>
      <w:pPr>
        <w:spacing w:after="0" w:line="217" w:lineRule="exact"/>
        <w:rPr>
          <w:sz w:val="20"/>
          <w:szCs w:val="20"/>
          <w:color w:val="auto"/>
        </w:rPr>
      </w:pPr>
    </w:p>
    <w:p>
      <w:pPr>
        <w:ind w:left="200" w:hanging="121"/>
        <w:spacing w:after="0"/>
        <w:tabs>
          <w:tab w:leader="none" w:pos="200" w:val="left"/>
        </w:tabs>
        <w:numPr>
          <w:ilvl w:val="0"/>
          <w:numId w:val="54"/>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Interest would accrue at the rate of 6.75% per annum, payable quarterly, would be added to principal until June 30, 2021, and then be payable in cash thereafter.</w:t>
      </w:r>
    </w:p>
    <w:p>
      <w:pPr>
        <w:spacing w:after="0" w:line="291"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The changes to the Facility Notes, under the December 2020 Exchange Agreement, were accounted for as a debt extinguishment as the cash flows immediately after the December 2020 Exchange Agreement were substantially different from the cash flows immediately prior to the December 2020 Exchange Agreement and while the Company was experiencing financial difficulties it was determined that the lender did not grant a concession. As such, a loss on extinguishment of debt is recorded in the consolidated statement of operations for the year ended December 31, 2021, and additional debt issuance costs related the new notes were capitalized and amortized using the effective interest method through the Payoff of Facility Agreement Notes (discussed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Payoff of Facility Agreement Notes and Termination of Facility Agreement</w:t>
      </w:r>
    </w:p>
    <w:p>
      <w:pPr>
        <w:spacing w:after="0" w:line="221"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On February 8, 2021, the Company entered into a payoff letter with the Facility Agreement Note Holders, pursuant to which the Company agreed to pay off and thereby terminate the Facility Agreement.</w:t>
      </w:r>
    </w:p>
    <w:p>
      <w:pPr>
        <w:spacing w:after="0" w:line="163"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Pursuant to the payoff letter, the Company paid a total of $8.0 million to the Facility Agreement Note Holders, representing the principal balance, accrued interest outstanding and a prepayment fee in repayment of the Company’s outstanding obligations under the Facility Agreement.</w:t>
      </w:r>
    </w:p>
    <w:p>
      <w:pPr>
        <w:spacing w:after="0" w:line="163"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Pursuant to the payoff letter, all outstanding indebtedness and obligations of the Company owing to the Facility Agreement Note Holders under the Facility Agreement have been paid in full. The Facility Agreement and the notes thereunder, as well as the security interests in the assets of the Company securing the Facility Agreement and note obligations, have been terminated. The Facility Agreement Note Holders will retain the warrants previously issued to them by the Company.</w:t>
      </w:r>
    </w:p>
    <w:p>
      <w:pPr>
        <w:spacing w:after="0" w:line="178"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determined the payoff letter met the liability derecognition threshold under ASC 405-20, </w:t>
      </w:r>
      <w:r>
        <w:rPr>
          <w:rFonts w:ascii="Times New Roman" w:cs="Times New Roman" w:eastAsia="Times New Roman" w:hAnsi="Times New Roman"/>
          <w:sz w:val="18"/>
          <w:szCs w:val="18"/>
          <w:i w:val="1"/>
          <w:iCs w:val="1"/>
          <w:color w:val="auto"/>
        </w:rPr>
        <w:t>Liabilities - Extinguishment of Liabilities</w:t>
      </w:r>
      <w:r>
        <w:rPr>
          <w:rFonts w:ascii="Times New Roman" w:cs="Times New Roman" w:eastAsia="Times New Roman" w:hAnsi="Times New Roman"/>
          <w:sz w:val="18"/>
          <w:szCs w:val="18"/>
          <w:color w:val="auto"/>
        </w:rPr>
        <w:t>, as the Company repaid the debt (and has been relieved of the related obligation) without entering into new debt with the Facility Agreement Note Holders and there is no other continuing debt with the Facility Agreement Note Holders. The payoff letter resulted in a loss on extinguishment of debt which is shown within other (expense) income in the statements of operations for the year ended December 31,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PPP Loan</w:t>
      </w:r>
    </w:p>
    <w:p>
      <w:pPr>
        <w:spacing w:after="0" w:line="221"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On April 23, 2020, the Company received proceeds of $0.8 million from a loan under the Paycheck Protection Program (“PPP Loan”) of the Coronavirus Aid, Relief, and Economic Security Act (“CARES Act”), a portion of which may be forgiven, which the Company used to retain current employees, maintain payroll and make lease and utility payments. In May 2021, the Company received notice from the U.S. Small Business Administration that the principal and interest due under its PPP Loan had been forgiven in full. This gain on extinguishment is shown, net of the loss on extinguishment of debt discussed above, within other (expense) income in the statements of operations for the year ended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22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On May 31, 2022, the Company and Ameris Bank, as lender, entered into a $20.0 million revolving loan agreement (the “Line of Credit”). Proceeds of the revolving facility provided by the Line of Credit are to be used for general corporate purposes. Loans under the Line of Credit bear interest at the Secured Overnight Financing Rate ("SOFR") plus 1.60%, with a SOFR floor of 0.00%.</w:t>
      </w:r>
    </w:p>
    <w:p>
      <w:pPr>
        <w:spacing w:after="0" w:line="178"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The revolving facility under the Line of Credit is secured by a perfected security interest in deposit accounts. The revolving facility under the Line of Credit is subject to customary affirmative and negative covenants.</w:t>
      </w:r>
    </w:p>
    <w:p>
      <w:pPr>
        <w:spacing w:after="0" w:line="163"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The latest maturity date of the loans under the Line of Credit is May 31, 2025. The Line of Credit contains customary events of default that could lead to an acceleration of the loans, including cross-default, bankruptcy and payment defaults. As of December 31, 2022, the Company has drawn $12.8 million from the Line of Credit to finance the transactions under the Arimoclomol Purchase Agreement, and this amount is supported by a $12.8 million certificate of deposit which is shown as long-term investments - other in the consolidated balance sheets. The remaining $7.2 million under the Line of Credit is in a separate interest-bearing certificate of deposit and is also recorded as long-term investments - other in the consolidated balance sheet as of December 31, 2022. These certificates of deposit are pledged as collateral against the Line of Credit and cannot be redeemed so long as the $20.0 million remains available under the Line of Credit. The total value of the certificates of deposit held with Ameris Banks must meet or exceed the amount available to borrow under the Line of Credit so long as the Line of Credit remains active.</w:t>
      </w:r>
    </w:p>
    <w:p>
      <w:pPr>
        <w:spacing w:after="0" w:line="190"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On January 26, 2023, the Company and Wells Fargo, as lender, entered into a margin account agreement under which the Company initially borrowed $12.8 million. The margin account bears interest at the Prime rate minus 225 basis-points.</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 January 31, 2023, the Company repaid the $12.8 million outstanding under the Line of Credit in full, but the line of credit remains available for future use.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such, the certificates of deposit continue to be classified as long-term investments - other.</w:t>
      </w:r>
    </w:p>
    <w:p>
      <w:pPr>
        <w:spacing w:after="0" w:line="222" w:lineRule="exact"/>
        <w:rPr>
          <w:sz w:val="20"/>
          <w:szCs w:val="20"/>
          <w:color w:val="auto"/>
        </w:rPr>
      </w:pPr>
    </w:p>
    <w:p>
      <w:pPr>
        <w:ind w:left="700" w:hanging="674"/>
        <w:spacing w:after="0"/>
        <w:tabs>
          <w:tab w:leader="none" w:pos="7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 As of December 31, 2022, and 2021, no accruals have been made related to commitments and contingencies.</w:t>
      </w:r>
    </w:p>
    <w:p>
      <w:pPr>
        <w:sectPr>
          <w:pgSz w:w="11900" w:h="16838" w:orient="portrait"/>
          <w:cols w:equalWidth="0" w:num="1">
            <w:col w:w="11260"/>
          </w:cols>
          <w:pgMar w:left="300" w:top="121" w:right="339" w:bottom="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89535</wp:posOffset>
            </wp:positionV>
            <wp:extent cx="71348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6" w:name="page137"/>
    <w:bookmarkEnd w:id="13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hanging="674"/>
        <w:spacing w:after="0"/>
        <w:tabs>
          <w:tab w:leader="none" w:pos="7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 and Warrants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the Company had 10,000,000 shares of authorized, unallocated and unissued preferred stock.</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December 31, 2022, and 2021, no shares of preferred stock were designated, issued or outstanding.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B-2 Preferred Stock</w:t>
      </w:r>
    </w:p>
    <w:p>
      <w:pPr>
        <w:spacing w:after="0" w:line="21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Pursuant to the December 2020 Exchange Agreement, on January 12, 2021, the Company issued to the Facility Agreement Note Holders an aggregate of 31,476.98412 shares of its Series B-2 Preferred Stock and warrants exercisable for an aggregate of 3,632,019 shares of the Company’s common stock (the “Exchange Warrants”). The Series B-2 Preferred Stock was convertible into an aggregate of 4,842,690 shares of the Company’s common stock upon issuance. at a conversion price equal to $6.4999.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Designation of Preferences, Rights and Limitations of the Series B-2 Convertible Preferred Stock</w:t>
      </w:r>
    </w:p>
    <w:p>
      <w:pPr>
        <w:spacing w:after="0" w:line="22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January 11, 2021, as a condition to the closing of the transactions contemplated by the December 2020 Exchange Agreement, the Company filed an Amended and Restated Certificate of Designation of Preferences, Rights and Limitations of Series B-2 Convertible Preferred Stock (the “Series B-2 Certificate of Designation”) with the Secretary of State of the State of Delaware, setting forth the preferences, rights and limitations of the Series B-2 Preferred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the closing of the Public Offering, pursuant to the terms of the December 2020 Exchange Agreement, the Company:</w:t>
      </w:r>
    </w:p>
    <w:p>
      <w:pPr>
        <w:spacing w:after="0" w:line="217" w:lineRule="exact"/>
        <w:rPr>
          <w:sz w:val="20"/>
          <w:szCs w:val="20"/>
          <w:color w:val="auto"/>
        </w:rPr>
      </w:pPr>
    </w:p>
    <w:p>
      <w:pPr>
        <w:ind w:left="200" w:hanging="121"/>
        <w:spacing w:after="0" w:line="201" w:lineRule="auto"/>
        <w:tabs>
          <w:tab w:leader="none" w:pos="200" w:val="left"/>
        </w:tabs>
        <w:numPr>
          <w:ilvl w:val="0"/>
          <w:numId w:val="57"/>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exchanged approximately $31.5 million of the outstanding principal and accrued interest on the Facility Notes for (i) the Series B-2 Preferred Stock and (ii) the Exchange Warrants; and</w:t>
      </w:r>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●made a payment of approximately $30.3 million in partial repayment of the remaining outstanding principal and accrued interest on the Facility Notes.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2021, all shares of Series B-2 Preferred Stock converted into 4,842,699 shares of common stock.</w:t>
      </w:r>
    </w:p>
    <w:p>
      <w:pPr>
        <w:spacing w:after="0" w:line="200" w:lineRule="exact"/>
        <w:rPr>
          <w:sz w:val="20"/>
          <w:szCs w:val="20"/>
          <w:color w:val="auto"/>
        </w:rPr>
      </w:pPr>
    </w:p>
    <w:p>
      <w:pPr>
        <w:spacing w:after="0" w:line="254" w:lineRule="exact"/>
        <w:rPr>
          <w:sz w:val="20"/>
          <w:szCs w:val="20"/>
          <w:color w:val="auto"/>
        </w:rPr>
      </w:pPr>
    </w:p>
    <w:p>
      <w:pPr>
        <w:ind w:left="700" w:hanging="674"/>
        <w:spacing w:after="0"/>
        <w:tabs>
          <w:tab w:leader="none" w:pos="7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and Warrants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Common Shares</w:t>
      </w:r>
    </w:p>
    <w:p>
      <w:pPr>
        <w:spacing w:after="0" w:line="22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As of December 31, 2022, and 2021, the Company had authorized shares of common stock of 250,000,000 shares. Of the authorized shares, 35,450,257 and 35,325,801 shares of common stock were issued as of December 31, 2022, and 2021, respectively, and 34,540,304 and 35,005,640 shares of common stock were outstanding as of December 31, 2022, and 2021,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the Company had reserved authorized shares of common stock for future issuance as follows:</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1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320" w:type="dxa"/>
            <w:vAlign w:val="bottom"/>
            <w:tcBorders>
              <w:bottom w:val="single" w:sz="8" w:color="auto"/>
            </w:tcBorders>
            <w:gridSpan w:val="6"/>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5"/>
        </w:trPr>
        <w:tc>
          <w:tcPr>
            <w:tcW w:w="11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540" w:type="dxa"/>
            <w:vAlign w:val="bottom"/>
            <w:tcBorders>
              <w:bottom w:val="single" w:sz="8" w:color="auto"/>
            </w:tcBorders>
          </w:tcPr>
          <w:p>
            <w:pPr>
              <w:jc w:val="right"/>
              <w:ind w:right="51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bottom w:val="single" w:sz="8" w:color="auto"/>
            </w:tcBorders>
            <w:gridSpan w:val="2"/>
          </w:tcPr>
          <w:p>
            <w:pPr>
              <w:jc w:val="right"/>
              <w:ind w:right="49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6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Outstanding awards under equity incentive plans</w:t>
            </w:r>
          </w:p>
        </w:tc>
        <w:tc>
          <w:tcPr>
            <w:tcW w:w="15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2,456,407</w:t>
            </w:r>
          </w:p>
        </w:tc>
        <w:tc>
          <w:tcPr>
            <w:tcW w:w="10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1,273,879</w:t>
            </w:r>
          </w:p>
        </w:tc>
        <w:tc>
          <w:tcPr>
            <w:tcW w:w="80" w:type="dxa"/>
            <w:vAlign w:val="bottom"/>
            <w:shd w:val="clear" w:color="auto" w:fill="CCEEFF"/>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4,252,600</w:t>
            </w:r>
          </w:p>
        </w:tc>
        <w:tc>
          <w:tcPr>
            <w:tcW w:w="1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4,252,600</w:t>
            </w:r>
          </w:p>
        </w:tc>
        <w:tc>
          <w:tcPr>
            <w:tcW w:w="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Possible future issuances under equity incentive plans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4,421,508</w:t>
            </w: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4,209,935</w:t>
            </w:r>
          </w:p>
        </w:tc>
        <w:tc>
          <w:tcPr>
            <w:tcW w:w="80" w:type="dxa"/>
            <w:vAlign w:val="bottom"/>
            <w:shd w:val="clear" w:color="auto" w:fill="CCEEFF"/>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Possible future issuances under employee stock purchase plan</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1,417,365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tcPr>
          <w:p>
            <w:pPr>
              <w:spacing w:after="0"/>
              <w:rPr>
                <w:sz w:val="18"/>
                <w:szCs w:val="18"/>
                <w:color w:val="auto"/>
              </w:rPr>
            </w:pPr>
          </w:p>
        </w:tc>
      </w:tr>
      <w:tr>
        <w:trPr>
          <w:trHeight w:val="245"/>
        </w:trPr>
        <w:tc>
          <w:tcPr>
            <w:tcW w:w="11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common shares reserved for future issuance</w:t>
            </w:r>
          </w:p>
        </w:tc>
        <w:tc>
          <w:tcPr>
            <w:tcW w:w="15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12,547,880</w:t>
            </w:r>
          </w:p>
        </w:tc>
        <w:tc>
          <w:tcPr>
            <w:tcW w:w="1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11,236,414</w:t>
            </w:r>
          </w:p>
        </w:tc>
        <w:tc>
          <w:tcPr>
            <w:tcW w:w="80" w:type="dxa"/>
            <w:vAlign w:val="bottom"/>
            <w:tcBorders>
              <w:bottom w:val="single" w:sz="8" w:color="auto"/>
            </w:tcBorders>
            <w:shd w:val="clear" w:color="auto" w:fill="CCEEFF"/>
          </w:tcPr>
          <w:p>
            <w:pPr>
              <w:spacing w:after="0"/>
              <w:rPr>
                <w:sz w:val="21"/>
                <w:szCs w:val="21"/>
                <w:color w:val="auto"/>
              </w:rPr>
            </w:pPr>
          </w:p>
        </w:tc>
      </w:tr>
      <w:tr>
        <w:trPr>
          <w:trHeight w:val="405"/>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Activity</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4"/>
        </w:trPr>
        <w:tc>
          <w:tcPr>
            <w:tcW w:w="8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common stock activity for the years ended December 31, 2022 and 2021: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3"/>
        </w:trPr>
        <w:tc>
          <w:tcPr>
            <w:tcW w:w="11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32"/>
        </w:trPr>
        <w:tc>
          <w:tcPr>
            <w:tcW w:w="11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19"/>
        </w:trPr>
        <w:tc>
          <w:tcPr>
            <w:tcW w:w="1140" w:type="dxa"/>
            <w:vAlign w:val="bottom"/>
          </w:tcPr>
          <w:p>
            <w:pPr>
              <w:spacing w:after="0"/>
              <w:rPr>
                <w:sz w:val="19"/>
                <w:szCs w:val="19"/>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4,537,321</w:t>
            </w:r>
          </w:p>
        </w:tc>
        <w:tc>
          <w:tcPr>
            <w:tcW w:w="80" w:type="dxa"/>
            <w:vAlign w:val="bottom"/>
            <w:tcBorders>
              <w:bottom w:val="single" w:sz="8" w:color="auto"/>
            </w:tcBorders>
            <w:shd w:val="clear" w:color="auto" w:fill="CCEEFF"/>
          </w:tcPr>
          <w:p>
            <w:pPr>
              <w:spacing w:after="0"/>
              <w:rPr>
                <w:sz w:val="19"/>
                <w:szCs w:val="19"/>
                <w:color w:val="auto"/>
              </w:rPr>
            </w:pPr>
          </w:p>
        </w:tc>
      </w:tr>
      <w:tr>
        <w:trPr>
          <w:trHeight w:val="205"/>
        </w:trPr>
        <w:tc>
          <w:tcPr>
            <w:tcW w:w="1140" w:type="dxa"/>
            <w:vAlign w:val="bottom"/>
          </w:tcPr>
          <w:p>
            <w:pPr>
              <w:spacing w:after="0"/>
              <w:rPr>
                <w:sz w:val="17"/>
                <w:szCs w:val="17"/>
                <w:color w:val="auto"/>
              </w:rPr>
            </w:pPr>
          </w:p>
        </w:tc>
        <w:tc>
          <w:tcPr>
            <w:tcW w:w="566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Common stock issued as a result of the Public Offering</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auto"/>
              </w:rPr>
              <w:t>7,139,498</w:t>
            </w:r>
          </w:p>
        </w:tc>
        <w:tc>
          <w:tcPr>
            <w:tcW w:w="8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issued as a result of Series B-2 Preferred Stock conversions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4,842,699</w:t>
            </w:r>
          </w:p>
        </w:tc>
        <w:tc>
          <w:tcPr>
            <w:tcW w:w="80" w:type="dxa"/>
            <w:vAlign w:val="bottom"/>
            <w:shd w:val="clear" w:color="auto" w:fill="CCEEFF"/>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issued as a result of warrant exercises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18,772,510</w:t>
            </w:r>
          </w:p>
        </w:tc>
        <w:tc>
          <w:tcPr>
            <w:tcW w:w="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issued as compensation to third-parties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w:t>
            </w:r>
          </w:p>
        </w:tc>
        <w:tc>
          <w:tcPr>
            <w:tcW w:w="80" w:type="dxa"/>
            <w:vAlign w:val="bottom"/>
            <w:shd w:val="clear" w:color="auto" w:fill="CCEEFF"/>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for cash paid in lieu of DTC fractional shares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(1,356)</w:t>
            </w:r>
          </w:p>
        </w:tc>
      </w:tr>
      <w:tr>
        <w:trPr>
          <w:trHeight w:val="212"/>
        </w:trPr>
        <w:tc>
          <w:tcPr>
            <w:tcW w:w="1140" w:type="dxa"/>
            <w:vAlign w:val="bottom"/>
          </w:tcPr>
          <w:p>
            <w:pPr>
              <w:spacing w:after="0"/>
              <w:rPr>
                <w:sz w:val="18"/>
                <w:szCs w:val="18"/>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repurchased as a result of the Stock Repurchase Program</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(320,161)</w:t>
            </w:r>
          </w:p>
        </w:tc>
      </w:tr>
      <w:tr>
        <w:trPr>
          <w:trHeight w:val="205"/>
        </w:trPr>
        <w:tc>
          <w:tcPr>
            <w:tcW w:w="1140" w:type="dxa"/>
            <w:vAlign w:val="bottom"/>
          </w:tcPr>
          <w:p>
            <w:pPr>
              <w:spacing w:after="0"/>
              <w:rPr>
                <w:sz w:val="17"/>
                <w:szCs w:val="17"/>
                <w:color w:val="auto"/>
              </w:rPr>
            </w:pPr>
          </w:p>
        </w:tc>
        <w:tc>
          <w:tcPr>
            <w:tcW w:w="5660" w:type="dxa"/>
            <w:vAlign w:val="bottom"/>
            <w:tcBorders>
              <w:top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Balance as of December 31, 2021</w:t>
            </w:r>
          </w:p>
        </w:tc>
        <w:tc>
          <w:tcPr>
            <w:tcW w:w="1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gridSpan w:val="2"/>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35,005,640</w:t>
            </w:r>
          </w:p>
        </w:tc>
        <w:tc>
          <w:tcPr>
            <w:tcW w:w="80" w:type="dxa"/>
            <w:vAlign w:val="bottom"/>
            <w:tcBorders>
              <w:top w:val="single" w:sz="8" w:color="CCEEFF"/>
              <w:bottom w:val="single" w:sz="8" w:color="auto"/>
            </w:tcBorders>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66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Common stock issued as compensation to third-parties</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41,821</w:t>
            </w:r>
          </w:p>
        </w:tc>
        <w:tc>
          <w:tcPr>
            <w:tcW w:w="80" w:type="dxa"/>
            <w:vAlign w:val="bottom"/>
            <w:shd w:val="clear" w:color="auto" w:fill="CCEEFF"/>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repurchased as a result of the Stock Repurchase Program</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(589,792)</w:t>
            </w:r>
          </w:p>
        </w:tc>
      </w:tr>
      <w:tr>
        <w:trPr>
          <w:trHeight w:val="225"/>
        </w:trPr>
        <w:tc>
          <w:tcPr>
            <w:tcW w:w="1140" w:type="dxa"/>
            <w:vAlign w:val="bottom"/>
          </w:tcPr>
          <w:p>
            <w:pPr>
              <w:spacing w:after="0"/>
              <w:rPr>
                <w:sz w:val="19"/>
                <w:szCs w:val="19"/>
                <w:color w:val="auto"/>
              </w:rPr>
            </w:pPr>
          </w:p>
        </w:tc>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issued as a result of the Employee Stock Purchase Plan</w:t>
            </w: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82,635</w:t>
            </w:r>
          </w:p>
        </w:tc>
        <w:tc>
          <w:tcPr>
            <w:tcW w:w="80" w:type="dxa"/>
            <w:vAlign w:val="bottom"/>
            <w:tcBorders>
              <w:bottom w:val="single" w:sz="8" w:color="auto"/>
            </w:tcBorders>
            <w:shd w:val="clear" w:color="auto" w:fill="CCEEFF"/>
          </w:tcPr>
          <w:p>
            <w:pPr>
              <w:spacing w:after="0"/>
              <w:rPr>
                <w:sz w:val="19"/>
                <w:szCs w:val="19"/>
                <w:color w:val="auto"/>
              </w:rPr>
            </w:pPr>
          </w:p>
        </w:tc>
      </w:tr>
      <w:tr>
        <w:trPr>
          <w:trHeight w:val="205"/>
        </w:trPr>
        <w:tc>
          <w:tcPr>
            <w:tcW w:w="6800" w:type="dxa"/>
            <w:vAlign w:val="bottom"/>
            <w:gridSpan w:val="2"/>
          </w:tcPr>
          <w:p>
            <w:pPr>
              <w:ind w:left="1120"/>
              <w:spacing w:after="0" w:line="205" w:lineRule="exact"/>
              <w:rPr>
                <w:sz w:val="20"/>
                <w:szCs w:val="20"/>
                <w:color w:val="auto"/>
              </w:rPr>
            </w:pPr>
            <w:r>
              <w:rPr>
                <w:rFonts w:ascii="Times New Roman" w:cs="Times New Roman" w:eastAsia="Times New Roman" w:hAnsi="Times New Roman"/>
                <w:sz w:val="18"/>
                <w:szCs w:val="18"/>
                <w:color w:val="auto"/>
              </w:rPr>
              <w:t>Balance as of December 31, 2022</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auto"/>
              </w:rPr>
              <w:t>34,540,304</w:t>
            </w:r>
          </w:p>
        </w:tc>
        <w:tc>
          <w:tcPr>
            <w:tcW w:w="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60"/>
          </w:cols>
          <w:pgMar w:left="300" w:top="121" w:right="339" w:bottom="189" w:gutter="0" w:footer="0" w:header="0"/>
        </w:sectPr>
      </w:pPr>
    </w:p>
    <w:p>
      <w:pPr>
        <w:jc w:val="center"/>
        <w:ind w:right="-3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89535</wp:posOffset>
            </wp:positionV>
            <wp:extent cx="713486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89"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June 2, 2014, pursuant to the terms of the Deerfield Facility Agreement, the Company issued the OTA Warrant to purchase 14,423,076 shares of Series D Preferred (Note G). The Company recorded the fair value of the OTA Warrant as a debt discount and a warrant liability. The OTA Warrant, if unexercised, expires on the earlier of June 2, 2024, or upon a liquidation event. Upon completion of the Company’s initial public offering (the “IPO”), the OTA Warrant automatically converted into a warrant to purchase 1,923,077 shares of the Company’s common stock. at an exercise price of $5.85 per share. After giving effect to the Reverse Stock Split effected in December 2020, the exercise price of the OTA Warrant became $93.60 and the shares of the Company’s common stock issuable upon exercise of the OTA Warrant became 120,192 shares of common stock. As a result of the January 2021 Inducement Transaction (discussed below) the anti-dilution provisions within the OTA Warrant were triggered and the exercise price was reduced from $93.60 per share to $46.25 per share. In addition, as a result of the June 2021 Inducement Transaction (discussed below) the anti-dilution provision within the OTA Warrant were triggered and the exercise price was reduced from $46.25 per share to $38.34 per share. The Company amortized the debt discount over the term of the Deerfield Convertible Note and the expense was recorded as interest expense related to amortization of debt issuance costs and discount in the consolidated statements of operations. The Deerfield Convertible Note was extinguished in February 2021 and the remaining debt discount was written off and recognized as a loss on extinguishment of debt.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determined that the OTA Warrant should be recorded as a liability and stated at fair value at each reporting period upon inception. As stated above, upon completion of the IPO, the OTA Warrant automatically converted into warrants to purchase the Company’s common stock. The OTA Warrant remains classified as a liability and is recorded at fair value at each reporting period since it can be settled in cash. Changes to the fair value of the warrant liability are recorded through the consolidated statements of operations as a fair value adjustment (Note L).</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connection with the APADAZ License Agreement, in October 2018, the Company issued to KVK a warrant to purchase up to 31,250 shares of common stock of the Company at an exercise price of $2.30 per share (the “KVK Warrant”). The KVK Warrant is initially not exercisable for any shares of common stock. Upon the achievement of each of four specified milestones under the KVK Warrant, the KVK Warrant will become exercisable for an additional 7812.5 shares, up to an aggregate of 31,250 shares of the Company’s common stock. The exercise price and the number and type of shares underlying the KVK Warrant are subject to adjustment in the event of specified events, including a reclassification of the Company’s common stock, a subdivision or combination of the Company’s common stock, or in the event of specified dividend payments. The KVK Warrant is exercisable until October 24, 2023. Upon exercise, the aggregate exercise price may be paid, at KVK’s election, in cash or on a net issuance basis, based upon the fair market value of the Company’s common stock at the time of exercise. After giving effect to the Reverse Stock Split effected in December 2020, the exercise price of the KVK Warrant became $36.80 and the shares of common stock issuable upon exercise of the KVK Warrant became 31,250 shares of common stock.</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determined that, since KVK qualifies as a customer under ASC 606, the KVK Warrant should be recorded as a contract asset and recognized as contra-revenue as the Company recognizes revenue from the APADAZ License Agreement. In addition, the Company determined that the KVK Warrant qualifies as a derivative under ASC 815 and should be recorded as a liability and stated at fair value each reporting period. The Company calculates the fair value of the KVK Warrant using a probability-weighted Black-Scholes option pricing model. Changes in fair value resulting from changes in the inputs to the Black Scholes model are accounted for as changes in the fair value of the derivative under ASC 815 and are recorded as fair value adjustment related to derivative and warrant liability in the consolidated statements of operations. Changes in the number of shares that are expected to be issued are treated as changes in variable consideration under ASC 606 and are recorded as a change in contract asset on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12, 2021, pursuant to the terms of the Underwriting Agreement, the Company issued pre-funded warrants to purchase 926,844 shares of the Company’s common stock to specified investors in the Public Offering. Each pre-funded warrant had an initial exercise price per share equal to $0.0001. The pre-funded warrants were immediately exercisable. In January 2021, all pre-funded warrants were exercised for 926,841 shares of common stock and gross proceeds of approximately $72.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January 12, 2021, pursuant to the terms of the Underwriting Agreement and December 2020 Exchange Agreement, the Company issued warrants to purchase 12,078,361 shares of the Company’s common stock (collectively, the “Offering Warrants”) in the Public Offering and in connection with the transactions contemplated under the December 2020 Exchange Agreement. The Offering Warrants were immediately exercisable and expire on the fifth anniversary of their issuance date, at an exercise price per share of common stock equal to $6.50 per share. A holder (together with its affiliates) may not exercise any portion of the Offering Warrant to the extent that the holder and its affiliates would own more than 4.99% of the Company’s outstanding common stock immediately after exercise. Except as otherwise provided in the Offering Warrants or by virtue of such holder’s ownership of shares of the Company’s common stock, the holders of the Offering Warrants do not have the rights or privileges of holders of common stock with respect to the shares of common stock underlying the Offering Warrants, including any voting rights, until they exercise their Offering Warrants. The Offering Warrants provide that holders have the right to participate in distributions or dividends paid on the Company’s common stock. In the event of a fundamental transaction (as described in the Offering Warrants), the holders of the Offering Warrants will be entitled to receive upon exercise of the Warrants the kind and amount of securities, cash or other property that the holders would have received had they exercised the Offering Warrants immediately prior to such fundamental transaction. In addition, in the event of a fundamental transaction which is approved by the Company’s board of directors, the holders of the Offering Warrants have the right to require the Company or a successor entity to redeem the Offering Warrants for cash in the amount of the Black Scholes value of the unexercised portion of the Offering Warrants on the date of the consummation of the fundamental transaction. In the event of a fundamental transaction which is not approved by the Company’s board of directors, the holders of the Offering Warrants have the right to require the Company or a successor entity to redeem the Offering Warrants in the amount of the Black Scholes value of the unexercised portion of the Offering Warrants on the date of the consummation of the fundamental transaction payable in the form of consideration paid to the holders of common stock in such fundamental transaction. The Offering Warrants meet the equity classification requirements and thus are recorded in additional paid-in capital on the accompanying consolidated balance sheets. As of December 31, 2022, 3,461,858 Offering Warrants have been exercised for 3,030,881 shares of common stock and gross proceeds of approximately $16.9 million. These amounts are exclusive of the Offering Warrants exercised as part of the January 2021 Inducement Transaction discussed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 Warrant</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January 12, 2021, pursuant to the terms of the Underwriting Agreement, the Company issued to the Underwriter a warrant to purchase 806,932 shares of the Company’s common stock (the “Underwriter Warrant”). The Underwriter Warrant is subject to substantially the same terms and conditions as the Warrants. If the Underwriter exercises any additional portion of its over-allotment option, then the Company shall issue the Underwriter an additional Underwriter Warrant exercisable for a number of shares of common stock equal to 5.0% of the number of shares of common stock issued in such over-allotment exercise (including the shares of common stock issuable upon the exercise of any Warrants issued in connection therewith). In connection with the closing of the Underwriter's partial exercise of its over-allotment option, on February 3, 2021, the Underwriter was issued an additional warrant to purchase 18,702 shares of common stock. As of December 31, 2022, 400,000 Underwriter Warrants have been exercised for 400,000 shares of common stock and gross proceeds of approximately $3.3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2021 Warrant Exercise Inducement Letters and Issuance of Warrants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January 26, 2021, the Company entered into warrant exercise inducement offer letters ( “January 2021 Inducement Transaction”) with certain holders of warrants issued in the Public Offering discussed above (the "Existing Warrants") (collectively, the “Exercising Holders”) pursuant to which such holders agreed to exercise for cash their Existing Warrants to purchase 6,620,358 shares of the Company’s common stock in exchange for the Company’s agreement to issue new warrants to purchase up to 7,944,430 shares of the Company’s common stock (the “January 2021 Inducement Warrants”) on substantially the same terms as the Existing Warrants. The Company received aggregate gross proceeds of approximately $44.0 million from the exercise of the Existing Warrants by the Exercising Holders and the sale of the January 2021 Inducement Warrants. The Company engaged Roth as its exclusive placement agent in connection with these transactions and paid Roth a fee equal to 6% of gross proceeds from the exercise of the Existing Warrants by the Exercising Holders and the sale of the January 2021 Inducement Warrants.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January 2021 Inducement Warrants were immediately exercisable and expire on the fifth anniversary of their issuance date. The January 2021 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January 2021 Inducement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warrants. A holder (together with its affiliates) may not exercise any portion of the January 2021 Inducement Warrant to the extent that the holder and its affiliates would own more than 4.99% (or, upon election by a holder prior to the issuance of its January 2021 Inducement Warrants, 9.99%) of the Company’s outstanding common stock immediately after exercise. Except as otherwise provided in the January 2021 Inducement Warrants or by virtue of such holder’s ownership of shares of the Company’s common stock, the holders of the January 2021 Inducement Warrants do not have the rights or privileges of holders of common stock with respect to the shares of common stock underlying the January 2021 Inducement Warrants, including any voting rights, until they exercise their January 2021 Inducement Warrants. The January 2021 Inducement Warrants provide that holders have the right to participate in distributions or dividends paid on the Company’s common stock. In the event of a fundamental transaction (as described in the January 2021 Inducement Warrants), the holders of the January 2021 Inducement Warrants will be entitled to receive upon exercise of the January 2021 Inducement Warrants the kind and amount of securities, cash or other property that the holders would have received had they exercised the January 2021 Inducement Warrants immediately prior to such fundamental transaction. In addition, in the event of a fundamental transaction which is approved by the Company’s board of directors, the holders of the January 2021 Inducement Warrants have the right to require the Company or a successor entity to redeem the January 2021 Inducement Warrants for cash in the amount of the Black Scholes value of the unexercised portion of the January 2021 Inducement Warrants on the date of the consummation of the fundamental transaction. In the event of a fundamental transaction which is not approved by the Company’s board of directors, the holders of the January 2021 Inducement Warrants have the right to require the Company or a successor entity to redeem the January 2021 Inducement Warrants in the amount of the Black Scholes value of the unexercised portion of the January 2021 Inducement Warrants on the date of the consummation of the fundamental transaction payable in the form of consideration paid to the holders of common stock in such fundamental transaction. As of December 31, 2022, 1,676,921 January 2021 Inducement Warrants have been exercised for 1,676,921 shares of common stock and gross proceeds of approximately $10.7 million. These amounts are exclusive of the January 2021 Inducement Warrants exercised as part of the June 2021 Inducement Transaction discussed below.</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accordance with the January 2021 Inducement Transaction we recognized a deemed dividend of $37.4 million for the year ended December 31, 2021, which is the difference between the grant date fair value of the January 2021 Inducement Warrants and the purchase price of the January 2021 Inducement Warrants. This deemed dividend is added to net loss to arrive at net loss attributable to common stockholders on the consolidated statements of operations.</w:t>
      </w:r>
    </w:p>
    <w:p>
      <w:pPr>
        <w:sectPr>
          <w:pgSz w:w="11900" w:h="16868" w:orient="portrait"/>
          <w:cols w:equalWidth="0" w:num="1">
            <w:col w:w="11240"/>
          </w:cols>
          <w:pgMar w:left="320" w:top="121" w:right="339" w:bottom="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133</w:t>
      </w:r>
    </w:p>
    <w:p>
      <w:pPr>
        <w:sectPr>
          <w:pgSz w:w="11900" w:h="16868" w:orient="portrait"/>
          <w:cols w:equalWidth="0" w:num="1">
            <w:col w:w="11240"/>
          </w:cols>
          <w:pgMar w:left="320" w:top="121" w:right="339" w:bottom="0" w:gutter="0" w:footer="0" w:header="0"/>
          <w:type w:val="continuous"/>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2021 Warrant Exercise Inducement Letters and Issuance of Warrants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June 18, 2021, the Company entered into warrant exercise inducement offer letters ( “June 2021 Inducement Transaction”) with certain holders of warrants issued in the January 2021 Inducement Transaction discussed above (the "January 2021 Inducement Warrants") (collectively, the “June 2021 Exercising Holders”) pursuant to which such holders agreed to exercise for cash their January 2021 Inducement Warrants to purchase 6,117,509 shares of the Company’s common stock in exchange for the Company’s agreement to issue new warrants to purchase up to 1,529,379 shares of the Company’s common stock (the “June 2021 Inducement Warrants”) on substantially the same terms as the January 2021 Inducement Warrants,. The Company received aggregate gross proceeds of approximately $39.1 million from the exercise of the January 2021 Inducement Warrants by the June 2021 Exercising Holders and the sale of the June 2021 Inducement Warrants. The Company engaged Roth as its exclusive placement agent in connection with these transactions and paid Roth a fee equal to 6% of gross proceeds from the exercise of the January 2021 Inducement Warrants by the June 2021 Exercising Holders and the sale of the June 2021 Inducement Warrants.</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June 2021 Inducement Warrants were immediately exercisable and expire on December 31, 2026. The June 2021 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June 2021 Inducement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warrants. A holder (together with its affiliates) may not exercise any portion of the June 2021 Inducement Warrant to the extent that the holder and its affiliates would own more than 4.99% (or, upon election by a holder prior to the issuance of its June 2021 Inducement Warrants, 9.99%) of the Company’s outstanding common stock immediately after exercise. Except as otherwise provided in the June 2021 Inducement Warrants or by virtue of such holder’s ownership of shares of the Company’s common stock, the holders of the June 2021 Inducement Warrants do not have the rights or privileges of holders of common stock with respect to the shares of common stock underlying the June 2021 Inducement Warrants, including any voting rights, until they exercise their June 2021 Inducement Warrants. The June 2021 Inducement Warrants provide that holders have the right to participate in distributions or dividends paid on the Company’s common stock. In the event of a fundamental transaction (as described in the June 2021 Inducement Warrants), the holders of the June 2021 Inducement Warrants will be entitled to receive upon exercise of the June 2021 Inducement Warrants the kind and amount of securities, cash or other property that the holders would have received had they exercised the June 2021 Inducement Warrants immediately prior to such fundamental transaction. In addition, in the event of a fundamental transaction which is approved by the Company’s board of directors, the holders of the June 2021 Inducement Warrants have the right to require the Company or a successor entity to redeem the June 2021 Inducement Warrants for cash in the amount of the Black Scholes value of the unexercised portion of the June 2021 Inducement Warrants on the date of the consummation of the fundamental transaction. In the event of a fundamental transaction which is not approved by the Company’s board of directors, the holders of the June 2021 Inducement Warrants have the right to require the Company or a successor entity to redeem the June 2021 Inducement Warrants in the amount of the Black Scholes value of the unexercised portion of the June 2021 Inducement Warrants on the date of the consummation of the fundamental transaction payable in the form of consideration paid to the holders of common stock in such fundamental transaction. As of December 31, 2022, and 2021, no June 2021 Inducement Warrants have been exercised.</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accordance with the June 2021 Inducement Transaction, we recognized a deemed dividend of $16.9 million for the year ended December 31, 2021, which is the difference between the grant date fair value of the June 2021 Inducement Warrants and the purchase price of the June 2021 Inducement Warrants. This deemed dividend is added to net loss to arrive at net loss attributable to common stockholders on the consolidated statements of operations.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700" w:hanging="674"/>
        <w:spacing w:after="0"/>
        <w:tabs>
          <w:tab w:leader="none" w:pos="7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19"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The Company maintains a stock-based compensation plan (the “Incentive Stock Plan”) that governs stock awards made to employees and directors prior to completion of the IPO.</w:t>
      </w:r>
    </w:p>
    <w:p>
      <w:pPr>
        <w:spacing w:after="0" w:line="163"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8"/>
          <w:szCs w:val="18"/>
          <w:color w:val="auto"/>
        </w:rPr>
        <w:t>In November 2014, the Board of Directors of the Company ("the Board"), and in April 2015, the Company’s stockholders, approved the Company’s 2014 Equity Incentive Plan (the “2014 Plan”), which became effective in April 2015. The 2014 Plan provides for the grant of stock options, other</w:t>
      </w:r>
    </w:p>
    <w:p>
      <w:pPr>
        <w:jc w:val="both"/>
        <w:ind w:left="20"/>
        <w:spacing w:after="0" w:line="262" w:lineRule="auto"/>
        <w:rPr>
          <w:sz w:val="20"/>
          <w:szCs w:val="20"/>
          <w:color w:val="auto"/>
        </w:rPr>
      </w:pPr>
      <w:r>
        <w:rPr>
          <w:rFonts w:ascii="Times New Roman" w:cs="Times New Roman" w:eastAsia="Times New Roman" w:hAnsi="Times New Roman"/>
          <w:sz w:val="17"/>
          <w:szCs w:val="17"/>
          <w:color w:val="auto"/>
        </w:rPr>
        <w:t>forms of equity compensation, and performance cash awards. In June 2021, the Company's stockholders approved an Amended and Restated 2014 Equity Incentive Plan (the "A&amp;R 2014 Plan"), following its adoption by the Board in April 2021, which among other things 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is 6,889,885 as of December 31, 2022. The number of shares of common stock reserved for issuance under the A&amp;R 2014 Plan will automatically increase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A&amp;R 2014 Plan, on January 1, 2023, the common stock reserved for issuance under the A&amp;R 2014 Plan automatically increased by 1,381,612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2022, and 2021, no stock options were exercised.</w:t>
      </w:r>
    </w:p>
    <w:p>
      <w:pPr>
        <w:spacing w:after="0" w:line="21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June 2021, the Company's stockholders approved an Employee Stock Purchase Plan (the "ESPP"), following its adoption by the Board in April 2021. The maximum number of shares of common stock that may be issued under the ESPP is 1,500,000. The first offering period under the ESPP began on October 1, 2021, and the first purchase date occurred on May 31, 2022. As of December 31, 2022, 82,635 shares have been issued under the ESPP.</w:t>
      </w:r>
    </w:p>
    <w:p>
      <w:pPr>
        <w:spacing w:after="0" w:line="178"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In January 2023, our Board approved the 2023 Employment Inducement Award Plan (“2023 Plan”). The maximum number of shares of common stock that may be issued under the 2023 Plan is 1,500,000.</w:t>
      </w:r>
    </w:p>
    <w:p>
      <w:pPr>
        <w:spacing w:after="0" w:line="163" w:lineRule="exact"/>
        <w:rPr>
          <w:sz w:val="20"/>
          <w:szCs w:val="20"/>
          <w:color w:val="auto"/>
        </w:rPr>
      </w:pPr>
    </w:p>
    <w:p>
      <w:pPr>
        <w:ind w:left="20" w:right="140"/>
        <w:spacing w:after="0" w:line="274" w:lineRule="auto"/>
        <w:rPr>
          <w:sz w:val="20"/>
          <w:szCs w:val="20"/>
          <w:color w:val="auto"/>
        </w:rPr>
      </w:pPr>
      <w:r>
        <w:rPr>
          <w:rFonts w:ascii="Times New Roman" w:cs="Times New Roman" w:eastAsia="Times New Roman" w:hAnsi="Times New Roman"/>
          <w:sz w:val="18"/>
          <w:szCs w:val="18"/>
          <w:color w:val="auto"/>
        </w:rPr>
        <w:t>Stock-based compensation expense recorded under the Incentive Stock Plan, 2014 Plan, A&amp;R 2014 Plan, and ESPP is included in the following line items in the accompanying consolidated statements of operations (in thousands):</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05"/>
        </w:trPr>
        <w:tc>
          <w:tcPr>
            <w:tcW w:w="11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36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Research and development</w:t>
            </w:r>
          </w:p>
        </w:tc>
        <w:tc>
          <w:tcPr>
            <w:tcW w:w="300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1,443</w:t>
            </w:r>
          </w:p>
        </w:tc>
        <w:tc>
          <w:tcPr>
            <w:tcW w:w="340" w:type="dxa"/>
            <w:vAlign w:val="bottom"/>
            <w:gridSpan w:val="2"/>
            <w:shd w:val="clear" w:color="auto" w:fill="CCEEFF"/>
          </w:tcPr>
          <w:p>
            <w:pPr>
              <w:jc w:val="right"/>
              <w:ind w:right="1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914</w:t>
            </w:r>
          </w:p>
        </w:tc>
        <w:tc>
          <w:tcPr>
            <w:tcW w:w="112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2,851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120" w:type="dxa"/>
            <w:vAlign w:val="bottom"/>
          </w:tcPr>
          <w:p>
            <w:pPr>
              <w:spacing w:after="0"/>
              <w:rPr>
                <w:sz w:val="18"/>
                <w:szCs w:val="18"/>
                <w:color w:val="auto"/>
              </w:rPr>
            </w:pPr>
          </w:p>
        </w:tc>
      </w:tr>
      <w:tr>
        <w:trPr>
          <w:trHeight w:val="245"/>
        </w:trPr>
        <w:tc>
          <w:tcPr>
            <w:tcW w:w="1140" w:type="dxa"/>
            <w:vAlign w:val="bottom"/>
          </w:tcPr>
          <w:p>
            <w:pPr>
              <w:spacing w:after="0"/>
              <w:rPr>
                <w:sz w:val="21"/>
                <w:szCs w:val="21"/>
                <w:color w:val="auto"/>
              </w:rPr>
            </w:pPr>
          </w:p>
        </w:tc>
        <w:tc>
          <w:tcPr>
            <w:tcW w:w="36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300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4,294</w:t>
            </w:r>
          </w:p>
        </w:tc>
        <w:tc>
          <w:tcPr>
            <w:tcW w:w="340" w:type="dxa"/>
            <w:vAlign w:val="bottom"/>
            <w:gridSpan w:val="2"/>
            <w:shd w:val="clear" w:color="auto" w:fill="CCEEFF"/>
          </w:tcPr>
          <w:p>
            <w:pPr>
              <w:jc w:val="right"/>
              <w:ind w:right="1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2,436</w:t>
            </w:r>
          </w:p>
        </w:tc>
        <w:tc>
          <w:tcPr>
            <w:tcW w:w="1120" w:type="dxa"/>
            <w:vAlign w:val="bottom"/>
          </w:tcPr>
          <w:p>
            <w:pPr>
              <w:spacing w:after="0"/>
              <w:rPr>
                <w:sz w:val="21"/>
                <w:szCs w:val="21"/>
                <w:color w:val="auto"/>
              </w:rPr>
            </w:pPr>
          </w:p>
        </w:tc>
      </w:tr>
      <w:tr>
        <w:trPr>
          <w:trHeight w:val="405"/>
        </w:trPr>
        <w:tc>
          <w:tcPr>
            <w:tcW w:w="1140" w:type="dxa"/>
            <w:vAlign w:val="bottom"/>
          </w:tcPr>
          <w:p>
            <w:pPr>
              <w:spacing w:after="0"/>
              <w:rPr>
                <w:sz w:val="24"/>
                <w:szCs w:val="24"/>
                <w:color w:val="auto"/>
              </w:rPr>
            </w:pPr>
          </w:p>
        </w:tc>
        <w:tc>
          <w:tcPr>
            <w:tcW w:w="3600" w:type="dxa"/>
            <w:vAlign w:val="bottom"/>
            <w:tcBorders>
              <w:top w:val="single" w:sz="8" w:color="CCEEFF"/>
            </w:tcBorders>
          </w:tcPr>
          <w:p>
            <w:pPr>
              <w:spacing w:after="0"/>
              <w:rPr>
                <w:sz w:val="24"/>
                <w:szCs w:val="24"/>
                <w:color w:val="auto"/>
              </w:rPr>
            </w:pPr>
          </w:p>
        </w:tc>
        <w:tc>
          <w:tcPr>
            <w:tcW w:w="2800" w:type="dxa"/>
            <w:vAlign w:val="bottom"/>
            <w:tcBorders>
              <w:top w:val="single" w:sz="8" w:color="CCEEFF"/>
            </w:tcBorders>
          </w:tcPr>
          <w:p>
            <w:pPr>
              <w:jc w:val="right"/>
              <w:ind w:right="1692"/>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11"/>
        </w:trPr>
        <w:tc>
          <w:tcPr>
            <w:tcW w:w="114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60"/>
          </w:cols>
          <w:pgMar w:left="30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estimates the fair value of stock options using the Black-Scholes option-pricing model, which requires the use of subjective assumptions, including the expected term of the option,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the Company uses the simplified method to estimate the expected term for its “plain vanilla” stock options. Under the simplified method, the expected term of an option is presumed to be the mid-point between the vesting date and the end of the contractual term. Some options, for example those that have exercise prices in excess of the fair value of the underlying stock, are not considered “plain vanilla” stock options. For these options, the Company uses an expected term equal to the contractual term of the option. Expected volatility is based on the Company’s historical volatility over the estimated expected term of the stock options. The Company assumes no dividend yield because dividends are not expected to be paid in the near future, which is consistent with the Company’s history of not paying dividends.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recognizes compensation expense related to stock-based payment transactions upon satisfaction of the requisite service or vesting requirements. Forfeitures are estimated at the time of grant and revised based on actual forfeitures, if necessary, in subsequent periods if actual forfeitures differ from those estimates.</w:t>
      </w:r>
    </w:p>
    <w:p>
      <w:pPr>
        <w:spacing w:after="0" w:line="178"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Using the Black-Scholes option-pricing model, the weighted-average fair value of awards granted during the years ended December 31, 22 and 2021, fair value was $5.01 and $7.53 per share, respectively. The assumptions used to estimate fair value are as follows:</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7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5"/>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360" w:type="dxa"/>
            <w:vAlign w:val="bottom"/>
            <w:tcBorders>
              <w:bottom w:val="single" w:sz="8" w:color="auto"/>
            </w:tcBorders>
            <w:gridSpan w:val="2"/>
          </w:tcPr>
          <w:p>
            <w:pPr>
              <w:jc w:val="right"/>
              <w:ind w:right="41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7"/>
                <w:szCs w:val="17"/>
                <w:color w:val="auto"/>
              </w:rPr>
            </w:pPr>
          </w:p>
        </w:tc>
        <w:tc>
          <w:tcPr>
            <w:tcW w:w="1340" w:type="dxa"/>
            <w:vAlign w:val="bottom"/>
            <w:tcBorders>
              <w:bottom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05"/>
        </w:trPr>
        <w:tc>
          <w:tcPr>
            <w:tcW w:w="20" w:type="dxa"/>
            <w:vAlign w:val="bottom"/>
          </w:tcPr>
          <w:p>
            <w:pPr>
              <w:spacing w:after="0"/>
              <w:rPr>
                <w:sz w:val="17"/>
                <w:szCs w:val="17"/>
                <w:color w:val="auto"/>
              </w:rPr>
            </w:pPr>
          </w:p>
        </w:tc>
        <w:tc>
          <w:tcPr>
            <w:tcW w:w="62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1.70%</w:t>
            </w:r>
          </w:p>
        </w:tc>
        <w:tc>
          <w:tcPr>
            <w:tcW w:w="7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- 3.80%</w:t>
            </w:r>
          </w:p>
        </w:tc>
        <w:tc>
          <w:tcPr>
            <w:tcW w:w="1420" w:type="dxa"/>
            <w:vAlign w:val="bottom"/>
            <w:gridSpan w:val="3"/>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0.92% - 1.55%</w:t>
            </w:r>
          </w:p>
        </w:tc>
      </w:tr>
      <w:tr>
        <w:trPr>
          <w:trHeight w:val="212"/>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- 10.00</w:t>
            </w:r>
          </w:p>
        </w:tc>
      </w:tr>
      <w:tr>
        <w:trPr>
          <w:trHeight w:val="212"/>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- 98.91%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- 102.57%</w:t>
            </w:r>
          </w:p>
        </w:tc>
      </w:tr>
      <w:tr>
        <w:trPr>
          <w:trHeight w:val="231"/>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20" w:type="dxa"/>
            <w:vAlign w:val="bottom"/>
          </w:tcPr>
          <w:p>
            <w:pPr>
              <w:spacing w:after="0"/>
              <w:rPr>
                <w:sz w:val="20"/>
                <w:szCs w:val="20"/>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under the Incentive Stock Plan, 2014 Plan and A&amp;R 2014 Plan for the year ended December 31, 2022, is summarized as follows:</w:t>
      </w:r>
    </w:p>
    <w:p>
      <w:pPr>
        <w:spacing w:after="0" w:line="215"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Intrinsic</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Contractual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Outstanding balance at January 1, 2022</w:t>
            </w:r>
          </w:p>
        </w:tc>
        <w:tc>
          <w:tcPr>
            <w:tcW w:w="12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1,273,879</w:t>
            </w:r>
          </w:p>
        </w:tc>
        <w:tc>
          <w:tcPr>
            <w:tcW w:w="280" w:type="dxa"/>
            <w:vAlign w:val="bottom"/>
            <w:gridSpan w:val="3"/>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27.58</w:t>
            </w:r>
          </w:p>
        </w:tc>
        <w:tc>
          <w:tcPr>
            <w:tcW w:w="140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8.73</w:t>
            </w:r>
          </w:p>
        </w:tc>
        <w:tc>
          <w:tcPr>
            <w:tcW w:w="320" w:type="dxa"/>
            <w:vAlign w:val="bottom"/>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254,207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1,434,245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 or released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Canceled or 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245,593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Outstanding balance at December 31, 2022</w:t>
            </w:r>
          </w:p>
        </w:tc>
        <w:tc>
          <w:tcPr>
            <w:tcW w:w="12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2,456,407</w:t>
            </w:r>
          </w:p>
        </w:tc>
        <w:tc>
          <w:tcPr>
            <w:tcW w:w="100" w:type="dxa"/>
            <w:vAlign w:val="bottom"/>
            <w:tcBorders>
              <w:bottom w:val="single" w:sz="8" w:color="auto"/>
            </w:tcBorders>
          </w:tcPr>
          <w:p>
            <w:pPr>
              <w:spacing w:after="0"/>
              <w:rPr>
                <w:sz w:val="17"/>
                <w:szCs w:val="17"/>
                <w:color w:val="auto"/>
              </w:rPr>
            </w:pPr>
          </w:p>
        </w:tc>
        <w:tc>
          <w:tcPr>
            <w:tcW w:w="1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16.84</w:t>
            </w:r>
          </w:p>
        </w:tc>
        <w:tc>
          <w:tcPr>
            <w:tcW w:w="140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8.51</w:t>
            </w:r>
          </w:p>
        </w:tc>
        <w:tc>
          <w:tcPr>
            <w:tcW w:w="320" w:type="dxa"/>
            <w:vAlign w:val="bottom"/>
            <w:gridSpan w:val="2"/>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11,819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Exercisable at December 31, 2022</w:t>
            </w:r>
          </w:p>
        </w:tc>
        <w:tc>
          <w:tcPr>
            <w:tcW w:w="12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615,001</w:t>
            </w:r>
          </w:p>
        </w:tc>
        <w:tc>
          <w:tcPr>
            <w:tcW w:w="280" w:type="dxa"/>
            <w:vAlign w:val="bottom"/>
            <w:gridSpan w:val="3"/>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44.52</w:t>
            </w:r>
          </w:p>
        </w:tc>
        <w:tc>
          <w:tcPr>
            <w:tcW w:w="140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6.99</w:t>
            </w:r>
          </w:p>
        </w:tc>
        <w:tc>
          <w:tcPr>
            <w:tcW w:w="320" w:type="dxa"/>
            <w:vAlign w:val="bottom"/>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2,722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tcBorders>
              <w:top w:val="single" w:sz="8" w:color="CCEEFF"/>
            </w:tcBorders>
          </w:tcPr>
          <w:p>
            <w:pPr>
              <w:spacing w:after="0" w:line="187" w:lineRule="exact"/>
              <w:rPr>
                <w:sz w:val="20"/>
                <w:szCs w:val="20"/>
                <w:color w:val="auto"/>
              </w:rPr>
            </w:pPr>
            <w:r>
              <w:rPr>
                <w:rFonts w:ascii="Times New Roman" w:cs="Times New Roman" w:eastAsia="Times New Roman" w:hAnsi="Times New Roman"/>
                <w:sz w:val="18"/>
                <w:szCs w:val="18"/>
                <w:color w:val="auto"/>
              </w:rPr>
              <w:t>Vested and expected to vest at December 31,</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2,375,700</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2022</w:t>
            </w:r>
          </w:p>
        </w:tc>
        <w:tc>
          <w:tcPr>
            <w:tcW w:w="1260" w:type="dxa"/>
            <w:vAlign w:val="bottom"/>
            <w:vMerge w:val="continue"/>
          </w:tcPr>
          <w:p>
            <w:pPr>
              <w:spacing w:after="0"/>
              <w:rPr>
                <w:sz w:val="16"/>
                <w:szCs w:val="16"/>
                <w:color w:val="auto"/>
              </w:rPr>
            </w:pPr>
          </w:p>
        </w:tc>
        <w:tc>
          <w:tcPr>
            <w:tcW w:w="28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17.15</w:t>
            </w:r>
          </w:p>
        </w:tc>
        <w:tc>
          <w:tcPr>
            <w:tcW w:w="14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8.49</w:t>
            </w:r>
          </w:p>
        </w:tc>
        <w:tc>
          <w:tcPr>
            <w:tcW w:w="32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11,628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currently outstanding and exercisable options as of December 31, 2022, is as follows:</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232"/>
        </w:trPr>
        <w:tc>
          <w:tcPr>
            <w:tcW w:w="3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00" w:type="dxa"/>
            <w:vAlign w:val="bottom"/>
          </w:tcPr>
          <w:p>
            <w:pPr>
              <w:spacing w:after="0"/>
              <w:rPr>
                <w:sz w:val="20"/>
                <w:szCs w:val="20"/>
                <w:color w:val="auto"/>
              </w:rPr>
            </w:pPr>
          </w:p>
        </w:tc>
        <w:tc>
          <w:tcPr>
            <w:tcW w:w="256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85"/>
        </w:trPr>
        <w:tc>
          <w:tcPr>
            <w:tcW w:w="3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6"/>
              </w:rPr>
              <w:t>Weighted Avg</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4"/>
              </w:rPr>
              <w:t>Weighted Avg</w:t>
            </w:r>
          </w:p>
        </w:tc>
      </w:tr>
      <w:tr>
        <w:trPr>
          <w:trHeight w:val="212"/>
        </w:trPr>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100" w:type="dxa"/>
            <w:vAlign w:val="bottom"/>
          </w:tcPr>
          <w:p>
            <w:pPr>
              <w:spacing w:after="0"/>
              <w:rPr>
                <w:sz w:val="18"/>
                <w:szCs w:val="18"/>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12"/>
        </w:trPr>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Contractual</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32"/>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r>
      <w:tr>
        <w:trPr>
          <w:trHeight w:val="205"/>
        </w:trPr>
        <w:tc>
          <w:tcPr>
            <w:tcW w:w="3680" w:type="dxa"/>
            <w:vAlign w:val="bottom"/>
            <w:gridSpan w:val="2"/>
            <w:shd w:val="clear" w:color="auto" w:fill="CCEEFF"/>
          </w:tcPr>
          <w:p>
            <w:pPr>
              <w:jc w:val="center"/>
              <w:ind w:right="80"/>
              <w:spacing w:after="0" w:line="205" w:lineRule="exact"/>
              <w:rPr>
                <w:sz w:val="20"/>
                <w:szCs w:val="20"/>
                <w:color w:val="auto"/>
              </w:rPr>
            </w:pPr>
            <w:r>
              <w:rPr>
                <w:rFonts w:ascii="Times New Roman" w:cs="Times New Roman" w:eastAsia="Times New Roman" w:hAnsi="Times New Roman"/>
                <w:sz w:val="18"/>
                <w:szCs w:val="18"/>
                <w:color w:val="auto"/>
                <w:w w:val="98"/>
              </w:rPr>
              <w:t>$2.848 to $10.00</w:t>
            </w:r>
          </w:p>
        </w:tc>
        <w:tc>
          <w:tcPr>
            <w:tcW w:w="128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2,175,436</w:t>
            </w:r>
          </w:p>
        </w:tc>
        <w:tc>
          <w:tcPr>
            <w:tcW w:w="136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8.90</w:t>
            </w:r>
          </w:p>
        </w:tc>
        <w:tc>
          <w:tcPr>
            <w:tcW w:w="134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351,151</w:t>
            </w:r>
          </w:p>
        </w:tc>
        <w:tc>
          <w:tcPr>
            <w:tcW w:w="13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8.19</w:t>
            </w:r>
          </w:p>
        </w:tc>
      </w:tr>
      <w:tr>
        <w:trPr>
          <w:trHeight w:val="212"/>
        </w:trPr>
        <w:tc>
          <w:tcPr>
            <w:tcW w:w="3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$10.01 to $30.00</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69,375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12"/>
        </w:trPr>
        <w:tc>
          <w:tcPr>
            <w:tcW w:w="3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$30.01 to $50.00</w:t>
            </w: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68,514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12"/>
        </w:trPr>
        <w:tc>
          <w:tcPr>
            <w:tcW w:w="3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$50.01 to $70.00</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41,866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5"/>
        </w:trPr>
        <w:tc>
          <w:tcPr>
            <w:tcW w:w="3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$70.01 to $327.20</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101,216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05"/>
        </w:trPr>
        <w:tc>
          <w:tcPr>
            <w:tcW w:w="3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b w:val="1"/>
                <w:bCs w:val="1"/>
                <w:color w:val="auto"/>
              </w:rPr>
              <w:t>2,456,407</w:t>
            </w:r>
          </w:p>
        </w:tc>
        <w:tc>
          <w:tcPr>
            <w:tcW w:w="13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8.51</w:t>
            </w:r>
          </w:p>
        </w:tc>
        <w:tc>
          <w:tcPr>
            <w:tcW w:w="13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615,001</w:t>
            </w:r>
          </w:p>
        </w:tc>
        <w:tc>
          <w:tcPr>
            <w:tcW w:w="13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6.99</w:t>
            </w:r>
          </w:p>
        </w:tc>
      </w:tr>
      <w:tr>
        <w:trPr>
          <w:trHeight w:val="20"/>
        </w:trPr>
        <w:tc>
          <w:tcPr>
            <w:tcW w:w="3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stock options vested during the years ended December 31, 2022 and 2021, was $3.7 million and $2.0 million, respectively.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Unvested stock options as of December 31, 2022 and 2021, were as follows: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Number of Unvested Options</w:t>
            </w:r>
          </w:p>
        </w:tc>
        <w:tc>
          <w:tcPr>
            <w:tcW w:w="0" w:type="dxa"/>
            <w:vAlign w:val="bottom"/>
          </w:tcPr>
          <w:p>
            <w:pPr>
              <w:spacing w:after="0"/>
              <w:rPr>
                <w:sz w:val="1"/>
                <w:szCs w:val="1"/>
                <w:color w:val="auto"/>
              </w:rPr>
            </w:pPr>
          </w:p>
        </w:tc>
      </w:tr>
      <w:tr>
        <w:trPr>
          <w:trHeight w:val="205"/>
        </w:trPr>
        <w:tc>
          <w:tcPr>
            <w:tcW w:w="7520" w:type="dxa"/>
            <w:vAlign w:val="bottom"/>
            <w:gridSpan w:val="3"/>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600" w:type="dxa"/>
            <w:vAlign w:val="bottom"/>
            <w:tcBorders>
              <w:bottom w:val="single" w:sz="8" w:color="auto"/>
            </w:tcBorders>
            <w:gridSpan w:val="5"/>
          </w:tcPr>
          <w:p>
            <w:pPr>
              <w:jc w:val="center"/>
              <w:ind w:right="20"/>
              <w:spacing w:after="0" w:line="205"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05"/>
        </w:trPr>
        <w:tc>
          <w:tcPr>
            <w:tcW w:w="7520" w:type="dxa"/>
            <w:vAlign w:val="bottom"/>
            <w:gridSpan w:val="3"/>
            <w:vMerge w:val="continue"/>
          </w:tcPr>
          <w:p>
            <w:pPr>
              <w:spacing w:after="0"/>
              <w:rPr>
                <w:sz w:val="17"/>
                <w:szCs w:val="17"/>
                <w:color w:val="auto"/>
              </w:rPr>
            </w:pPr>
          </w:p>
        </w:tc>
        <w:tc>
          <w:tcPr>
            <w:tcW w:w="1180" w:type="dxa"/>
            <w:vAlign w:val="bottom"/>
          </w:tcPr>
          <w:p>
            <w:pPr>
              <w:jc w:val="right"/>
              <w:ind w:right="29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1240" w:type="dxa"/>
            <w:vAlign w:val="bottom"/>
            <w:gridSpan w:val="2"/>
          </w:tcPr>
          <w:p>
            <w:pPr>
              <w:jc w:val="right"/>
              <w:ind w:right="27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628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$2.848 to $10.00</w:t>
            </w:r>
          </w:p>
        </w:tc>
        <w:tc>
          <w:tcPr>
            <w:tcW w:w="10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1,824,285</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861,139</w:t>
            </w: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$10.01 to $30.00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$30.01 to $50.00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$50.01 to $70.00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$70.01 to $327.20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20" w:type="dxa"/>
            <w:vAlign w:val="bottom"/>
            <w:gridSpan w:val="3"/>
          </w:tcPr>
          <w:p>
            <w:pPr>
              <w:ind w:left="1120"/>
              <w:spacing w:after="0" w:line="205" w:lineRule="exact"/>
              <w:rPr>
                <w:sz w:val="20"/>
                <w:szCs w:val="20"/>
                <w:color w:val="auto"/>
              </w:rPr>
            </w:pPr>
            <w:r>
              <w:rPr>
                <w:rFonts w:ascii="Times New Roman" w:cs="Times New Roman" w:eastAsia="Times New Roman" w:hAnsi="Times New Roman"/>
                <w:sz w:val="18"/>
                <w:szCs w:val="18"/>
                <w:color w:val="auto"/>
              </w:rPr>
              <w:t>Total number of unvested stock options</w:t>
            </w:r>
          </w:p>
        </w:tc>
        <w:tc>
          <w:tcPr>
            <w:tcW w:w="1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1,841,406</w:t>
            </w:r>
          </w:p>
        </w:tc>
        <w:tc>
          <w:tcPr>
            <w:tcW w:w="100" w:type="dxa"/>
            <w:vAlign w:val="bottom"/>
          </w:tcPr>
          <w:p>
            <w:pPr>
              <w:spacing w:after="0"/>
              <w:rPr>
                <w:sz w:val="17"/>
                <w:szCs w:val="17"/>
                <w:color w:val="auto"/>
              </w:rPr>
            </w:pPr>
          </w:p>
        </w:tc>
        <w:tc>
          <w:tcPr>
            <w:tcW w:w="12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966,664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As of December 31, 2022, there was $8.2 million of total unrecognized compensation cost related to unvested share-based compensation arrangements granted under the 2014 Plan and A&amp;R 2014 Plan. That compensation cost is expected to be recognized over a weighted-average period of 2.82 years. There was $0.4 million and $0.4 million</w:t>
      </w:r>
    </w:p>
    <w:p>
      <w:pPr>
        <w:sectPr>
          <w:pgSz w:w="11900" w:h="16838" w:orient="portrait"/>
          <w:cols w:equalWidth="0" w:num="1">
            <w:col w:w="11240"/>
          </w:cols>
          <w:pgMar w:left="320" w:top="121" w:right="339" w:bottom="0" w:gutter="0" w:footer="0" w:header="0"/>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w:t>
      </w:r>
    </w:p>
    <w:p>
      <w:pPr>
        <w:sectPr>
          <w:pgSz w:w="11900" w:h="16838" w:orient="portrait"/>
          <w:cols w:equalWidth="0" w:num="1">
            <w:col w:w="11240"/>
          </w:cols>
          <w:pgMar w:left="320" w:top="121" w:right="339" w:bottom="0" w:gutter="0" w:footer="0" w:header="0"/>
          <w:type w:val="continuous"/>
        </w:sectPr>
      </w:pPr>
    </w:p>
    <w:bookmarkStart w:id="143" w:name="page144"/>
    <w:bookmarkEnd w:id="143"/>
    <w:p>
      <w:pPr>
        <w:ind w:right="2539"/>
        <w:spacing w:after="0" w:line="271" w:lineRule="auto"/>
        <w:rPr>
          <w:sz w:val="20"/>
          <w:szCs w:val="20"/>
          <w:color w:val="auto"/>
        </w:rPr>
      </w:pPr>
      <w:r>
        <w:rPr>
          <w:rFonts w:ascii="Times New Roman" w:cs="Times New Roman" w:eastAsia="Times New Roman" w:hAnsi="Times New Roman"/>
          <w:sz w:val="18"/>
          <w:szCs w:val="18"/>
          <w:color w:val="auto"/>
        </w:rPr>
        <w:t xml:space="preserve">stock-based compensation expense related to performance-based awards recognized during the years ended </w:t>
      </w:r>
      <w:r>
        <w:rPr>
          <w:rFonts w:ascii="Times New Roman" w:cs="Times New Roman" w:eastAsia="Times New Roman" w:hAnsi="Times New Roman"/>
          <w:sz w:val="21"/>
          <w:szCs w:val="21"/>
          <w:color w:val="auto"/>
        </w:rPr>
        <w:t xml:space="preserve">December 31, 2022, and </w:t>
      </w:r>
      <w:r>
        <w:rPr>
          <w:rFonts w:ascii="Times New Roman" w:cs="Times New Roman" w:eastAsia="Times New Roman" w:hAnsi="Times New Roman"/>
          <w:sz w:val="17"/>
          <w:szCs w:val="17"/>
          <w:color w:val="auto"/>
        </w:rPr>
        <w:t>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4" w:name="page145"/>
    <w:bookmarkEnd w:id="14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700" w:hanging="674"/>
        <w:spacing w:after="0"/>
        <w:tabs>
          <w:tab w:leader="none" w:pos="7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19" w:lineRule="exact"/>
        <w:rPr>
          <w:sz w:val="20"/>
          <w:szCs w:val="20"/>
          <w:color w:val="auto"/>
        </w:rPr>
      </w:pPr>
    </w:p>
    <w:p>
      <w:pPr>
        <w:jc w:val="both"/>
        <w:ind w:left="20" w:right="100"/>
        <w:spacing w:after="0" w:line="255" w:lineRule="auto"/>
        <w:rPr>
          <w:sz w:val="20"/>
          <w:szCs w:val="20"/>
          <w:color w:val="auto"/>
        </w:rPr>
      </w:pPr>
      <w:r>
        <w:rPr>
          <w:rFonts w:ascii="Times New Roman" w:cs="Times New Roman" w:eastAsia="Times New Roman" w:hAnsi="Times New Roman"/>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80" w:lineRule="exact"/>
        <w:rPr>
          <w:sz w:val="20"/>
          <w:szCs w:val="20"/>
          <w:color w:val="auto"/>
        </w:rPr>
      </w:pPr>
    </w:p>
    <w:p>
      <w:pPr>
        <w:jc w:val="both"/>
        <w:ind w:left="20" w:right="100"/>
        <w:spacing w:after="0" w:line="282" w:lineRule="auto"/>
        <w:rPr>
          <w:sz w:val="20"/>
          <w:szCs w:val="20"/>
          <w:color w:val="auto"/>
        </w:rPr>
      </w:pPr>
      <w:r>
        <w:rPr>
          <w:rFonts w:ascii="Times New Roman" w:cs="Times New Roman" w:eastAsia="Times New Roman" w:hAnsi="Times New Roman"/>
          <w:sz w:val="17"/>
          <w:szCs w:val="17"/>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●Level 1—Observable inputs that reflect quoted market prices (unadjusted) for identical assets or liabilities in active markets;</w:t>
      </w:r>
    </w:p>
    <w:p>
      <w:pPr>
        <w:spacing w:after="0" w:line="24" w:lineRule="exact"/>
        <w:rPr>
          <w:sz w:val="20"/>
          <w:szCs w:val="20"/>
          <w:color w:val="auto"/>
        </w:rPr>
      </w:pPr>
    </w:p>
    <w:p>
      <w:pPr>
        <w:ind w:left="200" w:right="100" w:hanging="118"/>
        <w:spacing w:after="0" w:line="245" w:lineRule="auto"/>
        <w:rPr>
          <w:sz w:val="20"/>
          <w:szCs w:val="20"/>
          <w:color w:val="auto"/>
        </w:rPr>
      </w:pPr>
      <w:r>
        <w:rPr>
          <w:rFonts w:ascii="Times New Roman" w:cs="Times New Roman" w:eastAsia="Times New Roman" w:hAnsi="Times New Roman"/>
          <w:sz w:val="18"/>
          <w:szCs w:val="18"/>
          <w:color w:val="auto"/>
        </w:rPr>
        <w:t>●Level 2—Observable inputs other than quoted prices in active markets that are observable either directly or indirectly in the marketplace for identical or similar assets and liabilities; and</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data, which require the Company to develop its own assumptions.</w:t>
      </w:r>
    </w:p>
    <w:p>
      <w:pPr>
        <w:spacing w:after="0" w:line="19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and accounts payable and accrued expenses, approximate thei respective fair values due to the short-term nature of such instruments.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1"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December 31, 2022 and 2021 (in thousands):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Quoted Prices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in Active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12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Balance at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Markets for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112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8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Identical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Inputs</w:t>
            </w:r>
          </w:p>
        </w:tc>
        <w:tc>
          <w:tcPr>
            <w:tcW w:w="1120" w:type="dxa"/>
            <w:vAlign w:val="bottom"/>
          </w:tcPr>
          <w:p>
            <w:pPr>
              <w:spacing w:after="0"/>
              <w:rPr>
                <w:sz w:val="18"/>
                <w:szCs w:val="18"/>
                <w:color w:val="auto"/>
              </w:rPr>
            </w:pPr>
          </w:p>
        </w:tc>
      </w:tr>
      <w:tr>
        <w:trPr>
          <w:trHeight w:val="232"/>
        </w:trPr>
        <w:tc>
          <w:tcPr>
            <w:tcW w:w="1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120" w:type="dxa"/>
            <w:vAlign w:val="bottom"/>
          </w:tcPr>
          <w:p>
            <w:pPr>
              <w:spacing w:after="0"/>
              <w:rPr>
                <w:sz w:val="20"/>
                <w:szCs w:val="20"/>
                <w:color w:val="auto"/>
              </w:rPr>
            </w:pPr>
          </w:p>
        </w:tc>
      </w:tr>
      <w:tr>
        <w:trPr>
          <w:trHeight w:val="205"/>
        </w:trPr>
        <w:tc>
          <w:tcPr>
            <w:tcW w:w="1140" w:type="dxa"/>
            <w:vAlign w:val="bottom"/>
          </w:tcPr>
          <w:p>
            <w:pPr>
              <w:spacing w:after="0"/>
              <w:rPr>
                <w:sz w:val="17"/>
                <w:szCs w:val="17"/>
                <w:color w:val="auto"/>
              </w:rPr>
            </w:pPr>
          </w:p>
        </w:tc>
        <w:tc>
          <w:tcPr>
            <w:tcW w:w="32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OTA Warrant liability</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328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20" w:type="dxa"/>
            <w:vAlign w:val="bottom"/>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32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212"/>
        </w:trPr>
        <w:tc>
          <w:tcPr>
            <w:tcW w:w="11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w w:val="98"/>
              </w:rPr>
              <w:t>U.S. government-sponsored agency securities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328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16,900</w:t>
            </w:r>
          </w:p>
        </w:tc>
        <w:tc>
          <w:tcPr>
            <w:tcW w:w="1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9,711</w:t>
            </w:r>
          </w:p>
        </w:tc>
        <w:tc>
          <w:tcPr>
            <w:tcW w:w="80" w:type="dxa"/>
            <w:vAlign w:val="bottom"/>
          </w:tcPr>
          <w:p>
            <w:pPr>
              <w:spacing w:after="0"/>
              <w:rPr>
                <w:sz w:val="17"/>
                <w:szCs w:val="17"/>
                <w:color w:val="auto"/>
              </w:rPr>
            </w:pPr>
          </w:p>
        </w:tc>
        <w:tc>
          <w:tcPr>
            <w:tcW w:w="220" w:type="dxa"/>
            <w:vAlign w:val="bottom"/>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7,189</w:t>
            </w:r>
          </w:p>
        </w:tc>
        <w:tc>
          <w:tcPr>
            <w:tcW w:w="80" w:type="dxa"/>
            <w:vAlign w:val="bottom"/>
          </w:tcPr>
          <w:p>
            <w:pPr>
              <w:spacing w:after="0"/>
              <w:rPr>
                <w:sz w:val="17"/>
                <w:szCs w:val="17"/>
                <w:color w:val="auto"/>
              </w:rPr>
            </w:pPr>
          </w:p>
        </w:tc>
        <w:tc>
          <w:tcPr>
            <w:tcW w:w="1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83"/>
        </w:trPr>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Quoted Prices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2"/>
        </w:trPr>
        <w:tc>
          <w:tcPr>
            <w:tcW w:w="1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in Active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12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6"/>
              </w:rPr>
              <w:t>Balance at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Markets for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112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8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Identical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Inputs</w:t>
            </w:r>
          </w:p>
        </w:tc>
        <w:tc>
          <w:tcPr>
            <w:tcW w:w="1120" w:type="dxa"/>
            <w:vAlign w:val="bottom"/>
          </w:tcPr>
          <w:p>
            <w:pPr>
              <w:spacing w:after="0"/>
              <w:rPr>
                <w:sz w:val="18"/>
                <w:szCs w:val="18"/>
                <w:color w:val="auto"/>
              </w:rPr>
            </w:pPr>
          </w:p>
        </w:tc>
      </w:tr>
      <w:tr>
        <w:trPr>
          <w:trHeight w:val="232"/>
        </w:trPr>
        <w:tc>
          <w:tcPr>
            <w:tcW w:w="1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120" w:type="dxa"/>
            <w:vAlign w:val="bottom"/>
          </w:tcPr>
          <w:p>
            <w:pPr>
              <w:spacing w:after="0"/>
              <w:rPr>
                <w:sz w:val="20"/>
                <w:szCs w:val="20"/>
                <w:color w:val="auto"/>
              </w:rPr>
            </w:pPr>
          </w:p>
        </w:tc>
      </w:tr>
      <w:tr>
        <w:trPr>
          <w:trHeight w:val="205"/>
        </w:trPr>
        <w:tc>
          <w:tcPr>
            <w:tcW w:w="1140" w:type="dxa"/>
            <w:vAlign w:val="bottom"/>
          </w:tcPr>
          <w:p>
            <w:pPr>
              <w:spacing w:after="0"/>
              <w:rPr>
                <w:sz w:val="17"/>
                <w:szCs w:val="17"/>
                <w:color w:val="auto"/>
              </w:rPr>
            </w:pPr>
          </w:p>
        </w:tc>
        <w:tc>
          <w:tcPr>
            <w:tcW w:w="32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OTA Warrant liability</w:t>
            </w:r>
          </w:p>
        </w:tc>
        <w:tc>
          <w:tcPr>
            <w:tcW w:w="20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288</w:t>
            </w:r>
          </w:p>
        </w:tc>
        <w:tc>
          <w:tcPr>
            <w:tcW w:w="1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Embedded Warrant Put Option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KVK Warrant liability</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328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330</w:t>
            </w:r>
          </w:p>
        </w:tc>
        <w:tc>
          <w:tcPr>
            <w:tcW w:w="1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20" w:type="dxa"/>
            <w:vAlign w:val="bottom"/>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7"/>
                <w:szCs w:val="17"/>
                <w:color w:val="auto"/>
              </w:rPr>
            </w:pPr>
          </w:p>
        </w:tc>
        <w:tc>
          <w:tcPr>
            <w:tcW w:w="1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65"/>
        </w:trPr>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1"/>
        </w:trPr>
        <w:tc>
          <w:tcPr>
            <w:tcW w:w="114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360"/>
          </w:cols>
          <w:pgMar w:left="300" w:top="121" w:right="239" w:bottom="1440" w:gutter="0" w:footer="0" w:header="0"/>
        </w:sectPr>
      </w:pPr>
    </w:p>
    <w:bookmarkStart w:id="145" w:name="page146"/>
    <w:bookmarkEnd w:id="14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both"/>
        <w:ind w:left="20" w:right="100"/>
        <w:spacing w:after="0" w:line="249" w:lineRule="auto"/>
        <w:rPr>
          <w:sz w:val="20"/>
          <w:szCs w:val="20"/>
          <w:color w:val="auto"/>
        </w:rPr>
      </w:pPr>
      <w:r>
        <w:rPr>
          <w:rFonts w:ascii="Times New Roman" w:cs="Times New Roman" w:eastAsia="Times New Roman" w:hAnsi="Times New Roman"/>
          <w:sz w:val="18"/>
          <w:szCs w:val="18"/>
          <w:color w:val="auto"/>
        </w:rPr>
        <w:t>The Company’s OTA Warrant liability, embedded Warrant Put Option and securities are measured at fair value on a recurring basis. As of December 31, 2022, and 2021, the OTA Warrant liability and embedded Warrant Put Option are reported on the accompanying consolidated balance sheets in derivative and warrant liability. As of December 31, 2022, and 2021, the securities are reported on the accompanying consolidated balance sheets in short-term and long-term investments. The Company used a Monte Carlo simulation to value the OTA Warrant liability and embedded Warrant Put Option for all periods presented herein. Significant unobservable inputs used in measuring the fair value of these financial instruments included the Company’s estimated enterprise value, an estimate of the timing of a liquidity or fundamental change event and a present value discount rate. Changes in the fair value of the OTA Warrant liability and embedded Warrant Put Option are reflected in the accompanying consolidated statements of operations for the years ended December 31, 2022, and 2021, as a fair value adjustment related to derivative and warrant liability.</w:t>
      </w:r>
    </w:p>
    <w:p>
      <w:pPr>
        <w:spacing w:after="0" w:line="190" w:lineRule="exact"/>
        <w:rPr>
          <w:sz w:val="20"/>
          <w:szCs w:val="20"/>
          <w:color w:val="auto"/>
        </w:rPr>
      </w:pPr>
    </w:p>
    <w:p>
      <w:pPr>
        <w:jc w:val="both"/>
        <w:ind w:left="20" w:right="100"/>
        <w:spacing w:after="0" w:line="251" w:lineRule="auto"/>
        <w:rPr>
          <w:sz w:val="20"/>
          <w:szCs w:val="20"/>
          <w:color w:val="auto"/>
        </w:rPr>
      </w:pPr>
      <w:r>
        <w:rPr>
          <w:rFonts w:ascii="Times New Roman" w:cs="Times New Roman" w:eastAsia="Times New Roman" w:hAnsi="Times New Roman"/>
          <w:sz w:val="18"/>
          <w:szCs w:val="18"/>
          <w:color w:val="auto"/>
        </w:rPr>
        <w:t>The derivative liability for the OTA Warrant was $1,000 and $288,000 at December 31, 2022, and 2021, respectively. The derivative liability for the embedded Warrant Put Option was $0 and $18,000 at December 31, 2022, and 2021, respectively. A 10% increase in the enterprise value would result in a negligible increase in the estimated fair value of the OTA Warrant liability and the estimated fair value of the embedded Warrant Put Option liability. In addition, the Company assumed a weighted-average probability of a liquidity event occurring of approximately 25% with an estimated probability-weighted value of approximately $30.0 million and a weighted-average probability of a fundamental change event occurring of approximately 28% with an estimated probability-weighted value of approximately $379 million, respectively, with estimated timing in each scenario of the fourth quarter of 2023.</w:t>
      </w:r>
    </w:p>
    <w:p>
      <w:pPr>
        <w:spacing w:after="0" w:line="185" w:lineRule="exact"/>
        <w:rPr>
          <w:sz w:val="20"/>
          <w:szCs w:val="20"/>
          <w:color w:val="auto"/>
        </w:rPr>
      </w:pPr>
    </w:p>
    <w:p>
      <w:pPr>
        <w:jc w:val="both"/>
        <w:ind w:left="20" w:right="100"/>
        <w:spacing w:after="0" w:line="249" w:lineRule="auto"/>
        <w:rPr>
          <w:sz w:val="20"/>
          <w:szCs w:val="20"/>
          <w:color w:val="auto"/>
        </w:rPr>
      </w:pPr>
      <w:r>
        <w:rPr>
          <w:rFonts w:ascii="Times New Roman" w:cs="Times New Roman" w:eastAsia="Times New Roman" w:hAnsi="Times New Roman"/>
          <w:sz w:val="18"/>
          <w:szCs w:val="18"/>
          <w:color w:val="auto"/>
        </w:rPr>
        <w:t>The Company’s KVK Warrant liability is measured at fair value on a recurring basis. As of December 31, 2022, and 2021, the KVK Warrant liability is reported on the accompanying consolidated balance sheets in derivative and warrant liability. The Company estimates the fair value of the KVK Warrant using a probability-weighted Black-Scholes option-pricing model, which requires the use of subjective assumptions, including the expected term of the warrant, the expected stock price volatility, expected dividend yield and the risk-free interest rate for the expected term of the warrant. The expected term represents the period of time the warrant is expected to be outstanding. For the KVK Warrant, the Company used an expected term equal to the contractual term of the warrant. Expected volatility is based on the Company's historical volatility since the IPO. The Company assumes no dividend yield because dividends are not expected to be paid in the near future, which is consistent with the Company’s history of not paying dividends. Changes in the fair value of the KVK Warrant liability are reflected in the consolidated statements of operations for the years ended December 31, 2022, and 2021, as a fair value adjustment related to derivative and warrant liability.</w:t>
      </w:r>
    </w:p>
    <w:p>
      <w:pPr>
        <w:spacing w:after="0" w:line="18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 reconciliation of the beginning and ending balances for the derivative and warrant liability measured at fair value on a recurring basis using significan unobservable inputs (Level 3) is as follows (in thousands):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05"/>
        </w:trPr>
        <w:tc>
          <w:tcPr>
            <w:tcW w:w="1140" w:type="dxa"/>
            <w:vAlign w:val="bottom"/>
          </w:tcPr>
          <w:p>
            <w:pPr>
              <w:spacing w:after="0"/>
              <w:rPr>
                <w:sz w:val="17"/>
                <w:szCs w:val="17"/>
                <w:color w:val="auto"/>
              </w:rPr>
            </w:pPr>
          </w:p>
        </w:tc>
        <w:tc>
          <w:tcPr>
            <w:tcW w:w="33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as of beginning of period</w:t>
            </w:r>
          </w:p>
        </w:tc>
        <w:tc>
          <w:tcPr>
            <w:tcW w:w="3860" w:type="dxa"/>
            <w:vAlign w:val="bottom"/>
            <w:gridSpan w:val="2"/>
            <w:shd w:val="clear" w:color="auto" w:fill="CCEEFF"/>
          </w:tcPr>
          <w:p>
            <w:pPr>
              <w:jc w:val="right"/>
              <w:ind w:right="6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fair value</w:t>
            </w:r>
          </w:p>
        </w:tc>
        <w:tc>
          <w:tcPr>
            <w:tcW w:w="3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(305)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45"/>
        </w:trPr>
        <w:tc>
          <w:tcPr>
            <w:tcW w:w="1140" w:type="dxa"/>
            <w:vAlign w:val="bottom"/>
          </w:tcPr>
          <w:p>
            <w:pPr>
              <w:spacing w:after="0"/>
              <w:rPr>
                <w:sz w:val="21"/>
                <w:szCs w:val="21"/>
                <w:color w:val="auto"/>
              </w:rPr>
            </w:pPr>
          </w:p>
        </w:tc>
        <w:tc>
          <w:tcPr>
            <w:tcW w:w="33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as of end of period</w:t>
            </w:r>
          </w:p>
        </w:tc>
        <w:tc>
          <w:tcPr>
            <w:tcW w:w="30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r>
      <w:tr>
        <w:trPr>
          <w:trHeight w:val="405"/>
        </w:trPr>
        <w:tc>
          <w:tcPr>
            <w:tcW w:w="1140" w:type="dxa"/>
            <w:vAlign w:val="bottom"/>
          </w:tcPr>
          <w:p>
            <w:pPr>
              <w:spacing w:after="0"/>
              <w:rPr>
                <w:sz w:val="24"/>
                <w:szCs w:val="24"/>
                <w:color w:val="auto"/>
              </w:rPr>
            </w:pPr>
          </w:p>
        </w:tc>
        <w:tc>
          <w:tcPr>
            <w:tcW w:w="3360" w:type="dxa"/>
            <w:vAlign w:val="bottom"/>
            <w:tcBorders>
              <w:top w:val="single" w:sz="8" w:color="CCEEFF"/>
            </w:tcBorders>
          </w:tcPr>
          <w:p>
            <w:pPr>
              <w:spacing w:after="0"/>
              <w:rPr>
                <w:sz w:val="24"/>
                <w:szCs w:val="24"/>
                <w:color w:val="auto"/>
              </w:rPr>
            </w:pPr>
          </w:p>
        </w:tc>
        <w:tc>
          <w:tcPr>
            <w:tcW w:w="3040" w:type="dxa"/>
            <w:vAlign w:val="bottom"/>
            <w:tcBorders>
              <w:top w:val="single" w:sz="8" w:color="CCEEFF"/>
            </w:tcBorders>
          </w:tcPr>
          <w:p>
            <w:pPr>
              <w:jc w:val="right"/>
              <w:ind w:right="1692"/>
              <w:spacing w:after="0"/>
              <w:rPr>
                <w:sz w:val="20"/>
                <w:szCs w:val="20"/>
                <w:color w:val="auto"/>
              </w:rPr>
            </w:pPr>
            <w:r>
              <w:rPr>
                <w:rFonts w:ascii="Times New Roman" w:cs="Times New Roman" w:eastAsia="Times New Roman" w:hAnsi="Times New Roman"/>
                <w:sz w:val="18"/>
                <w:szCs w:val="18"/>
                <w:color w:val="auto"/>
              </w:rPr>
              <w:t>138</w:t>
            </w:r>
          </w:p>
        </w:tc>
        <w:tc>
          <w:tcPr>
            <w:tcW w:w="8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12"/>
        </w:trPr>
        <w:tc>
          <w:tcPr>
            <w:tcW w:w="114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360"/>
          </w:cols>
          <w:pgMar w:left="300" w:top="121"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680" w:hanging="674"/>
        <w:spacing w:after="0"/>
        <w:tabs>
          <w:tab w:leader="none" w:pos="6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Company’s financial statements include a total state tax expense of $31,000 and state tax benefit of $34,000 related to research and development credits on a loss before income taxes of approximately $42.3 million and $8.5 million for the years ended December 31, 2022 and 2021, respectively. The Company met the requirements to receive a tax credit of $0.8 million for losses in Denmark resulting from research and development costs, which is included in income tax benefit for the year ended December 31, 2022. A reconciliation of the difference between the (expense)/benefit for income taxes and income taxes at the statutory U.S. federal income tax rate is as follows (in thousands, except amounts pertaining to rate which are shown as a percentage):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7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5"/>
        </w:trPr>
        <w:tc>
          <w:tcPr>
            <w:tcW w:w="114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31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1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62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Federal statutory rate</w:t>
            </w:r>
          </w:p>
        </w:tc>
        <w:tc>
          <w:tcPr>
            <w:tcW w:w="1320" w:type="dxa"/>
            <w:vAlign w:val="bottom"/>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21.00%</w:t>
            </w:r>
          </w:p>
        </w:tc>
      </w:tr>
      <w:tr>
        <w:trPr>
          <w:trHeight w:val="212"/>
        </w:trPr>
        <w:tc>
          <w:tcPr>
            <w:tcW w:w="11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Effect of:</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6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(22.06)</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(28.39)</w:t>
            </w:r>
          </w:p>
        </w:tc>
      </w:tr>
      <w:tr>
        <w:trPr>
          <w:trHeight w:val="212"/>
        </w:trPr>
        <w:tc>
          <w:tcPr>
            <w:tcW w:w="1140" w:type="dxa"/>
            <w:vAlign w:val="bottom"/>
          </w:tcPr>
          <w:p>
            <w:pPr>
              <w:spacing w:after="0"/>
              <w:rPr>
                <w:sz w:val="18"/>
                <w:szCs w:val="18"/>
                <w:color w:val="auto"/>
              </w:rPr>
            </w:pPr>
          </w:p>
        </w:tc>
        <w:tc>
          <w:tcPr>
            <w:tcW w:w="6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Return to provision and deferred true-up</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r>
      <w:tr>
        <w:trPr>
          <w:trHeight w:val="212"/>
        </w:trPr>
        <w:tc>
          <w:tcPr>
            <w:tcW w:w="1140" w:type="dxa"/>
            <w:vAlign w:val="bottom"/>
          </w:tcPr>
          <w:p>
            <w:pPr>
              <w:spacing w:after="0"/>
              <w:rPr>
                <w:sz w:val="18"/>
                <w:szCs w:val="18"/>
                <w:color w:val="auto"/>
              </w:rPr>
            </w:pPr>
          </w:p>
        </w:tc>
        <w:tc>
          <w:tcPr>
            <w:tcW w:w="6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Federal research and development credit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6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 research and development credit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6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 in rate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6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 tax benefit (net of federal)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6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Warrant liability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r>
      <w:tr>
        <w:trPr>
          <w:trHeight w:val="212"/>
        </w:trPr>
        <w:tc>
          <w:tcPr>
            <w:tcW w:w="1140" w:type="dxa"/>
            <w:vAlign w:val="bottom"/>
          </w:tcPr>
          <w:p>
            <w:pPr>
              <w:spacing w:after="0"/>
              <w:rPr>
                <w:sz w:val="18"/>
                <w:szCs w:val="18"/>
                <w:color w:val="auto"/>
              </w:rPr>
            </w:pPr>
          </w:p>
        </w:tc>
        <w:tc>
          <w:tcPr>
            <w:tcW w:w="6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r>
      <w:tr>
        <w:trPr>
          <w:trHeight w:val="212"/>
        </w:trPr>
        <w:tc>
          <w:tcPr>
            <w:tcW w:w="1140" w:type="dxa"/>
            <w:vAlign w:val="bottom"/>
          </w:tcPr>
          <w:p>
            <w:pPr>
              <w:spacing w:after="0"/>
              <w:rPr>
                <w:sz w:val="18"/>
                <w:szCs w:val="18"/>
                <w:color w:val="auto"/>
              </w:rPr>
            </w:pPr>
          </w:p>
        </w:tc>
        <w:tc>
          <w:tcPr>
            <w:tcW w:w="6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PPP Loan forgiveness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shd w:val="clear" w:color="auto" w:fill="CCEEFF"/>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6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Global intangible low-taxed income credit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6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Foreign research and development excess benefit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6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r>
      <w:tr>
        <w:trPr>
          <w:trHeight w:val="245"/>
        </w:trPr>
        <w:tc>
          <w:tcPr>
            <w:tcW w:w="1140" w:type="dxa"/>
            <w:vAlign w:val="bottom"/>
          </w:tcPr>
          <w:p>
            <w:pPr>
              <w:spacing w:after="0"/>
              <w:rPr>
                <w:sz w:val="21"/>
                <w:szCs w:val="21"/>
                <w:color w:val="auto"/>
              </w:rPr>
            </w:pPr>
          </w:p>
        </w:tc>
        <w:tc>
          <w:tcPr>
            <w:tcW w:w="622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Federal income tax provision effective rate</w:t>
            </w:r>
          </w:p>
        </w:tc>
        <w:tc>
          <w:tcPr>
            <w:tcW w:w="1320" w:type="dxa"/>
            <w:vAlign w:val="bottom"/>
            <w:tcBorders>
              <w:bottom w:val="single" w:sz="8" w:color="auto"/>
            </w:tcBorders>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(0.39)%</w:t>
            </w:r>
          </w:p>
        </w:tc>
      </w:tr>
      <w:tr>
        <w:trPr>
          <w:trHeight w:val="405"/>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deferred tax assets and liabilities are as follows (in thousands):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7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Deferred tax assets relating to:</w:t>
            </w:r>
          </w:p>
        </w:tc>
        <w:tc>
          <w:tcPr>
            <w:tcW w:w="2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66,373</w:t>
            </w:r>
          </w:p>
        </w:tc>
        <w:tc>
          <w:tcPr>
            <w:tcW w:w="8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carryforward</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174 expenses</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Right-of-use liability</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 deferred tax assets</w:t>
            </w:r>
          </w:p>
        </w:tc>
        <w:tc>
          <w:tcPr>
            <w:tcW w:w="2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740" w:type="dxa"/>
            <w:vAlign w:val="bottom"/>
            <w:tcBorders>
              <w:bottom w:val="single" w:sz="8" w:color="CCEEFF"/>
            </w:tcBorders>
            <w:shd w:val="clear" w:color="auto" w:fill="CCEEFF"/>
          </w:tcPr>
          <w:p>
            <w:pPr>
              <w:ind w:left="620"/>
              <w:spacing w:after="0" w:line="205" w:lineRule="exact"/>
              <w:rPr>
                <w:sz w:val="20"/>
                <w:szCs w:val="20"/>
                <w:color w:val="auto"/>
              </w:rPr>
            </w:pPr>
            <w:r>
              <w:rPr>
                <w:rFonts w:ascii="Times New Roman" w:cs="Times New Roman" w:eastAsia="Times New Roman" w:hAnsi="Times New Roman"/>
                <w:sz w:val="18"/>
                <w:szCs w:val="18"/>
                <w:color w:val="auto"/>
              </w:rPr>
              <w:t>Total gross deferred tax assets</w:t>
            </w:r>
          </w:p>
        </w:tc>
        <w:tc>
          <w:tcPr>
            <w:tcW w:w="26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82,167</w:t>
            </w: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72,921</w:t>
            </w: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Deferred tax liabilities relating to:</w:t>
            </w:r>
          </w:p>
        </w:tc>
        <w:tc>
          <w:tcPr>
            <w:tcW w:w="2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6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Deferred tax assets less liabilities</w:t>
            </w:r>
          </w:p>
        </w:tc>
        <w:tc>
          <w:tcPr>
            <w:tcW w:w="2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81,831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72,511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(81,831)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(72,511)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880" w:type="dxa"/>
            <w:vAlign w:val="bottom"/>
            <w:gridSpan w:val="2"/>
          </w:tcPr>
          <w:p>
            <w:pPr>
              <w:ind w:left="1120"/>
              <w:spacing w:after="0" w:line="205" w:lineRule="exact"/>
              <w:rPr>
                <w:sz w:val="20"/>
                <w:szCs w:val="20"/>
                <w:color w:val="auto"/>
              </w:rPr>
            </w:pPr>
            <w:r>
              <w:rPr>
                <w:rFonts w:ascii="Times New Roman" w:cs="Times New Roman" w:eastAsia="Times New Roman" w:hAnsi="Times New Roman"/>
                <w:sz w:val="18"/>
                <w:szCs w:val="18"/>
                <w:color w:val="auto"/>
              </w:rPr>
              <w:t>Net deferred tax asset (liability)</w:t>
            </w:r>
          </w:p>
        </w:tc>
        <w:tc>
          <w:tcPr>
            <w:tcW w:w="2900" w:type="dxa"/>
            <w:vAlign w:val="bottom"/>
            <w:gridSpan w:val="2"/>
          </w:tcPr>
          <w:p>
            <w:pPr>
              <w:jc w:val="right"/>
              <w:ind w:right="1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340" w:type="dxa"/>
            <w:vAlign w:val="bottom"/>
            <w:gridSpan w:val="2"/>
          </w:tcPr>
          <w:p>
            <w:pPr>
              <w:jc w:val="right"/>
              <w:ind w:right="1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40" w:type="dxa"/>
            <w:vAlign w:val="bottom"/>
            <w:vMerge w:val="restart"/>
          </w:tcPr>
          <w:p>
            <w:pPr>
              <w:jc w:val="right"/>
              <w:ind w:right="1672"/>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4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(losses) and projections for future taxable income (losses) over the periods in which the deferred tax assets are deductible, management believes it is more likely than not that the Company will not realize the benefits of these deductible differences in the future.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recorded certain retainable research and development tax credits as income tax benefit in the consolidated statement of operations for the year ended December 31, 2022. These refundable tax credits are a result of increased qualified research and development spending in certain jurisdictions which allow for a refundable credit even when the Company has no current period income tax expense.</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Tax Cuts and Jobs Act of 2017, the Company evaluated its plans for reinvestment or repatriation of current and future earnings of foreign operations and determined to indefinitely reinvest current and future earnings of foreign operations in the foreign operation. The Company has not repatriated funds to the U.S. to satisfy domestic liquidity needs, nor does the Company anticipate the need to do so. If in the foreseeable future, the Company can no longer demonstrate that these earnings are indefinitely reinvested, a deferred tax liability will be recognized.</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has federal operating loss carryforwards totaling $236.0 million, $138.1 million of which, if not utilized, will begin to expire in 2027 and $97.9 million of which have no expiration date.</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also has certain state net operating loss carryforwards totaling $225.2 million, which, if not utilized, will begin to expire in 2027. Due to potential ownership changes that may have occurred or would occur in the future, Internal Revenue Code Section 382 may place additional limitations on the Company’s ability to utilize the net operating loss carryforward.</w:t>
      </w:r>
    </w:p>
    <w:p>
      <w:pPr>
        <w:spacing w:after="0" w:line="17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 xml:space="preserve">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uses the term “more likely than not” to evaluate whether or not a tax position will be sustained upon examination. The Company has not identified any tax positions that do not meet the more likely than not threshold.</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March 27, 2020, the CARES Act was enacted into law in response to the COVID-19 pandemic. The Company has evaluated the various income and payroll tax provisions and expects little or no impact to income tax expense.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80" w:hanging="674"/>
        <w:spacing w:after="0"/>
        <w:tabs>
          <w:tab w:leader="none" w:pos="6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all periods presented herein, the Company did not use the two-class method to compute net loss attributable to common stockholders per share of common stock, even though it had issued securities, other than common stock, that contractually entitled the holders to participate in dividends and earnings, because these holders are not obligated to participate in a loss. The two-class method requires earnings for the period to be allocated between common stock and participating securities based upon their respective rights to receive distributed and undistributed earnings.</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Under the two-class method, for periods with net income attributable to common stockholders, basic net income attributable to common stockholders per share of common stock is computed by dividing the undistributed net income attributable to common stockholders by the weighted average number of shares of common stock outstanding during the period. Undistributed net income attributable to common stockholders is computed by subtracting from net income the portion of current period earnings that participating securities would have been entitled to receive pursuant to their dividend rights had all of the period’s earnings been distributed and subtracting the actual or deemed dividends declared. No such adjustment to earnings is made during periods with a net loss as the holders of the participating securities have no obligation to fund losses. Diluted net income attributable to common stockholders per share of common stock is computed under the two-class method by using the weighted average number of shares of common stock outstanding plus the potential dilutive effects of stock options and warrants. In addition to analyzing under the two class method, the Company analyzes the potential dilutive effect of stock options and warrants, under the treasury-stock method when calculating diluted income (loss) attributable to common stockholders per share of common stock, in which it is assumed that the stock options and warrants convert into common stock at the beginning of the period or date of issuance, if the stock option or warrant was issued during the period. The Company reports the more dilutive of the approaches (two-class or treasury-stock/if-converted) as its diluted net income (loss) attributable to common stockholders per share of common stock during the period.</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noted above, for all periods presented herein, the Company did not utilize the two-class approach as the Company was in a net loss position and the holders of the participating securities have no obligation to fund losses. The Company did analyze diluted net loss attributable to common stockholders per share of common stock under the treasury-stock/if-converted method and noted that all outstanding stock options and warrants were anti-dilutive for the periods presented. For all period presented, basic net loss attributable to common stockholders per share of common stock was the same as diluted net loss attributable to common stockholders per share of common stock.</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securities, presented on a common stock equivalent basis, have been excluded from the calculation of weighted average number of shares of common stock outstanding because their effect is anti-dilutive:</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6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280" w:type="dxa"/>
            <w:vAlign w:val="bottom"/>
            <w:tcBorders>
              <w:bottom w:val="single" w:sz="8" w:color="auto"/>
            </w:tcBorders>
          </w:tcPr>
          <w:p>
            <w:pPr>
              <w:ind w:left="460"/>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7"/>
                <w:szCs w:val="17"/>
                <w:color w:val="auto"/>
              </w:rPr>
            </w:pPr>
          </w:p>
        </w:tc>
        <w:tc>
          <w:tcPr>
            <w:tcW w:w="1240" w:type="dxa"/>
            <w:vAlign w:val="bottom"/>
            <w:tcBorders>
              <w:bottom w:val="single" w:sz="8" w:color="auto"/>
            </w:tcBorders>
          </w:tcPr>
          <w:p>
            <w:pPr>
              <w:ind w:left="440"/>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Awards under equity incentive plans</w:t>
            </w:r>
          </w:p>
        </w:tc>
        <w:tc>
          <w:tcPr>
            <w:tcW w:w="1280" w:type="dxa"/>
            <w:vAlign w:val="bottom"/>
            <w:shd w:val="clear" w:color="auto" w:fill="CCEEFF"/>
          </w:tcPr>
          <w:p>
            <w:pPr>
              <w:ind w:left="460"/>
              <w:spacing w:after="0" w:line="205" w:lineRule="exact"/>
              <w:rPr>
                <w:sz w:val="20"/>
                <w:szCs w:val="20"/>
                <w:color w:val="auto"/>
              </w:rPr>
            </w:pPr>
            <w:r>
              <w:rPr>
                <w:rFonts w:ascii="Times New Roman" w:cs="Times New Roman" w:eastAsia="Times New Roman" w:hAnsi="Times New Roman"/>
                <w:sz w:val="18"/>
                <w:szCs w:val="18"/>
                <w:color w:val="auto"/>
              </w:rPr>
              <w:t>2,456,407</w:t>
            </w:r>
          </w:p>
        </w:tc>
        <w:tc>
          <w:tcPr>
            <w:tcW w:w="1320" w:type="dxa"/>
            <w:vAlign w:val="bottom"/>
            <w:gridSpan w:val="2"/>
            <w:shd w:val="clear" w:color="auto" w:fill="CCEEFF"/>
          </w:tcPr>
          <w:p>
            <w:pPr>
              <w:ind w:left="520"/>
              <w:spacing w:after="0" w:line="205" w:lineRule="exact"/>
              <w:rPr>
                <w:sz w:val="20"/>
                <w:szCs w:val="20"/>
                <w:color w:val="auto"/>
              </w:rPr>
            </w:pPr>
            <w:r>
              <w:rPr>
                <w:rFonts w:ascii="Times New Roman" w:cs="Times New Roman" w:eastAsia="Times New Roman" w:hAnsi="Times New Roman"/>
                <w:sz w:val="18"/>
                <w:szCs w:val="18"/>
                <w:color w:val="auto"/>
              </w:rPr>
              <w:t>1,273,879</w:t>
            </w:r>
          </w:p>
        </w:tc>
        <w:tc>
          <w:tcPr>
            <w:tcW w:w="0" w:type="dxa"/>
            <w:vAlign w:val="bottom"/>
          </w:tcPr>
          <w:p>
            <w:pPr>
              <w:spacing w:after="0"/>
              <w:rPr>
                <w:sz w:val="1"/>
                <w:szCs w:val="1"/>
                <w:color w:val="auto"/>
              </w:rPr>
            </w:pPr>
          </w:p>
        </w:tc>
      </w:tr>
      <w:tr>
        <w:trPr>
          <w:trHeight w:val="225"/>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4,252,600</w:t>
            </w:r>
          </w:p>
        </w:tc>
        <w:tc>
          <w:tcPr>
            <w:tcW w:w="80" w:type="dxa"/>
            <w:vAlign w:val="bottom"/>
          </w:tcPr>
          <w:p>
            <w:pPr>
              <w:spacing w:after="0"/>
              <w:rPr>
                <w:sz w:val="19"/>
                <w:szCs w:val="19"/>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4,221,350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38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Total securities excluded from the calculation of weighted average number of shares of</w:t>
            </w:r>
          </w:p>
        </w:tc>
        <w:tc>
          <w:tcPr>
            <w:tcW w:w="128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6,709,007</w:t>
            </w:r>
          </w:p>
        </w:tc>
        <w:tc>
          <w:tcPr>
            <w:tcW w:w="80" w:type="dxa"/>
            <w:vAlign w:val="bottom"/>
            <w:vMerge w:val="restart"/>
            <w:shd w:val="clear" w:color="auto" w:fill="CCEEFF"/>
          </w:tcPr>
          <w:p>
            <w:pPr>
              <w:spacing w:after="0"/>
              <w:rPr>
                <w:sz w:val="16"/>
                <w:szCs w:val="16"/>
                <w:color w:val="auto"/>
              </w:rPr>
            </w:pPr>
          </w:p>
        </w:tc>
        <w:tc>
          <w:tcPr>
            <w:tcW w:w="124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5,495,229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38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common stock outstanding</w:t>
            </w: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 reconciliation from net loss to basic net loss attributable to common stockholders per share of common stock and diluted net loss attributable to common stockholders per share of common stock for the years ended December 31, 2022, and 2021, is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1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6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Basic and diluted net loss per share of common stock:</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(41,543)</w:t>
            </w: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Dividends declared or accumulated</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(54,342)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68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980" w:type="dxa"/>
            <w:vAlign w:val="bottom"/>
            <w:tcBorders>
              <w:bottom w:val="single" w:sz="8" w:color="auto"/>
            </w:tcBorders>
            <w:shd w:val="clear" w:color="auto" w:fill="CCEEFF"/>
          </w:tcPr>
          <w:p>
            <w:pPr>
              <w:jc w:val="right"/>
              <w:ind w:right="79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ind w:right="372"/>
              <w:spacing w:after="0" w:line="205" w:lineRule="exact"/>
              <w:rPr>
                <w:sz w:val="20"/>
                <w:szCs w:val="20"/>
                <w:color w:val="auto"/>
              </w:rPr>
            </w:pPr>
            <w:r>
              <w:rPr>
                <w:rFonts w:ascii="Times New Roman" w:cs="Times New Roman" w:eastAsia="Times New Roman" w:hAnsi="Times New Roman"/>
                <w:sz w:val="18"/>
                <w:szCs w:val="18"/>
                <w:b w:val="1"/>
                <w:bCs w:val="1"/>
                <w:color w:val="auto"/>
                <w:w w:val="95"/>
              </w:rPr>
              <w:t>(41,543</w:t>
            </w:r>
            <w:r>
              <w:rPr>
                <w:rFonts w:ascii="Times New Roman" w:cs="Times New Roman" w:eastAsia="Times New Roman" w:hAnsi="Times New Roman"/>
                <w:sz w:val="18"/>
                <w:szCs w:val="18"/>
                <w:color w:val="auto"/>
                <w:w w:val="95"/>
              </w:rPr>
              <w:t>) $</w:t>
            </w:r>
          </w:p>
        </w:tc>
        <w:tc>
          <w:tcPr>
            <w:tcW w:w="11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(62,897)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Less: Net loss attributable to participating securities</w:t>
            </w:r>
          </w:p>
        </w:tc>
        <w:tc>
          <w:tcPr>
            <w:tcW w:w="980" w:type="dxa"/>
            <w:vAlign w:val="bottom"/>
            <w:tcBorders>
              <w:bottom w:val="single" w:sz="8" w:color="auto"/>
            </w:tcBorders>
          </w:tcPr>
          <w:p>
            <w:pPr>
              <w:jc w:val="right"/>
              <w:ind w:right="79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37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56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8"/>
                <w:szCs w:val="18"/>
                <w:b w:val="1"/>
                <w:bCs w:val="1"/>
                <w:color w:val="auto"/>
                <w:w w:val="97"/>
              </w:rPr>
              <w:t>Undistributed net loss attributable to shares of common stockholders, basic</w:t>
            </w:r>
          </w:p>
        </w:tc>
        <w:tc>
          <w:tcPr>
            <w:tcW w:w="980" w:type="dxa"/>
            <w:vAlign w:val="bottom"/>
            <w:vMerge w:val="restart"/>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95"/>
              </w:rPr>
              <w:t>(41,543</w:t>
            </w:r>
            <w:r>
              <w:rPr>
                <w:rFonts w:ascii="Times New Roman" w:cs="Times New Roman" w:eastAsia="Times New Roman" w:hAnsi="Times New Roman"/>
                <w:sz w:val="18"/>
                <w:szCs w:val="18"/>
                <w:color w:val="auto"/>
                <w:w w:val="95"/>
              </w:rPr>
              <w:t>) $</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(62,897)</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diluted</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gridSpan w:val="2"/>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568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Weighted average number of shares of common stock outstanding, basic and</w:t>
            </w: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34,489</w:t>
            </w:r>
          </w:p>
        </w:tc>
        <w:tc>
          <w:tcPr>
            <w:tcW w:w="5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29,766</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Basic and diluted net loss attributable to common stockholders per share of</w:t>
            </w: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7"/>
        </w:trPr>
        <w:tc>
          <w:tcPr>
            <w:tcW w:w="6820" w:type="dxa"/>
            <w:vAlign w:val="bottom"/>
            <w:gridSpan w:val="2"/>
          </w:tcPr>
          <w:p>
            <w:pPr>
              <w:jc w:val="right"/>
              <w:ind w:right="972"/>
              <w:spacing w:after="0"/>
              <w:rPr>
                <w:sz w:val="20"/>
                <w:szCs w:val="20"/>
                <w:color w:val="auto"/>
              </w:rPr>
            </w:pPr>
            <w:r>
              <w:rPr>
                <w:rFonts w:ascii="Times New Roman" w:cs="Times New Roman" w:eastAsia="Times New Roman" w:hAnsi="Times New Roman"/>
                <w:sz w:val="18"/>
                <w:szCs w:val="18"/>
                <w:color w:val="auto"/>
              </w:rPr>
              <w:t>141</w:t>
            </w: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auto"/>
            </w:tcBorders>
          </w:tcPr>
          <w:p>
            <w:pPr>
              <w:spacing w:after="0"/>
              <w:rPr>
                <w:sz w:val="9"/>
                <w:szCs w:val="9"/>
                <w:color w:val="auto"/>
              </w:rPr>
            </w:pPr>
          </w:p>
        </w:tc>
        <w:tc>
          <w:tcPr>
            <w:tcW w:w="56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9" w:name="page150"/>
    <w:bookmarkEnd w:id="14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80" w:hanging="654"/>
        <w:spacing w:after="0"/>
        <w:tabs>
          <w:tab w:leader="none" w:pos="6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19"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The Company has operating and finance leases for office space, laboratory facilities and various laboratory equipment, furniture and office equipment and leasehold improvements. The Company determines if an arrangement is a lease at contract inception. Lease assets and lease liabilities are recognized based on the present value of lease payments over the lease term at the commencement date. The Company does not separate lease and non-lease components. Leases with a term of 12 months or less at commencement are not recorded on the consolidated balance sheets. Lease expense for these arrangements is recognized on a straight-line bases over the lease term. The Company’s leases have remaining lease terms of less than 1 year to approximately 4 years, some of which include options to extend the leases for up to 5 years, and some which include options to terminate the leases within 1 year.</w:t>
      </w:r>
    </w:p>
    <w:p>
      <w:pPr>
        <w:spacing w:after="0" w:line="185"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Effective June 1, 2021, the Company agreed to sublease office space in Florida, comprised of one of the two contiguous suites, under a non-cancelable operating lease, which expires in February 2026.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2780" w:type="dxa"/>
            <w:vAlign w:val="bottom"/>
            <w:tcBorders>
              <w:bottom w:val="single" w:sz="8" w:color="auto"/>
            </w:tcBorders>
            <w:gridSpan w:val="4"/>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3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Lease Cost</w:t>
            </w:r>
          </w:p>
        </w:tc>
        <w:tc>
          <w:tcPr>
            <w:tcW w:w="1440" w:type="dxa"/>
            <w:vAlign w:val="bottom"/>
            <w:gridSpan w:val="2"/>
          </w:tcPr>
          <w:p>
            <w:pPr>
              <w:ind w:left="940"/>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17"/>
                <w:szCs w:val="17"/>
                <w:color w:val="auto"/>
              </w:rPr>
            </w:pPr>
          </w:p>
        </w:tc>
        <w:tc>
          <w:tcPr>
            <w:tcW w:w="1140" w:type="dxa"/>
            <w:vAlign w:val="bottom"/>
            <w:gridSpan w:val="2"/>
          </w:tcPr>
          <w:p>
            <w:pPr>
              <w:jc w:val="right"/>
              <w:ind w:right="180"/>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3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Finance lease cost:</w:t>
            </w: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440" w:type="dxa"/>
            <w:vAlign w:val="bottom"/>
            <w:gridSpan w:val="2"/>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140" w:type="dxa"/>
            <w:vAlign w:val="bottom"/>
            <w:gridSpan w:val="2"/>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34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Total finance lease cost</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131</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sublease income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34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1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2780" w:type="dxa"/>
            <w:vAlign w:val="bottom"/>
            <w:tcBorders>
              <w:bottom w:val="single" w:sz="8" w:color="auto"/>
            </w:tcBorders>
            <w:gridSpan w:val="4"/>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440" w:type="dxa"/>
            <w:vAlign w:val="bottom"/>
            <w:gridSpan w:val="2"/>
          </w:tcPr>
          <w:p>
            <w:pPr>
              <w:jc w:val="right"/>
              <w:ind w:right="7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17"/>
                <w:szCs w:val="17"/>
                <w:color w:val="auto"/>
              </w:rPr>
            </w:pPr>
          </w:p>
        </w:tc>
        <w:tc>
          <w:tcPr>
            <w:tcW w:w="1140" w:type="dxa"/>
            <w:vAlign w:val="bottom"/>
            <w:gridSpan w:val="2"/>
          </w:tcPr>
          <w:p>
            <w:pPr>
              <w:jc w:val="right"/>
              <w:ind w:right="160"/>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3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40" w:type="dxa"/>
            <w:vAlign w:val="bottom"/>
            <w:tcBorders>
              <w:right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440" w:type="dxa"/>
            <w:vAlign w:val="bottom"/>
            <w:gridSpan w:val="2"/>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522</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short-term leases</w:t>
            </w:r>
          </w:p>
        </w:tc>
        <w:tc>
          <w:tcPr>
            <w:tcW w:w="3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variable lease costs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4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440" w:type="dxa"/>
            <w:vAlign w:val="bottom"/>
            <w:gridSpan w:val="2"/>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8"/>
        </w:trPr>
        <w:tc>
          <w:tcPr>
            <w:tcW w:w="6500" w:type="dxa"/>
            <w:vAlign w:val="bottom"/>
            <w:gridSpan w:val="3"/>
          </w:tcPr>
          <w:p>
            <w:pPr>
              <w:jc w:val="right"/>
              <w:ind w:right="632"/>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53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21" w:right="339" w:bottom="1440" w:gutter="0" w:footer="0" w:header="0"/>
        </w:sectPr>
      </w:pPr>
    </w:p>
    <w:bookmarkStart w:id="150" w:name="page151"/>
    <w:bookmarkEnd w:id="15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ind w:left="20" w:right="200"/>
        <w:spacing w:after="0" w:line="274" w:lineRule="auto"/>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 except weighted average remaining lease term and weighted average discount rate):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6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44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Finance Leases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60" w:type="dxa"/>
            <w:vAlign w:val="bottom"/>
          </w:tcPr>
          <w:p>
            <w:pPr>
              <w:spacing w:after="0"/>
              <w:rPr>
                <w:sz w:val="18"/>
                <w:szCs w:val="18"/>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60" w:type="dxa"/>
            <w:vAlign w:val="bottom"/>
          </w:tcPr>
          <w:p>
            <w:pPr>
              <w:spacing w:after="0"/>
              <w:rPr>
                <w:sz w:val="17"/>
                <w:szCs w:val="17"/>
                <w:color w:val="auto"/>
              </w:rPr>
            </w:pPr>
          </w:p>
        </w:tc>
        <w:tc>
          <w:tcPr>
            <w:tcW w:w="448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251</w:t>
            </w:r>
          </w:p>
        </w:tc>
        <w:tc>
          <w:tcPr>
            <w:tcW w:w="160" w:type="dxa"/>
            <w:vAlign w:val="bottom"/>
          </w:tcPr>
          <w:p>
            <w:pPr>
              <w:spacing w:after="0"/>
              <w:rPr>
                <w:sz w:val="17"/>
                <w:szCs w:val="17"/>
                <w:color w:val="auto"/>
              </w:rPr>
            </w:pPr>
          </w:p>
        </w:tc>
        <w:tc>
          <w:tcPr>
            <w:tcW w:w="500" w:type="dxa"/>
            <w:vAlign w:val="bottom"/>
            <w:gridSpan w:val="3"/>
          </w:tcPr>
          <w:p>
            <w:pPr>
              <w:jc w:val="right"/>
              <w:ind w:right="3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60" w:type="dxa"/>
            <w:vAlign w:val="bottom"/>
            <w:vMerge w:val="restart"/>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448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finance lease liabilities</w:t>
            </w:r>
          </w:p>
        </w:tc>
        <w:tc>
          <w:tcPr>
            <w:tcW w:w="11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7"/>
                <w:szCs w:val="17"/>
                <w:color w:val="auto"/>
              </w:rPr>
            </w:pPr>
          </w:p>
        </w:tc>
        <w:tc>
          <w:tcPr>
            <w:tcW w:w="500" w:type="dxa"/>
            <w:vAlign w:val="bottom"/>
            <w:gridSpan w:val="3"/>
          </w:tcPr>
          <w:p>
            <w:pPr>
              <w:jc w:val="right"/>
              <w:ind w:right="3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60" w:type="dxa"/>
            <w:vAlign w:val="bottom"/>
            <w:vMerge w:val="restart"/>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60" w:type="dxa"/>
            <w:vAlign w:val="bottom"/>
            <w:shd w:val="clear" w:color="auto" w:fill="CCEEFF"/>
          </w:tcPr>
          <w:p>
            <w:pPr>
              <w:spacing w:after="0"/>
              <w:rPr>
                <w:sz w:val="18"/>
                <w:szCs w:val="18"/>
                <w:color w:val="auto"/>
              </w:rPr>
            </w:pPr>
          </w:p>
        </w:tc>
        <w:tc>
          <w:tcPr>
            <w:tcW w:w="500" w:type="dxa"/>
            <w:vAlign w:val="bottom"/>
            <w:tcBorders>
              <w:lef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60" w:type="dxa"/>
            <w:vAlign w:val="bottom"/>
          </w:tcPr>
          <w:p>
            <w:pPr>
              <w:spacing w:after="0"/>
              <w:rPr>
                <w:sz w:val="17"/>
                <w:szCs w:val="17"/>
                <w:color w:val="auto"/>
              </w:rPr>
            </w:pPr>
          </w:p>
        </w:tc>
        <w:tc>
          <w:tcPr>
            <w:tcW w:w="448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operating lease right-of-use assets</w:t>
            </w:r>
          </w:p>
        </w:tc>
        <w:tc>
          <w:tcPr>
            <w:tcW w:w="11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988</w:t>
            </w:r>
          </w:p>
        </w:tc>
        <w:tc>
          <w:tcPr>
            <w:tcW w:w="160" w:type="dxa"/>
            <w:vAlign w:val="bottom"/>
          </w:tcPr>
          <w:p>
            <w:pPr>
              <w:spacing w:after="0"/>
              <w:rPr>
                <w:sz w:val="17"/>
                <w:szCs w:val="17"/>
                <w:color w:val="auto"/>
              </w:rPr>
            </w:pPr>
          </w:p>
        </w:tc>
        <w:tc>
          <w:tcPr>
            <w:tcW w:w="500" w:type="dxa"/>
            <w:vAlign w:val="bottom"/>
            <w:gridSpan w:val="3"/>
          </w:tcPr>
          <w:p>
            <w:pPr>
              <w:jc w:val="right"/>
              <w:ind w:right="3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1,141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60" w:type="dxa"/>
            <w:vAlign w:val="bottom"/>
            <w:vMerge w:val="restart"/>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Pr>
          <w:p>
            <w:pPr>
              <w:spacing w:after="0"/>
              <w:rPr>
                <w:sz w:val="18"/>
                <w:szCs w:val="18"/>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448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11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1,323</w:t>
            </w:r>
          </w:p>
        </w:tc>
        <w:tc>
          <w:tcPr>
            <w:tcW w:w="160" w:type="dxa"/>
            <w:vAlign w:val="bottom"/>
          </w:tcPr>
          <w:p>
            <w:pPr>
              <w:spacing w:after="0"/>
              <w:rPr>
                <w:sz w:val="17"/>
                <w:szCs w:val="17"/>
                <w:color w:val="auto"/>
              </w:rPr>
            </w:pPr>
          </w:p>
        </w:tc>
        <w:tc>
          <w:tcPr>
            <w:tcW w:w="500" w:type="dxa"/>
            <w:vAlign w:val="bottom"/>
            <w:gridSpan w:val="3"/>
          </w:tcPr>
          <w:p>
            <w:pPr>
              <w:jc w:val="right"/>
              <w:ind w:right="3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1,588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60" w:type="dxa"/>
            <w:vAlign w:val="bottom"/>
            <w:vMerge w:val="restart"/>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 year</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 year</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years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12"/>
        </w:trPr>
        <w:tc>
          <w:tcPr>
            <w:tcW w:w="116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40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on lease liabilities were as follows (in thousands):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44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2023</w:t>
            </w:r>
          </w:p>
        </w:tc>
        <w:tc>
          <w:tcPr>
            <w:tcW w:w="1460" w:type="dxa"/>
            <w:vAlign w:val="bottom"/>
            <w:gridSpan w:val="3"/>
            <w:shd w:val="clear" w:color="auto" w:fill="CCEEFF"/>
          </w:tcPr>
          <w:p>
            <w:pPr>
              <w:jc w:val="right"/>
              <w:ind w:right="11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w:t>
            </w:r>
          </w:p>
        </w:tc>
        <w:tc>
          <w:tcPr>
            <w:tcW w:w="500" w:type="dxa"/>
            <w:vAlign w:val="bottom"/>
            <w:tcBorders>
              <w:left w:val="single" w:sz="8" w:color="CCEEFF"/>
            </w:tcBorders>
            <w:gridSpan w:val="3"/>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448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lease payments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1,470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Less: future interest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60" w:type="dxa"/>
            <w:vAlign w:val="bottom"/>
          </w:tcPr>
          <w:p>
            <w:pPr>
              <w:spacing w:after="0"/>
              <w:rPr>
                <w:sz w:val="19"/>
                <w:szCs w:val="19"/>
                <w:color w:val="auto"/>
              </w:rPr>
            </w:pPr>
          </w:p>
        </w:tc>
        <w:tc>
          <w:tcPr>
            <w:tcW w:w="448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Lease liabilities</w:t>
            </w:r>
          </w:p>
        </w:tc>
        <w:tc>
          <w:tcPr>
            <w:tcW w:w="1180" w:type="dxa"/>
            <w:vAlign w:val="bottom"/>
            <w:gridSpan w:val="2"/>
            <w:shd w:val="clear" w:color="auto" w:fill="CCEEFF"/>
          </w:tcPr>
          <w:p>
            <w:pPr>
              <w:spacing w:after="0"/>
              <w:rPr>
                <w:sz w:val="19"/>
                <w:szCs w:val="19"/>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w:t>
            </w:r>
          </w:p>
        </w:tc>
        <w:tc>
          <w:tcPr>
            <w:tcW w:w="500" w:type="dxa"/>
            <w:vAlign w:val="bottom"/>
            <w:tcBorders>
              <w:left w:val="single" w:sz="8" w:color="CCEEFF"/>
            </w:tcBorders>
            <w:gridSpan w:val="3"/>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1,323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hanging="674"/>
        <w:spacing w:after="0"/>
        <w:tabs>
          <w:tab w:leader="none" w:pos="7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219"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Company has a 401(k) retirement plan (the “401(k) Plan”) that covers substantially all employees. The Company may provide a discretionary match with a maximum amount of 4% of the participant’s compensation, which vests immediately. The Company made matching contributions under the 401(k) Plan of $197,000 and $164,000 for the years ended December 31, 2022, and 2021, respectively.</w:t>
      </w:r>
    </w:p>
    <w:p>
      <w:pPr>
        <w:spacing w:after="0" w:line="178"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Company has a discretionary profit sharing plan (the “Profit Sharing Plan”) that covers all employees. Employees become eligible participants in the Profit Sharing Plan once they have provided three years of service to the Company. The Company made no contributions to the Profit Sharing Plan in 2022, or 2021.</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81" w:lineRule="exact"/>
        <w:rPr>
          <w:sz w:val="20"/>
          <w:szCs w:val="20"/>
          <w:color w:val="auto"/>
        </w:rPr>
      </w:pPr>
    </w:p>
    <w:p>
      <w:pPr>
        <w:ind w:left="740" w:hanging="694"/>
        <w:spacing w:after="0"/>
        <w:tabs>
          <w:tab w:leader="none" w:pos="7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Events</w:t>
      </w:r>
    </w:p>
    <w:p>
      <w:pPr>
        <w:spacing w:after="0" w:line="2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January 6, 2023, the Board appointed Richard W. Pascoe to serve as the Company’s Chief Executive Officer, effective immediately. Concurrently with his appointment as Chief Executive Officer, Mr. Pascoe stepped down as the Company’s Executive Chairman. Mr. Pascoe will continue to serve as a member of the Board. Mr. Pascoe has been designated as the Company’s principal executive officer, succeeding Travis C. Mickle, Ph.D., the Company’s President and former Chief Executive Officer, in such role. On January 6, 2023, Dr. Mickle resigned his role (i) as Chief Executive Officer, effective immediately, and (ii) as President and as a member of the Board, in each case, effective as of the date of the Company’s 2023 Annual Meeting of Stockholders. Additionally, the Board has appointed Matthew R. Plooster, a member of the Board, as the Chairman of the Board.</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Mr. Pascoe’s appointment as the Company’s Chief Executive Officer, the Company and Mr. Pascoe entered into an amendment to the employment agreement, dated November 5, 2021, by and between the Company and Mr. Pascoe (the “Amendment”). Pursuant to the Amendment, Mr. Pascoe became entitled to receive an option under the A&amp;R 2014 Plan to purchase 700,000 shares of the Company’s common stock at an exercise price equal to the closing price of the Company’s common stock on January 9, 2023. The option will vest in four equal annual installments, with the first such installment occurring on January 6, 2024 (subject to Mr. Pascoe’s continued service to the Company through the applicable vesting date).</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connection with the management transition, the Company entered into (i) a transition agreement with Dr. Mickle (the “Transition Agreement”) and (ii) a consulting agreement with Dr. Mickle (the “Consulting Agreement”). Pursuant to the terms of the Transition Agreement, subject to his timely delivering a release of claims in the Company’s favor, Dr. Mickle will receive severance payments and benefits consisting of (i) continued payment of his base salary for 18 months following the date on which Dr. Mickle’s employment with the Company ends (the “Separation Date”), (ii) up to 18 months of continued medical, dental and vision coverage pursuant to COBRA and (iii) a one-time, lump sum bonus payment equal to a pro rata amount of his annual performance-based target bonus for the year in which the Separation Date occurs. In addition, immediately prior to the Separation Date, all outstanding options to purchase the Company’s common stock held by Dr. Mickle will be vested in full, and such accelerated vested options may be exercised through the later of (i) the 18-month anniversary of the date of the Transition Agreement and (ii) the date of the termination of the Consulting Agreement. Pursuant to the terms of the Consulting Agreement, Dr. Mickle has agreed to provide consulting services until the first anniversary of the Company’s 2023 Annual Meeting of Stockholders. In exchange for such services, Dr. Mickle will receive consulting fees of $40,000 per month. In addition, Dr. Mickle was granted, under the A&amp;R 2014 Plan, 547,945 performance-based restricted stock units, which will vest in full upon the timely achievement of a clinical and development milestone, subject to forfeiture upon certain disqualifying events.</w:t>
      </w:r>
    </w:p>
    <w:p>
      <w:pPr>
        <w:spacing w:after="0" w:line="214" w:lineRule="exact"/>
        <w:rPr>
          <w:sz w:val="20"/>
          <w:szCs w:val="20"/>
          <w:color w:val="auto"/>
        </w:rPr>
      </w:pPr>
    </w:p>
    <w:p>
      <w:pPr>
        <w:ind w:left="660" w:hanging="654"/>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evaluated events and transactions occurring subsequent to December 31, 2022, through March 7, 2023, the date the accompanying financial statements were issued. During this period, there were no subsequent events, other than the debt activity discussed in Note G, the adoption of the 2023 Plan discussed in Note K, and the significant events disclosed in Note Q, that required recognition in the accompanying consolidated financial statements nor were there any additional nonrecognized subsequent events that required disclosure.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60" w:type="dxa"/>
            <w:vAlign w:val="bottom"/>
            <w:gridSpan w:val="13"/>
          </w:tcPr>
          <w:p>
            <w:pPr>
              <w:jc w:val="center"/>
              <w:ind w:right="4960"/>
              <w:spacing w:after="0"/>
              <w:rPr>
                <w:sz w:val="20"/>
                <w:szCs w:val="20"/>
                <w:color w:val="auto"/>
              </w:rPr>
            </w:pPr>
            <w:r>
              <w:rPr>
                <w:rFonts w:ascii="Times New Roman" w:cs="Times New Roman" w:eastAsia="Times New Roman" w:hAnsi="Times New Roman"/>
                <w:sz w:val="18"/>
                <w:szCs w:val="18"/>
                <w:b w:val="1"/>
                <w:bCs w:val="1"/>
                <w:color w:val="auto"/>
                <w:w w:val="98"/>
              </w:rPr>
              <w:t>EXHIBITS</w:t>
            </w:r>
          </w:p>
        </w:tc>
      </w:tr>
      <w:tr>
        <w:trPr>
          <w:trHeight w:val="423"/>
        </w:trPr>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gridSpan w:val="13"/>
          </w:tcPr>
          <w:p>
            <w:pPr>
              <w:ind w:left="7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6"/>
        </w:trPr>
        <w:tc>
          <w:tcPr>
            <w:tcW w:w="100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4"/>
                <w:szCs w:val="14"/>
                <w:color w:val="auto"/>
              </w:rPr>
            </w:pPr>
          </w:p>
        </w:tc>
        <w:tc>
          <w:tcPr>
            <w:tcW w:w="5620" w:type="dxa"/>
            <w:vAlign w:val="bottom"/>
            <w:tcBorders>
              <w:bottom w:val="single" w:sz="8" w:color="0000EE"/>
            </w:tcBorders>
            <w:gridSpan w:val="13"/>
          </w:tcPr>
          <w:p>
            <w:pPr>
              <w:spacing w:after="0" w:line="165" w:lineRule="exact"/>
              <w:rPr>
                <w:rFonts w:ascii="Times New Roman" w:cs="Times New Roman" w:eastAsia="Times New Roman" w:hAnsi="Times New Roman"/>
                <w:sz w:val="18"/>
                <w:szCs w:val="18"/>
                <w:color w:val="0000EE"/>
                <w:w w:val="98"/>
              </w:rPr>
            </w:pPr>
            <w:hyperlink r:id="rId165">
              <w:r>
                <w:rPr>
                  <w:rFonts w:ascii="Times New Roman" w:cs="Times New Roman" w:eastAsia="Times New Roman" w:hAnsi="Times New Roman"/>
                  <w:sz w:val="18"/>
                  <w:szCs w:val="18"/>
                  <w:color w:val="0000EE"/>
                  <w:w w:val="98"/>
                </w:rPr>
                <w:t>Amended and Restated Certificate of Incorporation of Zevra Therapeutics, Inc.</w:t>
              </w:r>
            </w:hyperlink>
          </w:p>
        </w:tc>
        <w:tc>
          <w:tcPr>
            <w:tcW w:w="4460" w:type="dxa"/>
            <w:vAlign w:val="bottom"/>
            <w:gridSpan w:val="10"/>
          </w:tcPr>
          <w:p>
            <w:pPr>
              <w:spacing w:after="0"/>
              <w:rPr>
                <w:sz w:val="14"/>
                <w:szCs w:val="14"/>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3.1.1</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Certificate of Amendment of Amended and Restated Certificate of Incorporation of the Company, effective as of December 23, 2020</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3"/>
          </w:tcPr>
          <w:p>
            <w:pPr>
              <w:spacing w:after="0" w:line="192"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(incorporated herein by reference to Registrant's Current Report on Form 8-K as filed with the SEC on December 23,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3.1.2</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Certificate of Elimination of Series A Convertible Preferred Stock of Zevra Therapeutics, Inc. (incorporated herein by reference to the</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0" w:type="dxa"/>
            <w:vAlign w:val="bottom"/>
            <w:tcBorders>
              <w:bottom w:val="single" w:sz="8" w:color="0000EE"/>
            </w:tcBorders>
            <w:gridSpan w:val="14"/>
          </w:tcPr>
          <w:p>
            <w:pPr>
              <w:spacing w:after="0" w:line="192" w:lineRule="exact"/>
              <w:rPr>
                <w:rFonts w:ascii="Times New Roman" w:cs="Times New Roman" w:eastAsia="Times New Roman" w:hAnsi="Times New Roman"/>
                <w:sz w:val="18"/>
                <w:szCs w:val="18"/>
                <w:color w:val="0000EE"/>
                <w:w w:val="97"/>
              </w:rPr>
            </w:pPr>
            <w:hyperlink r:id="rId167">
              <w:r>
                <w:rPr>
                  <w:rFonts w:ascii="Times New Roman" w:cs="Times New Roman" w:eastAsia="Times New Roman" w:hAnsi="Times New Roman"/>
                  <w:sz w:val="18"/>
                  <w:szCs w:val="18"/>
                  <w:color w:val="0000EE"/>
                  <w:w w:val="97"/>
                </w:rPr>
                <w:t>Registrant's Current Report on Form 8-K as filed with the SEC on June 23, 2021).</w:t>
              </w:r>
            </w:hyperlink>
          </w:p>
        </w:tc>
        <w:tc>
          <w:tcPr>
            <w:tcW w:w="4280" w:type="dxa"/>
            <w:vAlign w:val="bottom"/>
            <w:gridSpan w:val="9"/>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3.1.3</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Certificate of Elimination of Series B-1 Convertible Preferred Stock of Zevra Therapeutics, Inc. (incorporated herein by reference to the</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0" w:type="dxa"/>
            <w:vAlign w:val="bottom"/>
            <w:tcBorders>
              <w:bottom w:val="single" w:sz="8" w:color="0000EE"/>
            </w:tcBorders>
            <w:gridSpan w:val="14"/>
          </w:tcPr>
          <w:p>
            <w:pPr>
              <w:spacing w:after="0" w:line="192" w:lineRule="exact"/>
              <w:rPr>
                <w:rFonts w:ascii="Times New Roman" w:cs="Times New Roman" w:eastAsia="Times New Roman" w:hAnsi="Times New Roman"/>
                <w:sz w:val="18"/>
                <w:szCs w:val="18"/>
                <w:color w:val="0000EE"/>
                <w:w w:val="97"/>
              </w:rPr>
            </w:pPr>
            <w:hyperlink r:id="rId168">
              <w:r>
                <w:rPr>
                  <w:rFonts w:ascii="Times New Roman" w:cs="Times New Roman" w:eastAsia="Times New Roman" w:hAnsi="Times New Roman"/>
                  <w:sz w:val="18"/>
                  <w:szCs w:val="18"/>
                  <w:color w:val="0000EE"/>
                  <w:w w:val="97"/>
                </w:rPr>
                <w:t>Registrant's Current Report on Form 8-K as filed with the SEC on June 23, 2021).</w:t>
              </w:r>
            </w:hyperlink>
          </w:p>
        </w:tc>
        <w:tc>
          <w:tcPr>
            <w:tcW w:w="4280" w:type="dxa"/>
            <w:vAlign w:val="bottom"/>
            <w:gridSpan w:val="9"/>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3.1.4</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Certificate of Elimination of Series B-2 Convertible Preferred Stock of Zevra Therapeutics, Inc. (incorporated herein by reference to the</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0" w:type="dxa"/>
            <w:vAlign w:val="bottom"/>
            <w:tcBorders>
              <w:bottom w:val="single" w:sz="8" w:color="0000EE"/>
            </w:tcBorders>
            <w:gridSpan w:val="14"/>
          </w:tcPr>
          <w:p>
            <w:pPr>
              <w:spacing w:after="0" w:line="192" w:lineRule="exact"/>
              <w:rPr>
                <w:rFonts w:ascii="Times New Roman" w:cs="Times New Roman" w:eastAsia="Times New Roman" w:hAnsi="Times New Roman"/>
                <w:sz w:val="18"/>
                <w:szCs w:val="18"/>
                <w:color w:val="0000EE"/>
                <w:w w:val="97"/>
              </w:rPr>
            </w:pPr>
            <w:hyperlink r:id="rId169">
              <w:r>
                <w:rPr>
                  <w:rFonts w:ascii="Times New Roman" w:cs="Times New Roman" w:eastAsia="Times New Roman" w:hAnsi="Times New Roman"/>
                  <w:sz w:val="18"/>
                  <w:szCs w:val="18"/>
                  <w:color w:val="0000EE"/>
                  <w:w w:val="97"/>
                </w:rPr>
                <w:t>Registrant's Current Report on Form 8-K as filed with the SEC on June 23, 2021).</w:t>
              </w:r>
            </w:hyperlink>
          </w:p>
        </w:tc>
        <w:tc>
          <w:tcPr>
            <w:tcW w:w="4280" w:type="dxa"/>
            <w:vAlign w:val="bottom"/>
            <w:gridSpan w:val="9"/>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3.1.5</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7"/>
              </w:rPr>
            </w:pPr>
            <w:hyperlink r:id="rId170">
              <w:r>
                <w:rPr>
                  <w:rFonts w:ascii="Times New Roman" w:cs="Times New Roman" w:eastAsia="Times New Roman" w:hAnsi="Times New Roman"/>
                  <w:sz w:val="18"/>
                  <w:szCs w:val="18"/>
                  <w:color w:val="0000EE"/>
                  <w:w w:val="97"/>
                </w:rPr>
                <w:t>Certificate of Amendment of Amended and Restated Certificate of Incorporation of Zevra Therapeutics, Inc. (incorporated herein by reference</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580" w:type="dxa"/>
            <w:vAlign w:val="bottom"/>
            <w:tcBorders>
              <w:bottom w:val="single" w:sz="8" w:color="0000EE"/>
            </w:tcBorders>
            <w:gridSpan w:val="16"/>
          </w:tcPr>
          <w:p>
            <w:pPr>
              <w:spacing w:after="0" w:line="192" w:lineRule="exact"/>
              <w:rPr>
                <w:rFonts w:ascii="Times New Roman" w:cs="Times New Roman" w:eastAsia="Times New Roman" w:hAnsi="Times New Roman"/>
                <w:sz w:val="18"/>
                <w:szCs w:val="18"/>
                <w:color w:val="0000EE"/>
                <w:w w:val="97"/>
              </w:rPr>
            </w:pPr>
            <w:hyperlink r:id="rId170">
              <w:r>
                <w:rPr>
                  <w:rFonts w:ascii="Times New Roman" w:cs="Times New Roman" w:eastAsia="Times New Roman" w:hAnsi="Times New Roman"/>
                  <w:sz w:val="18"/>
                  <w:szCs w:val="18"/>
                  <w:color w:val="0000EE"/>
                  <w:w w:val="97"/>
                </w:rPr>
                <w:t>to the Registrant’s Current Report on Form 8-K as filed with the SEC on February 24, 2023).</w:t>
              </w:r>
            </w:hyperlink>
          </w:p>
        </w:tc>
        <w:tc>
          <w:tcPr>
            <w:tcW w:w="3500" w:type="dxa"/>
            <w:vAlign w:val="bottom"/>
            <w:gridSpan w:val="7"/>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7"/>
              </w:rPr>
            </w:pPr>
            <w:hyperlink r:id="rId171">
              <w:r>
                <w:rPr>
                  <w:rFonts w:ascii="Times New Roman" w:cs="Times New Roman" w:eastAsia="Times New Roman" w:hAnsi="Times New Roman"/>
                  <w:sz w:val="18"/>
                  <w:szCs w:val="18"/>
                  <w:color w:val="0000EE"/>
                  <w:w w:val="97"/>
                </w:rPr>
                <w:t>Amended and Restated Bylaws, as currently in effect, of Zevra Therapeutics, Inc. (incorporated herein by reference to the Registrant’s Current</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60" w:type="dxa"/>
            <w:vAlign w:val="bottom"/>
            <w:tcBorders>
              <w:bottom w:val="single" w:sz="8" w:color="0000EE"/>
            </w:tcBorders>
            <w:gridSpan w:val="11"/>
          </w:tcPr>
          <w:p>
            <w:pPr>
              <w:spacing w:after="0" w:line="192" w:lineRule="exact"/>
              <w:rPr>
                <w:rFonts w:ascii="Times New Roman" w:cs="Times New Roman" w:eastAsia="Times New Roman" w:hAnsi="Times New Roman"/>
                <w:sz w:val="18"/>
                <w:szCs w:val="18"/>
                <w:color w:val="0000EE"/>
                <w:w w:val="97"/>
              </w:rPr>
            </w:pPr>
            <w:hyperlink r:id="rId171">
              <w:r>
                <w:rPr>
                  <w:rFonts w:ascii="Times New Roman" w:cs="Times New Roman" w:eastAsia="Times New Roman" w:hAnsi="Times New Roman"/>
                  <w:sz w:val="18"/>
                  <w:szCs w:val="18"/>
                  <w:color w:val="0000EE"/>
                  <w:w w:val="97"/>
                </w:rPr>
                <w:t>Report on Form 8-K as filed with the SEC on February 24, 2023).</w:t>
              </w:r>
            </w:hyperlink>
          </w:p>
        </w:tc>
        <w:tc>
          <w:tcPr>
            <w:tcW w:w="5420" w:type="dxa"/>
            <w:vAlign w:val="bottom"/>
            <w:gridSpan w:val="12"/>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Specimen stock certificate evidencing shares of Common Stock (incorporated herein by reference to the Registrant's Annual Report on Form</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0" w:type="dxa"/>
            <w:vAlign w:val="bottom"/>
            <w:tcBorders>
              <w:bottom w:val="single" w:sz="8" w:color="0000EE"/>
            </w:tcBorders>
            <w:gridSpan w:val="9"/>
          </w:tcPr>
          <w:p>
            <w:pPr>
              <w:spacing w:after="0" w:line="192" w:lineRule="exact"/>
              <w:rPr>
                <w:rFonts w:ascii="Times New Roman" w:cs="Times New Roman" w:eastAsia="Times New Roman" w:hAnsi="Times New Roman"/>
                <w:sz w:val="18"/>
                <w:szCs w:val="18"/>
                <w:color w:val="0000EE"/>
                <w:w w:val="97"/>
              </w:rPr>
            </w:pPr>
            <w:hyperlink r:id="rId172">
              <w:r>
                <w:rPr>
                  <w:rFonts w:ascii="Times New Roman" w:cs="Times New Roman" w:eastAsia="Times New Roman" w:hAnsi="Times New Roman"/>
                  <w:sz w:val="18"/>
                  <w:szCs w:val="18"/>
                  <w:color w:val="0000EE"/>
                  <w:w w:val="97"/>
                </w:rPr>
                <w:t>10-K as filed with the SEC on March 12, 2021).</w:t>
              </w:r>
            </w:hyperlink>
          </w:p>
        </w:tc>
        <w:tc>
          <w:tcPr>
            <w:tcW w:w="6680" w:type="dxa"/>
            <w:vAlign w:val="bottom"/>
            <w:gridSpan w:val="14"/>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Form of Common Stock Purchase Warrant and schedule of holders (incorporated herein by reference to the Registrant's Current Report on</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3"/>
          </w:tcPr>
          <w:p>
            <w:pPr>
              <w:spacing w:after="0" w:line="192"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Form 8-K as filed with the SEC on January 13, 2021).</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4.3</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Form of Inducement Warrant (incorporated herein by reference to the Registrant's Current Report on Form 8-K as filed with the SEC on</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Borders>
              <w:bottom w:val="single" w:sz="8" w:color="0000EE"/>
            </w:tcBorders>
            <w:gridSpan w:val="4"/>
          </w:tcPr>
          <w:p>
            <w:pPr>
              <w:spacing w:after="0" w:line="192" w:lineRule="exact"/>
              <w:rPr>
                <w:rFonts w:ascii="Times New Roman" w:cs="Times New Roman" w:eastAsia="Times New Roman" w:hAnsi="Times New Roman"/>
                <w:sz w:val="18"/>
                <w:szCs w:val="18"/>
                <w:color w:val="0000EE"/>
                <w:w w:val="96"/>
              </w:rPr>
            </w:pPr>
            <w:hyperlink r:id="rId174">
              <w:r>
                <w:rPr>
                  <w:rFonts w:ascii="Times New Roman" w:cs="Times New Roman" w:eastAsia="Times New Roman" w:hAnsi="Times New Roman"/>
                  <w:sz w:val="18"/>
                  <w:szCs w:val="18"/>
                  <w:color w:val="0000EE"/>
                  <w:w w:val="96"/>
                </w:rPr>
                <w:t>January 26, 2021).</w:t>
              </w:r>
            </w:hyperlink>
          </w:p>
        </w:tc>
        <w:tc>
          <w:tcPr>
            <w:tcW w:w="8760" w:type="dxa"/>
            <w:vAlign w:val="bottom"/>
            <w:gridSpan w:val="19"/>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4.4</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8"/>
              </w:rPr>
            </w:pPr>
            <w:hyperlink r:id="rId175">
              <w:r>
                <w:rPr>
                  <w:rFonts w:ascii="Times New Roman" w:cs="Times New Roman" w:eastAsia="Times New Roman" w:hAnsi="Times New Roman"/>
                  <w:sz w:val="18"/>
                  <w:szCs w:val="18"/>
                  <w:color w:val="0000EE"/>
                  <w:w w:val="98"/>
                </w:rPr>
                <w:t>Form of Inducement Warrant (incorporated herein by reference to the Registrant's Current Report on Form 8-K as filed with the SEC on June</w:t>
              </w:r>
            </w:hyperlink>
          </w:p>
        </w:tc>
      </w:tr>
      <w:tr>
        <w:trPr>
          <w:trHeight w:val="192"/>
        </w:trPr>
        <w:tc>
          <w:tcPr>
            <w:tcW w:w="1000" w:type="dxa"/>
            <w:vAlign w:val="bottom"/>
          </w:tcPr>
          <w:p>
            <w:pPr>
              <w:spacing w:after="0"/>
              <w:rPr>
                <w:sz w:val="16"/>
                <w:szCs w:val="16"/>
                <w:color w:val="auto"/>
              </w:rPr>
            </w:pPr>
          </w:p>
        </w:tc>
        <w:tc>
          <w:tcPr>
            <w:tcW w:w="880" w:type="dxa"/>
            <w:vAlign w:val="bottom"/>
            <w:gridSpan w:val="3"/>
          </w:tcPr>
          <w:p>
            <w:pPr>
              <w:ind w:left="160"/>
              <w:spacing w:after="0" w:line="192" w:lineRule="exact"/>
              <w:rPr>
                <w:rFonts w:ascii="Times New Roman" w:cs="Times New Roman" w:eastAsia="Times New Roman" w:hAnsi="Times New Roman"/>
                <w:sz w:val="18"/>
                <w:szCs w:val="18"/>
                <w:color w:val="0000EE"/>
                <w:w w:val="95"/>
              </w:rPr>
            </w:pPr>
            <w:hyperlink r:id="rId175">
              <w:r>
                <w:rPr>
                  <w:rFonts w:ascii="Times New Roman" w:cs="Times New Roman" w:eastAsia="Times New Roman" w:hAnsi="Times New Roman"/>
                  <w:sz w:val="18"/>
                  <w:szCs w:val="18"/>
                  <w:color w:val="0000EE"/>
                  <w:w w:val="95"/>
                </w:rPr>
                <w:t>23, 2021).</w:t>
              </w:r>
            </w:hyperlink>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6"/>
                <w:szCs w:val="16"/>
                <w:color w:val="auto"/>
              </w:rPr>
            </w:pPr>
          </w:p>
        </w:tc>
        <w:tc>
          <w:tcPr>
            <w:tcW w:w="10080" w:type="dxa"/>
            <w:vAlign w:val="bottom"/>
            <w:gridSpan w:val="23"/>
          </w:tcPr>
          <w:p>
            <w:pPr>
              <w:spacing w:after="0" w:line="192" w:lineRule="exact"/>
              <w:rPr>
                <w:sz w:val="20"/>
                <w:szCs w:val="20"/>
                <w:color w:val="auto"/>
              </w:rPr>
            </w:pPr>
            <w:r>
              <w:rPr>
                <w:rFonts w:ascii="Times New Roman" w:cs="Times New Roman" w:eastAsia="Times New Roman" w:hAnsi="Times New Roman"/>
                <w:sz w:val="18"/>
                <w:szCs w:val="18"/>
                <w:color w:val="0000EE"/>
              </w:rPr>
              <w:t>Description of the Registrant’s Securities Registered Pursuant to Section 12 of the Securities Exchange Act of 1934.</w:t>
            </w: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4"/>
                <w:szCs w:val="14"/>
                <w:color w:val="auto"/>
              </w:rPr>
              <w:t>10.1</w:t>
            </w:r>
            <w:r>
              <w:rPr>
                <w:rFonts w:ascii="Times New Roman" w:cs="Times New Roman" w:eastAsia="Times New Roman" w:hAnsi="Times New Roman"/>
                <w:sz w:val="22"/>
                <w:szCs w:val="22"/>
                <w:color w:val="auto"/>
                <w:vertAlign w:val="superscript"/>
              </w:rPr>
              <w:t>+</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Material Supply Agreement, by and between the Registrant and Johnson Matthey, Inc., dated as of November 2, 2009 (incorporated by</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reference Registrant’s Amendment No. 1 to Registration Statement on Form S-1/A (File No. 333-202660) as filed with the SEC on April</w:t>
              </w:r>
            </w:hyperlink>
          </w:p>
        </w:tc>
      </w:tr>
      <w:tr>
        <w:trPr>
          <w:trHeight w:val="192"/>
        </w:trPr>
        <w:tc>
          <w:tcPr>
            <w:tcW w:w="1000" w:type="dxa"/>
            <w:vAlign w:val="bottom"/>
          </w:tcPr>
          <w:p>
            <w:pPr>
              <w:spacing w:after="0"/>
              <w:rPr>
                <w:sz w:val="16"/>
                <w:szCs w:val="16"/>
                <w:color w:val="auto"/>
              </w:rPr>
            </w:pPr>
          </w:p>
        </w:tc>
        <w:tc>
          <w:tcPr>
            <w:tcW w:w="800" w:type="dxa"/>
            <w:vAlign w:val="bottom"/>
            <w:gridSpan w:val="2"/>
          </w:tcPr>
          <w:p>
            <w:pPr>
              <w:ind w:left="160"/>
              <w:spacing w:after="0" w:line="192" w:lineRule="exact"/>
              <w:rPr>
                <w:rFonts w:ascii="Times New Roman" w:cs="Times New Roman" w:eastAsia="Times New Roman" w:hAnsi="Times New Roman"/>
                <w:sz w:val="18"/>
                <w:szCs w:val="18"/>
                <w:color w:val="0000EE"/>
                <w:w w:val="96"/>
              </w:rPr>
            </w:pPr>
            <w:hyperlink r:id="rId176">
              <w:r>
                <w:rPr>
                  <w:rFonts w:ascii="Times New Roman" w:cs="Times New Roman" w:eastAsia="Times New Roman" w:hAnsi="Times New Roman"/>
                  <w:sz w:val="18"/>
                  <w:szCs w:val="18"/>
                  <w:color w:val="0000EE"/>
                  <w:w w:val="96"/>
                </w:rPr>
                <w:t>3, 2015).</w:t>
              </w:r>
            </w:hyperlink>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7"/>
              </w:rPr>
            </w:pPr>
            <w:hyperlink r:id="rId177">
              <w:r>
                <w:rPr>
                  <w:rFonts w:ascii="Times New Roman" w:cs="Times New Roman" w:eastAsia="Times New Roman" w:hAnsi="Times New Roman"/>
                  <w:sz w:val="18"/>
                  <w:szCs w:val="18"/>
                  <w:color w:val="0000EE"/>
                  <w:w w:val="97"/>
                </w:rPr>
                <w:t>Payoff letter, dated as of February 8, 2021, by and among the Company and the lenders named therein (incorporated herein by reference to the</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3"/>
          </w:tcPr>
          <w:p>
            <w:pPr>
              <w:spacing w:after="0" w:line="192"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Registrant's Current Report on Form 8-K as filed with the SEC on February 9, 2021).</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8"/>
              </w:rPr>
            </w:pPr>
            <w:hyperlink r:id="rId178">
              <w:r>
                <w:rPr>
                  <w:rFonts w:ascii="Times New Roman" w:cs="Times New Roman" w:eastAsia="Times New Roman" w:hAnsi="Times New Roman"/>
                  <w:sz w:val="18"/>
                  <w:szCs w:val="18"/>
                  <w:color w:val="0000EE"/>
                  <w:w w:val="98"/>
                </w:rPr>
                <w:t>Second Amendment to Senior Secured Convertible Note and Warrant, by and between Registrant and Deerfield Private Design Fund III, L.P.,</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3"/>
          </w:tcPr>
          <w:p>
            <w:pPr>
              <w:spacing w:after="0" w:line="192" w:lineRule="exact"/>
              <w:rPr>
                <w:rFonts w:ascii="Times New Roman" w:cs="Times New Roman" w:eastAsia="Times New Roman" w:hAnsi="Times New Roman"/>
                <w:sz w:val="18"/>
                <w:szCs w:val="18"/>
                <w:color w:val="0000EE"/>
                <w:w w:val="98"/>
              </w:rPr>
            </w:pPr>
            <w:hyperlink r:id="rId178">
              <w:r>
                <w:rPr>
                  <w:rFonts w:ascii="Times New Roman" w:cs="Times New Roman" w:eastAsia="Times New Roman" w:hAnsi="Times New Roman"/>
                  <w:sz w:val="18"/>
                  <w:szCs w:val="18"/>
                  <w:color w:val="0000EE"/>
                  <w:w w:val="98"/>
                </w:rPr>
                <w:t>dated January 6, 2016 (incorporated by reference to the Registrant’s Current Report on Form 8-K as filed with the SEC on January 11, 2016).</w:t>
              </w:r>
            </w:hyperlink>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10.3.1</w:t>
            </w:r>
          </w:p>
        </w:tc>
        <w:tc>
          <w:tcPr>
            <w:tcW w:w="160" w:type="dxa"/>
            <w:vAlign w:val="bottom"/>
          </w:tcPr>
          <w:p>
            <w:pPr>
              <w:spacing w:after="0"/>
              <w:rPr>
                <w:sz w:val="16"/>
                <w:szCs w:val="16"/>
                <w:color w:val="auto"/>
              </w:rPr>
            </w:pPr>
          </w:p>
        </w:tc>
        <w:tc>
          <w:tcPr>
            <w:tcW w:w="9660" w:type="dxa"/>
            <w:vAlign w:val="bottom"/>
            <w:tcBorders>
              <w:top w:val="single" w:sz="8" w:color="0000EE"/>
              <w:bottom w:val="single" w:sz="8" w:color="0000EE"/>
            </w:tcBorders>
            <w:gridSpan w:val="19"/>
          </w:tcPr>
          <w:p>
            <w:pPr>
              <w:spacing w:after="0" w:line="192" w:lineRule="exact"/>
              <w:rPr>
                <w:rFonts w:ascii="Times New Roman" w:cs="Times New Roman" w:eastAsia="Times New Roman" w:hAnsi="Times New Roman"/>
                <w:sz w:val="18"/>
                <w:szCs w:val="18"/>
                <w:color w:val="0000EE"/>
                <w:w w:val="97"/>
              </w:rPr>
            </w:pPr>
            <w:hyperlink r:id="rId179">
              <w:r>
                <w:rPr>
                  <w:rFonts w:ascii="Times New Roman" w:cs="Times New Roman" w:eastAsia="Times New Roman" w:hAnsi="Times New Roman"/>
                  <w:sz w:val="18"/>
                  <w:szCs w:val="18"/>
                  <w:color w:val="0000EE"/>
                  <w:w w:val="97"/>
                </w:rPr>
                <w:t>Fourth Amendment to Senior Secured Convertible Note and Warrant, effective as of October 3, 2016, by and between the Registrant and</w:t>
              </w:r>
            </w:hyperlink>
          </w:p>
        </w:tc>
        <w:tc>
          <w:tcPr>
            <w:tcW w:w="320" w:type="dxa"/>
            <w:vAlign w:val="bottom"/>
            <w:tcBorders>
              <w:top w:val="single" w:sz="8" w:color="0000EE"/>
            </w:tcBorders>
          </w:tcPr>
          <w:p>
            <w:pPr>
              <w:spacing w:after="0"/>
              <w:rPr>
                <w:sz w:val="16"/>
                <w:szCs w:val="16"/>
                <w:color w:val="auto"/>
              </w:rPr>
            </w:pPr>
          </w:p>
        </w:tc>
        <w:tc>
          <w:tcPr>
            <w:tcW w:w="100" w:type="dxa"/>
            <w:vAlign w:val="bottom"/>
            <w:gridSpan w:val="3"/>
          </w:tcPr>
          <w:p>
            <w:pPr>
              <w:spacing w:after="0"/>
              <w:rPr>
                <w:sz w:val="16"/>
                <w:szCs w:val="16"/>
                <w:color w:val="auto"/>
              </w:rPr>
            </w:pPr>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7"/>
              </w:rPr>
            </w:pPr>
            <w:hyperlink r:id="rId179">
              <w:r>
                <w:rPr>
                  <w:rFonts w:ascii="Times New Roman" w:cs="Times New Roman" w:eastAsia="Times New Roman" w:hAnsi="Times New Roman"/>
                  <w:sz w:val="18"/>
                  <w:szCs w:val="18"/>
                  <w:color w:val="0000EE"/>
                  <w:w w:val="97"/>
                </w:rPr>
                <w:t>Deerfield Private Design Fund III, L.P. (incorporated herein by reference to the Registrant's Current Report on Form 8-K as filed with the SEC</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3"/>
          </w:tcPr>
          <w:p>
            <w:pPr>
              <w:spacing w:after="0" w:line="192"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on October 3, 2016).</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10.3.2</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Amendment to Convertible Note and Warrant Agreement, dated November 20, 2018, between the Company and Deerfield Private Design</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20" w:type="dxa"/>
            <w:vAlign w:val="bottom"/>
            <w:tcBorders>
              <w:bottom w:val="single" w:sz="8" w:color="0000EE"/>
            </w:tcBorders>
            <w:gridSpan w:val="21"/>
          </w:tcPr>
          <w:p>
            <w:pPr>
              <w:spacing w:after="0" w:line="192" w:lineRule="exact"/>
              <w:rPr>
                <w:rFonts w:ascii="Times New Roman" w:cs="Times New Roman" w:eastAsia="Times New Roman" w:hAnsi="Times New Roman"/>
                <w:sz w:val="18"/>
                <w:szCs w:val="18"/>
                <w:color w:val="0000EE"/>
                <w:w w:val="97"/>
              </w:rPr>
            </w:pPr>
            <w:hyperlink r:id="rId180">
              <w:r>
                <w:rPr>
                  <w:rFonts w:ascii="Times New Roman" w:cs="Times New Roman" w:eastAsia="Times New Roman" w:hAnsi="Times New Roman"/>
                  <w:sz w:val="18"/>
                  <w:szCs w:val="18"/>
                  <w:color w:val="0000EE"/>
                  <w:w w:val="97"/>
                </w:rPr>
                <w:t>Fund III, L.P. (as incorporated herein by reference to the Company's Current Report on Form 8-K filed with the SEC on November 20, 2018).</w:t>
              </w:r>
            </w:hyperlink>
          </w:p>
        </w:tc>
        <w:tc>
          <w:tcPr>
            <w:tcW w:w="60" w:type="dxa"/>
            <w:vAlign w:val="bottom"/>
            <w:gridSpan w:val="2"/>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10.3.3</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8"/>
              </w:rPr>
            </w:pPr>
            <w:hyperlink r:id="rId181">
              <w:r>
                <w:rPr>
                  <w:rFonts w:ascii="Times New Roman" w:cs="Times New Roman" w:eastAsia="Times New Roman" w:hAnsi="Times New Roman"/>
                  <w:sz w:val="18"/>
                  <w:szCs w:val="18"/>
                  <w:color w:val="0000EE"/>
                  <w:w w:val="98"/>
                </w:rPr>
                <w:t>Seventh Amendment to Senior Secured Convertible Note and Sixth Amendment to Warrant, dated February 28, 2019, between the Company</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7"/>
              </w:rPr>
            </w:pPr>
            <w:hyperlink r:id="rId181">
              <w:r>
                <w:rPr>
                  <w:rFonts w:ascii="Times New Roman" w:cs="Times New Roman" w:eastAsia="Times New Roman" w:hAnsi="Times New Roman"/>
                  <w:sz w:val="18"/>
                  <w:szCs w:val="18"/>
                  <w:color w:val="0000EE"/>
                  <w:w w:val="97"/>
                </w:rPr>
                <w:t>and Deerfield Private Design Fund III, L.P. (incorporated herein by reference to the Registrant's Annual Report on Form 10-K as filed with the</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3"/>
          </w:tcPr>
          <w:p>
            <w:pPr>
              <w:spacing w:after="0" w:line="192"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SEC on March 1, 2019).</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49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10.3.4</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Amendment to Senior Secured Convertible Notes and Amendment to Warrant, dated as of February 17, 2020, by and among Registrant and</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the noteholders party thereto (incorporated herein by reference to the Registrant’s Current Report on Form 8-K as filed with the SEC on</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Borders>
              <w:bottom w:val="single" w:sz="8" w:color="0000EE"/>
            </w:tcBorders>
            <w:gridSpan w:val="5"/>
          </w:tcPr>
          <w:p>
            <w:pPr>
              <w:spacing w:after="0" w:line="192" w:lineRule="exact"/>
              <w:rPr>
                <w:rFonts w:ascii="Times New Roman" w:cs="Times New Roman" w:eastAsia="Times New Roman" w:hAnsi="Times New Roman"/>
                <w:sz w:val="18"/>
                <w:szCs w:val="18"/>
                <w:color w:val="0000EE"/>
                <w:w w:val="96"/>
              </w:rPr>
            </w:pPr>
            <w:hyperlink r:id="rId182">
              <w:r>
                <w:rPr>
                  <w:rFonts w:ascii="Times New Roman" w:cs="Times New Roman" w:eastAsia="Times New Roman" w:hAnsi="Times New Roman"/>
                  <w:sz w:val="18"/>
                  <w:szCs w:val="18"/>
                  <w:color w:val="0000EE"/>
                  <w:w w:val="96"/>
                </w:rPr>
                <w:t>February 18, 2020)</w:t>
              </w:r>
            </w:hyperlink>
          </w:p>
        </w:tc>
        <w:tc>
          <w:tcPr>
            <w:tcW w:w="8720" w:type="dxa"/>
            <w:vAlign w:val="bottom"/>
            <w:gridSpan w:val="18"/>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10.3.5</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Amendment to Senior Secured Convertible Notes and Amendment to Warrant, dated as of January  12, 2021, by and among the Company,</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Deerfield Private Design Fund III, L.P. and Deerfield Special Situations Fund, L.P.(incorporated herein by reference to the Registrant's</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3"/>
          </w:tcPr>
          <w:p>
            <w:pPr>
              <w:spacing w:after="0" w:line="192"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Current Report on Form 8-K as filed with the SEC on January 13, 2021)</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49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Warrant to Purchase Shares of Series D Preferred Stock issued to Deerfield Private Design Fund III, L.P., dated as of June 2, 2014</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3"/>
          </w:tcPr>
          <w:p>
            <w:pPr>
              <w:spacing w:after="0" w:line="192"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(incorporated herein by reference to the Registrant’s Registration Statement on Form S-1 (File No. 333-202660) as filed with the SEC on</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Borders>
              <w:top w:val="single" w:sz="8" w:color="0000EE"/>
              <w:bottom w:val="single" w:sz="8" w:color="0000EE"/>
            </w:tcBorders>
            <w:gridSpan w:val="3"/>
          </w:tcPr>
          <w:p>
            <w:pPr>
              <w:spacing w:after="0" w:line="192" w:lineRule="exact"/>
              <w:rPr>
                <w:rFonts w:ascii="Times New Roman" w:cs="Times New Roman" w:eastAsia="Times New Roman" w:hAnsi="Times New Roman"/>
                <w:sz w:val="18"/>
                <w:szCs w:val="18"/>
                <w:color w:val="0000EE"/>
                <w:w w:val="95"/>
              </w:rPr>
            </w:pPr>
            <w:hyperlink r:id="rId184">
              <w:r>
                <w:rPr>
                  <w:rFonts w:ascii="Times New Roman" w:cs="Times New Roman" w:eastAsia="Times New Roman" w:hAnsi="Times New Roman"/>
                  <w:sz w:val="18"/>
                  <w:szCs w:val="18"/>
                  <w:color w:val="0000EE"/>
                  <w:w w:val="95"/>
                </w:rPr>
                <w:t>March 11, 2015).</w:t>
              </w:r>
            </w:hyperlink>
          </w:p>
        </w:tc>
        <w:tc>
          <w:tcPr>
            <w:tcW w:w="8840" w:type="dxa"/>
            <w:vAlign w:val="bottom"/>
            <w:tcBorders>
              <w:top w:val="single" w:sz="8" w:color="0000EE"/>
            </w:tcBorders>
            <w:gridSpan w:val="19"/>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10.4.1</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Form of Stock Purchase Warrant to purchase shares of Series D Convertible Preferred Stock issued in bridge financing, along with a schedule</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of warrant holders (incorporated herein by reference to the Registrant’s Registration Statement on Form S-1 (File No. 333-202660) as filed</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3"/>
          </w:tcPr>
          <w:p>
            <w:pPr>
              <w:spacing w:after="0" w:line="192"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with the SEC on March 11, 2015).</w:t>
              </w:r>
            </w:hyperlink>
          </w:p>
        </w:tc>
      </w:tr>
      <w:tr>
        <w:trPr>
          <w:trHeight w:val="445"/>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top w:val="single" w:sz="8" w:color="0000EE"/>
            </w:tcBorders>
            <w:gridSpan w:val="8"/>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10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53" w:name="page154"/>
    <w:bookmarkEnd w:id="153"/>
    <w:p>
      <w:pPr>
        <w:spacing w:after="0" w:line="193" w:lineRule="auto"/>
        <w:framePr w:w="700" w:h="157" w:wrap="auto" w:vAnchor="page" w:hAnchor="page" w:x="480" w:y="1096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10.14.1#</w:t>
      </w:r>
    </w:p>
    <w:p>
      <w:pPr>
        <w:spacing w:after="0" w:line="193" w:lineRule="auto"/>
        <w:framePr w:w="560" w:h="157" w:wrap="auto" w:vAnchor="page" w:hAnchor="page" w:x="540" w:y="1054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10.14#</w:t>
      </w:r>
    </w:p>
    <w:p>
      <w:pPr>
        <w:spacing w:after="0" w:line="193" w:lineRule="auto"/>
        <w:framePr w:w="560" w:h="157" w:wrap="auto" w:vAnchor="page" w:hAnchor="page" w:x="540" w:y="1011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10.13#</w:t>
      </w:r>
    </w:p>
    <w:p>
      <w:pPr>
        <w:spacing w:after="0" w:line="193" w:lineRule="auto"/>
        <w:framePr w:w="800" w:h="157" w:wrap="auto" w:vAnchor="page" w:hAnchor="page" w:x="420" w:y="9695"/>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10.12.3#+</w:t>
      </w:r>
    </w:p>
    <w:p>
      <w:pPr>
        <w:spacing w:after="0" w:line="193" w:lineRule="auto"/>
        <w:framePr w:w="700" w:h="157" w:wrap="auto" w:vAnchor="page" w:hAnchor="page" w:x="480" w:y="9271"/>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10.12.2#</w:t>
      </w:r>
    </w:p>
    <w:p>
      <w:pPr>
        <w:spacing w:after="0" w:line="193" w:lineRule="auto"/>
        <w:framePr w:w="700" w:h="157" w:wrap="auto" w:vAnchor="page" w:hAnchor="page" w:x="480" w:y="884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10.12.1#</w:t>
      </w:r>
    </w:p>
    <w:p>
      <w:pPr>
        <w:spacing w:after="0" w:line="193" w:lineRule="auto"/>
        <w:framePr w:w="560" w:h="157" w:wrap="auto" w:vAnchor="page" w:hAnchor="page" w:x="540" w:y="842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10.12#</w:t>
      </w:r>
    </w:p>
    <w:p>
      <w:pPr>
        <w:spacing w:after="0" w:line="193" w:lineRule="auto"/>
        <w:framePr w:w="680" w:h="157" w:wrap="auto" w:vAnchor="page" w:hAnchor="page" w:x="480" w:y="799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10.11.1#</w:t>
      </w:r>
    </w:p>
    <w:p>
      <w:pPr>
        <w:spacing w:after="0" w:line="193" w:lineRule="auto"/>
        <w:framePr w:w="560" w:h="157" w:wrap="auto" w:vAnchor="page" w:hAnchor="page" w:x="540" w:y="7575"/>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10.11#</w:t>
      </w:r>
    </w:p>
    <w:p>
      <w:pPr>
        <w:spacing w:after="0" w:line="193" w:lineRule="auto"/>
        <w:framePr w:w="700" w:h="157" w:wrap="auto" w:vAnchor="page" w:hAnchor="page" w:x="480" w:y="7151"/>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10.10.1#</w:t>
      </w:r>
    </w:p>
    <w:p>
      <w:pPr>
        <w:spacing w:after="0" w:line="193" w:lineRule="auto"/>
        <w:framePr w:w="560" w:h="157" w:wrap="auto" w:vAnchor="page" w:hAnchor="page" w:x="540" w:y="672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10.10#</w:t>
      </w:r>
    </w:p>
    <w:p>
      <w:pPr>
        <w:spacing w:after="0" w:line="193" w:lineRule="auto"/>
        <w:framePr w:w="700" w:h="157" w:wrap="auto" w:vAnchor="page" w:hAnchor="page" w:x="480" w:y="587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10.7.8*#</w:t>
      </w:r>
    </w:p>
    <w:p>
      <w:pPr>
        <w:spacing w:after="0" w:line="193" w:lineRule="auto"/>
        <w:framePr w:w="560" w:h="157" w:wrap="auto" w:vAnchor="page" w:hAnchor="page" w:x="540" w:y="6091"/>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10.8*#</w:t>
      </w:r>
    </w:p>
    <w:p>
      <w:pPr>
        <w:spacing w:after="0" w:line="193" w:lineRule="auto"/>
        <w:framePr w:w="480" w:h="157" w:wrap="auto" w:vAnchor="page" w:hAnchor="page" w:x="580" w:y="630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10.9#</w:t>
      </w:r>
    </w:p>
    <w:p>
      <w:pPr>
        <w:spacing w:after="0" w:line="193" w:lineRule="auto"/>
        <w:framePr w:w="600" w:h="157" w:wrap="auto" w:vAnchor="page" w:hAnchor="page" w:x="520" w:y="5455"/>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10.7.7#</w:t>
      </w:r>
    </w:p>
    <w:p>
      <w:pPr>
        <w:spacing w:after="0" w:line="193" w:lineRule="auto"/>
        <w:framePr w:w="600" w:h="157" w:wrap="auto" w:vAnchor="page" w:hAnchor="page" w:x="520" w:y="5031"/>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10.7.6#</w:t>
      </w:r>
    </w:p>
    <w:p>
      <w:pPr>
        <w:spacing w:after="0" w:line="193" w:lineRule="auto"/>
        <w:framePr w:w="600" w:h="157" w:wrap="auto" w:vAnchor="page" w:hAnchor="page" w:x="520" w:y="460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10.7.5#</w:t>
      </w:r>
    </w:p>
    <w:p>
      <w:pPr>
        <w:spacing w:after="0" w:line="193" w:lineRule="auto"/>
        <w:framePr w:w="600" w:h="157" w:wrap="auto" w:vAnchor="page" w:hAnchor="page" w:x="520" w:y="418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10.7.4#</w:t>
      </w:r>
    </w:p>
    <w:p>
      <w:pPr>
        <w:spacing w:after="0" w:line="193" w:lineRule="auto"/>
        <w:framePr w:w="600" w:h="157" w:wrap="auto" w:vAnchor="page" w:hAnchor="page" w:x="520" w:y="375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10.7.3#</w:t>
      </w:r>
    </w:p>
    <w:p>
      <w:pPr>
        <w:spacing w:after="0" w:line="193" w:lineRule="auto"/>
        <w:framePr w:w="600" w:h="157" w:wrap="auto" w:vAnchor="page" w:hAnchor="page" w:x="520" w:y="3335"/>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10.7.2#</w:t>
      </w:r>
    </w:p>
    <w:p>
      <w:pPr>
        <w:spacing w:after="0" w:line="193" w:lineRule="auto"/>
        <w:framePr w:w="600" w:h="157" w:wrap="auto" w:vAnchor="page" w:hAnchor="page" w:x="520" w:y="2911"/>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10.7.1#</w:t>
      </w:r>
    </w:p>
    <w:p>
      <w:pPr>
        <w:spacing w:after="0" w:line="193" w:lineRule="auto"/>
        <w:framePr w:w="480" w:h="157" w:wrap="auto" w:vAnchor="page" w:hAnchor="page" w:x="580" w:y="248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w:t>
      </w:r>
    </w:p>
    <w:p>
      <w:pPr>
        <w:spacing w:after="0" w:line="182" w:lineRule="auto"/>
        <w:framePr w:w="480" w:h="158" w:wrap="auto" w:vAnchor="page" w:hAnchor="page" w:x="580" w:y="1851"/>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10.6</w:t>
      </w:r>
      <w:r>
        <w:rPr>
          <w:rFonts w:ascii="Times New Roman" w:cs="Times New Roman" w:eastAsia="Times New Roman" w:hAnsi="Times New Roman"/>
          <w:sz w:val="18"/>
          <w:szCs w:val="18"/>
          <w:color w:val="auto"/>
          <w:vertAlign w:val="superscript"/>
        </w:rPr>
        <w:t>+</w:t>
      </w: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rFonts w:ascii="Times New Roman" w:cs="Times New Roman" w:eastAsia="Times New Roman" w:hAnsi="Times New Roman"/>
          <w:sz w:val="12"/>
          <w:szCs w:val="12"/>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EXHIBITS, CONTINUED</w:t>
      </w:r>
    </w:p>
    <w:p>
      <w:pPr>
        <w:spacing w:after="0" w:line="217" w:lineRule="exact"/>
        <w:rPr>
          <w:rFonts w:ascii="Times New Roman" w:cs="Times New Roman" w:eastAsia="Times New Roman" w:hAnsi="Times New Roman"/>
          <w:sz w:val="12"/>
          <w:szCs w:val="12"/>
          <w:color w:val="auto"/>
        </w:rPr>
      </w:pPr>
    </w:p>
    <w:p>
      <w:pPr>
        <w:ind w:left="80"/>
        <w:spacing w:after="0"/>
        <w:tabs>
          <w:tab w:leader="none" w:pos="57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column">
              <wp:posOffset>735965</wp:posOffset>
            </wp:positionH>
            <wp:positionV relativeFrom="paragraph">
              <wp:posOffset>15875</wp:posOffset>
            </wp:positionV>
            <wp:extent cx="64027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6402705" cy="8255"/>
                    </a:xfrm>
                    <a:prstGeom prst="rect">
                      <a:avLst/>
                    </a:prstGeom>
                    <a:noFill/>
                  </pic:spPr>
                </pic:pic>
              </a:graphicData>
            </a:graphic>
          </wp:anchor>
        </w:drawing>
      </w:r>
    </w:p>
    <w:p>
      <w:pPr>
        <w:spacing w:after="0" w:line="6" w:lineRule="exact"/>
        <w:rPr>
          <w:rFonts w:ascii="Times New Roman" w:cs="Times New Roman" w:eastAsia="Times New Roman" w:hAnsi="Times New Roman"/>
          <w:sz w:val="12"/>
          <w:szCs w:val="12"/>
          <w:color w:val="auto"/>
        </w:rPr>
      </w:pPr>
    </w:p>
    <w:p>
      <w:pPr>
        <w:jc w:val="both"/>
        <w:ind w:left="1160" w:hanging="809"/>
        <w:spacing w:after="0" w:line="243" w:lineRule="auto"/>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87">
        <w:r>
          <w:rPr>
            <w:rFonts w:ascii="Times New Roman" w:cs="Times New Roman" w:eastAsia="Times New Roman" w:hAnsi="Times New Roman"/>
            <w:sz w:val="18"/>
            <w:szCs w:val="18"/>
            <w:u w:val="single" w:color="auto"/>
            <w:color w:val="0000EE"/>
          </w:rPr>
          <w:t>Amended and Restated Investors’ Rights Agreement, dated as of February 19, 2015, by and among the Registrant and certain of its</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stockholders (incorporated herein by reference to the Registrant’s Registration Statement on Form S-1 (File No. 333-202660) as filed with the</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SEC on March 11, 2015).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60"/>
        <w:spacing w:after="0" w:line="253" w:lineRule="auto"/>
        <w:rPr>
          <w:rFonts w:ascii="Times New Roman" w:cs="Times New Roman" w:eastAsia="Times New Roman" w:hAnsi="Times New Roman"/>
          <w:sz w:val="18"/>
          <w:szCs w:val="18"/>
          <w:u w:val="single" w:color="auto"/>
          <w:color w:val="0000EE"/>
        </w:rPr>
      </w:pPr>
      <w:hyperlink r:id="rId188">
        <w:r>
          <w:rPr>
            <w:rFonts w:ascii="Times New Roman" w:cs="Times New Roman" w:eastAsia="Times New Roman" w:hAnsi="Times New Roman"/>
            <w:sz w:val="18"/>
            <w:szCs w:val="18"/>
            <w:u w:val="single" w:color="auto"/>
            <w:color w:val="0000EE"/>
          </w:rPr>
          <w:t>Agreement to Terminate CLA, by and between MonoSol Rx, LLC and the Registrant, dated as of March 20, 2012 (incorporated herein by</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reference to the Registrant's Amendment No. 1 to Registration Statement on Form S-1/A (File No. 333-202660) as filed with the SEC on</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April 3, 2015).</w:t>
        </w:r>
      </w:hyperlink>
    </w:p>
    <w:p>
      <w:pPr>
        <w:spacing w:after="0" w:line="1" w:lineRule="exact"/>
        <w:rPr>
          <w:rFonts w:ascii="Times New Roman" w:cs="Times New Roman" w:eastAsia="Times New Roman" w:hAnsi="Times New Roman"/>
          <w:sz w:val="18"/>
          <w:szCs w:val="18"/>
          <w:u w:val="single" w:color="auto"/>
          <w:color w:val="0000EE"/>
        </w:rPr>
      </w:pPr>
    </w:p>
    <w:p>
      <w:pPr>
        <w:ind w:left="1160"/>
        <w:spacing w:after="0"/>
        <w:rPr>
          <w:rFonts w:ascii="Times New Roman" w:cs="Times New Roman" w:eastAsia="Times New Roman" w:hAnsi="Times New Roman"/>
          <w:sz w:val="17"/>
          <w:szCs w:val="17"/>
          <w:u w:val="single" w:color="auto"/>
          <w:color w:val="0000EE"/>
        </w:rPr>
      </w:pPr>
      <w:hyperlink r:id="rId189">
        <w:r>
          <w:rPr>
            <w:rFonts w:ascii="Times New Roman" w:cs="Times New Roman" w:eastAsia="Times New Roman" w:hAnsi="Times New Roman"/>
            <w:sz w:val="17"/>
            <w:szCs w:val="17"/>
            <w:u w:val="single" w:color="auto"/>
            <w:color w:val="0000EE"/>
          </w:rPr>
          <w:t>Incentive Stock Plan, as amended to date (incorporated herein by reference to the Registrant's Registration Statement on Form S-1 (File No.</w:t>
        </w:r>
      </w:hyperlink>
    </w:p>
    <w:p>
      <w:pPr>
        <w:spacing w:after="0" w:line="17" w:lineRule="exact"/>
        <w:rPr>
          <w:rFonts w:ascii="Times New Roman" w:cs="Times New Roman" w:eastAsia="Times New Roman" w:hAnsi="Times New Roman"/>
          <w:sz w:val="18"/>
          <w:szCs w:val="18"/>
          <w:u w:val="single" w:color="auto"/>
          <w:color w:val="0000EE"/>
        </w:rPr>
      </w:pPr>
    </w:p>
    <w:p>
      <w:pPr>
        <w:ind w:left="1160"/>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333-202660) as filed with the SEC on March 11, 2015).</w:t>
        </w:r>
      </w:hyperlink>
    </w:p>
    <w:p>
      <w:pPr>
        <w:spacing w:after="0" w:line="5" w:lineRule="exact"/>
        <w:rPr>
          <w:rFonts w:ascii="Times New Roman" w:cs="Times New Roman" w:eastAsia="Times New Roman" w:hAnsi="Times New Roman"/>
          <w:sz w:val="18"/>
          <w:szCs w:val="18"/>
          <w:u w:val="single" w:color="auto"/>
          <w:color w:val="0000EE"/>
        </w:rPr>
      </w:pPr>
    </w:p>
    <w:p>
      <w:pPr>
        <w:jc w:val="both"/>
        <w:ind w:left="1160"/>
        <w:spacing w:after="0" w:line="245" w:lineRule="auto"/>
        <w:rPr>
          <w:rFonts w:ascii="Times New Roman" w:cs="Times New Roman" w:eastAsia="Times New Roman" w:hAnsi="Times New Roman"/>
          <w:sz w:val="18"/>
          <w:szCs w:val="18"/>
          <w:u w:val="single" w:color="auto"/>
          <w:color w:val="0000EE"/>
        </w:rPr>
      </w:pPr>
      <w:hyperlink r:id="rId190">
        <w:r>
          <w:rPr>
            <w:rFonts w:ascii="Times New Roman" w:cs="Times New Roman" w:eastAsia="Times New Roman" w:hAnsi="Times New Roman"/>
            <w:sz w:val="18"/>
            <w:szCs w:val="18"/>
            <w:u w:val="single" w:color="auto"/>
            <w:color w:val="0000EE"/>
          </w:rPr>
          <w:t>Form of Incentive Stock Option Agreement under Incentive Stock Plan (incorporated herein by reference to the Registrant's Registration</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Statement on Form S-1 (File No. 333-202660) as filed with the SEC on March 11, 2015).</w:t>
        </w:r>
      </w:hyperlink>
    </w:p>
    <w:p>
      <w:pPr>
        <w:spacing w:after="0" w:line="1" w:lineRule="exact"/>
        <w:rPr>
          <w:sz w:val="20"/>
          <w:szCs w:val="20"/>
          <w:color w:val="auto"/>
        </w:rPr>
      </w:pPr>
    </w:p>
    <w:p>
      <w:pPr>
        <w:jc w:val="both"/>
        <w:ind w:left="1160"/>
        <w:spacing w:after="0" w:line="245" w:lineRule="auto"/>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Form of Nonqualified Stock Option Agreement under Incentive Stock Plan (incorporated herein by reference to the Registrant's Registration</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Statement on Form S-1 (File No. 333-202660) as filed with the SEC on March 11, 2015).</w:t>
        </w:r>
      </w:hyperlink>
    </w:p>
    <w:p>
      <w:pPr>
        <w:spacing w:after="0" w:line="1" w:lineRule="exact"/>
        <w:rPr>
          <w:sz w:val="20"/>
          <w:szCs w:val="20"/>
          <w:color w:val="auto"/>
        </w:rPr>
      </w:pPr>
    </w:p>
    <w:p>
      <w:pPr>
        <w:jc w:val="both"/>
        <w:ind w:left="1160"/>
        <w:spacing w:after="0" w:line="245" w:lineRule="auto"/>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u w:val="single" w:color="auto"/>
            <w:color w:val="0000EE"/>
          </w:rPr>
          <w:t>Amended and Restated 2014 Equity Incentive Plan (incorporated herein by reference to the Registrant's Quarterly Report on Form 10-Q as</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filed with the SEC on August</w:t>
        </w:r>
        <w:r>
          <w:rPr>
            <w:rFonts w:ascii="Times New Roman" w:cs="Times New Roman" w:eastAsia="Times New Roman" w:hAnsi="Times New Roman"/>
            <w:sz w:val="18"/>
            <w:szCs w:val="18"/>
            <w:color w:val="0000EE"/>
          </w:rPr>
          <w:t xml:space="preserve">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2056765</wp:posOffset>
            </wp:positionH>
            <wp:positionV relativeFrom="paragraph">
              <wp:posOffset>-133985</wp:posOffset>
            </wp:positionV>
            <wp:extent cx="488315" cy="1263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488315" cy="126365"/>
                    </a:xfrm>
                    <a:prstGeom prst="rect">
                      <a:avLst/>
                    </a:prstGeom>
                    <a:noFill/>
                  </pic:spPr>
                </pic:pic>
              </a:graphicData>
            </a:graphic>
          </wp:anchor>
        </w:drawing>
      </w:r>
    </w:p>
    <w:p>
      <w:pPr>
        <w:jc w:val="both"/>
        <w:ind w:left="1160"/>
        <w:spacing w:after="0" w:line="245" w:lineRule="auto"/>
        <w:rPr>
          <w:rFonts w:ascii="Times New Roman" w:cs="Times New Roman" w:eastAsia="Times New Roman" w:hAnsi="Times New Roman"/>
          <w:sz w:val="18"/>
          <w:szCs w:val="18"/>
          <w:u w:val="single" w:color="auto"/>
          <w:color w:val="0000EE"/>
        </w:rPr>
      </w:pPr>
      <w:hyperlink r:id="rId194">
        <w:r>
          <w:rPr>
            <w:rFonts w:ascii="Times New Roman" w:cs="Times New Roman" w:eastAsia="Times New Roman" w:hAnsi="Times New Roman"/>
            <w:sz w:val="18"/>
            <w:szCs w:val="18"/>
            <w:u w:val="single" w:color="auto"/>
            <w:color w:val="0000EE"/>
          </w:rPr>
          <w:t>Form of Stock Option Grant Notice and Stock Option Agreement under 2014 Equity Incentive Plan (incorporated herein by reference to the</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Registrant's Registration Statement on Form S-1 File No. 333-202660) as filed with the SEC on March 11, 2015).</w:t>
        </w:r>
      </w:hyperlink>
    </w:p>
    <w:p>
      <w:pPr>
        <w:spacing w:after="0" w:line="1" w:lineRule="exact"/>
        <w:rPr>
          <w:sz w:val="20"/>
          <w:szCs w:val="20"/>
          <w:color w:val="auto"/>
        </w:rPr>
      </w:pPr>
    </w:p>
    <w:p>
      <w:pPr>
        <w:jc w:val="both"/>
        <w:ind w:left="1160" w:right="20"/>
        <w:spacing w:after="0" w:line="245" w:lineRule="auto"/>
        <w:rPr>
          <w:rFonts w:ascii="Times New Roman" w:cs="Times New Roman" w:eastAsia="Times New Roman" w:hAnsi="Times New Roman"/>
          <w:sz w:val="18"/>
          <w:szCs w:val="18"/>
          <w:u w:val="single" w:color="auto"/>
          <w:color w:val="0000EE"/>
        </w:rPr>
      </w:pPr>
      <w:hyperlink r:id="rId195">
        <w:r>
          <w:rPr>
            <w:rFonts w:ascii="Times New Roman" w:cs="Times New Roman" w:eastAsia="Times New Roman" w:hAnsi="Times New Roman"/>
            <w:sz w:val="18"/>
            <w:szCs w:val="18"/>
            <w:u w:val="single" w:color="auto"/>
            <w:color w:val="0000EE"/>
          </w:rPr>
          <w:t>Form of Restricted Stock Unit Grant Notice and Restricted Stock Unit Agreement under 2014 Equity Incentive Plan (incorporated herein by</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reference to the Registrant's Registration Statement on Form S-1 File No. 333-202660) as filed with the SEC on March 11, 2015).</w:t>
        </w:r>
      </w:hyperlink>
    </w:p>
    <w:p>
      <w:pPr>
        <w:spacing w:after="0" w:line="1" w:lineRule="exact"/>
        <w:rPr>
          <w:sz w:val="20"/>
          <w:szCs w:val="20"/>
          <w:color w:val="auto"/>
        </w:rPr>
      </w:pPr>
    </w:p>
    <w:p>
      <w:pPr>
        <w:jc w:val="both"/>
        <w:ind w:left="1160" w:right="20"/>
        <w:spacing w:after="0" w:line="245" w:lineRule="auto"/>
        <w:rPr>
          <w:rFonts w:ascii="Times New Roman" w:cs="Times New Roman" w:eastAsia="Times New Roman" w:hAnsi="Times New Roman"/>
          <w:sz w:val="18"/>
          <w:szCs w:val="18"/>
          <w:u w:val="single" w:color="auto"/>
          <w:color w:val="0000EE"/>
        </w:rPr>
      </w:pPr>
      <w:hyperlink r:id="rId196">
        <w:r>
          <w:rPr>
            <w:rFonts w:ascii="Times New Roman" w:cs="Times New Roman" w:eastAsia="Times New Roman" w:hAnsi="Times New Roman"/>
            <w:sz w:val="18"/>
            <w:szCs w:val="18"/>
            <w:u w:val="single" w:color="auto"/>
            <w:color w:val="0000EE"/>
          </w:rPr>
          <w:t>Form of Restricted Stock Award Grant Notice and Restricted Stock Award Agreement under 2014 Equity Incentive Plan (incorporated herein</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by reference to the Registrant's Quarterly Report on Form 10-Q as filed with the SEC on May 14, 2019)</w:t>
        </w:r>
      </w:hyperlink>
    </w:p>
    <w:p>
      <w:pPr>
        <w:spacing w:after="0" w:line="1" w:lineRule="exact"/>
        <w:rPr>
          <w:sz w:val="20"/>
          <w:szCs w:val="20"/>
          <w:color w:val="auto"/>
        </w:rPr>
      </w:pPr>
    </w:p>
    <w:p>
      <w:pPr>
        <w:jc w:val="both"/>
        <w:ind w:left="1160"/>
        <w:spacing w:after="0" w:line="245" w:lineRule="auto"/>
        <w:rPr>
          <w:rFonts w:ascii="Times New Roman" w:cs="Times New Roman" w:eastAsia="Times New Roman" w:hAnsi="Times New Roman"/>
          <w:sz w:val="18"/>
          <w:szCs w:val="18"/>
          <w:u w:val="single" w:color="auto"/>
          <w:color w:val="0000EE"/>
        </w:rPr>
      </w:pPr>
      <w:hyperlink r:id="rId197">
        <w:r>
          <w:rPr>
            <w:rFonts w:ascii="Times New Roman" w:cs="Times New Roman" w:eastAsia="Times New Roman" w:hAnsi="Times New Roman"/>
            <w:sz w:val="18"/>
            <w:szCs w:val="18"/>
            <w:u w:val="single" w:color="auto"/>
            <w:color w:val="0000EE"/>
          </w:rPr>
          <w:t>2021 Employee Stock Purchase Plan (incorporated herein by reference to the Registrant's Quarterly Report on Form 10-Q as filed with the</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SEC on August 13, 2021).</w:t>
        </w:r>
      </w:hyperlink>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EE"/>
        </w:rPr>
        <w:t>2023 Employment Inducement Award Plan and forms of award agreements thereunder.</w:t>
      </w:r>
    </w:p>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EE"/>
        </w:rPr>
        <w:t>Eighth Amended and Restated Non-Employee Director Compensation Policy effective February 15, 2023.</w:t>
      </w:r>
    </w:p>
    <w:p>
      <w:pPr>
        <w:spacing w:after="0" w:line="5" w:lineRule="exact"/>
        <w:rPr>
          <w:sz w:val="20"/>
          <w:szCs w:val="20"/>
          <w:color w:val="auto"/>
        </w:rPr>
      </w:pPr>
    </w:p>
    <w:p>
      <w:pPr>
        <w:jc w:val="both"/>
        <w:ind w:left="1160"/>
        <w:spacing w:after="0" w:line="245" w:lineRule="auto"/>
        <w:rPr>
          <w:rFonts w:ascii="Times New Roman" w:cs="Times New Roman" w:eastAsia="Times New Roman" w:hAnsi="Times New Roman"/>
          <w:sz w:val="18"/>
          <w:szCs w:val="18"/>
          <w:u w:val="single" w:color="auto"/>
          <w:color w:val="0000EE"/>
        </w:rPr>
      </w:pPr>
      <w:hyperlink r:id="rId198">
        <w:r>
          <w:rPr>
            <w:rFonts w:ascii="Times New Roman" w:cs="Times New Roman" w:eastAsia="Times New Roman" w:hAnsi="Times New Roman"/>
            <w:sz w:val="18"/>
            <w:szCs w:val="18"/>
            <w:u w:val="single" w:color="auto"/>
            <w:color w:val="0000EE"/>
          </w:rPr>
          <w:t>Form of Indemnification Agreement with the Registrant's directors and executive officers (incorporated herein by reference to the Registrant's</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Registration Statement on Form S-1 (File No. 333-202660) as filed with the SEC on March 11, 2015).</w:t>
        </w:r>
      </w:hyperlink>
    </w:p>
    <w:p>
      <w:pPr>
        <w:spacing w:after="0" w:line="1" w:lineRule="exact"/>
        <w:rPr>
          <w:sz w:val="20"/>
          <w:szCs w:val="20"/>
          <w:color w:val="auto"/>
        </w:rPr>
      </w:pPr>
    </w:p>
    <w:p>
      <w:pPr>
        <w:jc w:val="both"/>
        <w:ind w:left="1160"/>
        <w:spacing w:after="0" w:line="245" w:lineRule="auto"/>
        <w:rPr>
          <w:rFonts w:ascii="Times New Roman" w:cs="Times New Roman" w:eastAsia="Times New Roman" w:hAnsi="Times New Roman"/>
          <w:sz w:val="18"/>
          <w:szCs w:val="18"/>
          <w:u w:val="single" w:color="auto"/>
          <w:color w:val="0000EE"/>
        </w:rPr>
      </w:pPr>
      <w:hyperlink r:id="rId199">
        <w:r>
          <w:rPr>
            <w:rFonts w:ascii="Times New Roman" w:cs="Times New Roman" w:eastAsia="Times New Roman" w:hAnsi="Times New Roman"/>
            <w:sz w:val="18"/>
            <w:szCs w:val="18"/>
            <w:u w:val="single" w:color="auto"/>
            <w:color w:val="0000EE"/>
          </w:rPr>
          <w:t>Amended and Restated Employment Agreement by and between the Registrant and R. LaDuane Clifton, dated as of June 25, 2015</w:t>
        </w:r>
      </w:hyperlink>
      <w:r>
        <w:rPr>
          <w:rFonts w:ascii="Times New Roman" w:cs="Times New Roman" w:eastAsia="Times New Roman" w:hAnsi="Times New Roman"/>
          <w:sz w:val="18"/>
          <w:szCs w:val="18"/>
          <w:u w:val="single" w:color="auto"/>
          <w:color w:val="0000EE"/>
        </w:rPr>
        <w:t xml:space="preserve"> </w:t>
      </w:r>
      <w:hyperlink r:id="rId199">
        <w:r>
          <w:rPr>
            <w:rFonts w:ascii="Times New Roman" w:cs="Times New Roman" w:eastAsia="Times New Roman" w:hAnsi="Times New Roman"/>
            <w:sz w:val="18"/>
            <w:szCs w:val="18"/>
            <w:u w:val="single" w:color="auto"/>
            <w:color w:val="0000EE"/>
          </w:rPr>
          <w:t>(incorporated herein by reference to the Registrant's Quarterly Report on Form 10-Q as filed with the SEC on August 14, 2015).</w:t>
        </w:r>
      </w:hyperlink>
    </w:p>
    <w:p>
      <w:pPr>
        <w:spacing w:after="0" w:line="1" w:lineRule="exact"/>
        <w:rPr>
          <w:sz w:val="20"/>
          <w:szCs w:val="20"/>
          <w:color w:val="auto"/>
        </w:rPr>
      </w:pPr>
    </w:p>
    <w:p>
      <w:pPr>
        <w:ind w:left="1160"/>
        <w:spacing w:after="0" w:line="245" w:lineRule="auto"/>
        <w:rPr>
          <w:rFonts w:ascii="Times New Roman" w:cs="Times New Roman" w:eastAsia="Times New Roman" w:hAnsi="Times New Roman"/>
          <w:sz w:val="18"/>
          <w:szCs w:val="18"/>
          <w:u w:val="single" w:color="auto"/>
          <w:color w:val="0000EE"/>
        </w:rPr>
      </w:pPr>
      <w:hyperlink r:id="rId200">
        <w:r>
          <w:rPr>
            <w:rFonts w:ascii="Times New Roman" w:cs="Times New Roman" w:eastAsia="Times New Roman" w:hAnsi="Times New Roman"/>
            <w:sz w:val="18"/>
            <w:szCs w:val="18"/>
            <w:u w:val="single" w:color="auto"/>
            <w:color w:val="0000EE"/>
          </w:rPr>
          <w:t>Amendment to Amended and Restated Employment Agreement by and between the Registrant and R. LaDuane Clifton, dated as of October</w:t>
        </w:r>
      </w:hyperlink>
      <w:r>
        <w:rPr>
          <w:rFonts w:ascii="Times New Roman" w:cs="Times New Roman" w:eastAsia="Times New Roman" w:hAnsi="Times New Roman"/>
          <w:sz w:val="18"/>
          <w:szCs w:val="18"/>
          <w:u w:val="single" w:color="auto"/>
          <w:color w:val="0000EE"/>
        </w:rPr>
        <w:t xml:space="preserve"> </w:t>
      </w:r>
      <w:hyperlink r:id="rId200">
        <w:r>
          <w:rPr>
            <w:rFonts w:ascii="Times New Roman" w:cs="Times New Roman" w:eastAsia="Times New Roman" w:hAnsi="Times New Roman"/>
            <w:sz w:val="18"/>
            <w:szCs w:val="18"/>
            <w:u w:val="single" w:color="auto"/>
            <w:color w:val="0000EE"/>
          </w:rPr>
          <w:t>13, 2015 (incorporated herein by reference to the Registrant's Quarterly Report on Form 10-Q as filed with the SEC on November 13, 2015).</w:t>
        </w:r>
      </w:hyperlink>
      <w:r>
        <w:rPr>
          <w:rFonts w:ascii="Times New Roman" w:cs="Times New Roman" w:eastAsia="Times New Roman" w:hAnsi="Times New Roman"/>
          <w:sz w:val="18"/>
          <w:szCs w:val="18"/>
          <w:u w:val="single" w:color="auto"/>
          <w:color w:val="0000EE"/>
        </w:rPr>
        <w:t xml:space="preserve"> </w:t>
      </w:r>
      <w:hyperlink r:id="rId201">
        <w:r>
          <w:rPr>
            <w:rFonts w:ascii="Times New Roman" w:cs="Times New Roman" w:eastAsia="Times New Roman" w:hAnsi="Times New Roman"/>
            <w:sz w:val="18"/>
            <w:szCs w:val="18"/>
            <w:u w:val="single" w:color="auto"/>
            <w:color w:val="0000EE"/>
          </w:rPr>
          <w:t>Employment Agreement by and between the Registrant and Christal M.M. Mickle, dated as of May 30, 2014 (incorporated herein by</w:t>
        </w:r>
      </w:hyperlink>
      <w:r>
        <w:rPr>
          <w:rFonts w:ascii="Times New Roman" w:cs="Times New Roman" w:eastAsia="Times New Roman" w:hAnsi="Times New Roman"/>
          <w:sz w:val="18"/>
          <w:szCs w:val="18"/>
          <w:u w:val="single" w:color="auto"/>
          <w:color w:val="0000EE"/>
        </w:rPr>
        <w:t xml:space="preserve"> </w:t>
      </w:r>
      <w:hyperlink r:id="rId201">
        <w:r>
          <w:rPr>
            <w:rFonts w:ascii="Times New Roman" w:cs="Times New Roman" w:eastAsia="Times New Roman" w:hAnsi="Times New Roman"/>
            <w:sz w:val="18"/>
            <w:szCs w:val="18"/>
            <w:u w:val="single" w:color="auto"/>
            <w:color w:val="0000EE"/>
          </w:rPr>
          <w:t>reference to the Registrant's Registration Statement on Form S-1 (File No. 333-202660) as filed with the SEC on March 11, 2015).</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Amendment to Employment Agreement by and between the Registrant and Christal M.M. Mickle, dated as of October 13, 2015 (incorporated</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herein by reference to Exhibit 10.1 to the Registrant's Quarterly Report on Form 10-Q filed with the SEC on November 13, 2015).</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Employment Agreement by and between the Registrant and Travis C. Mickle, Ph.D., dated as of May 30, 2014 (incorporated herein by</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reference to the Registrant's Registration Statement on Form S-1 (File No. 333-202660) as filed with the SEC on March 11, 2015).</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Amendment to Employment Agreement by and between the Registrant and Travis C. Mickle, Ph.D., dated as of October 13, 2015</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(incorporated herein by reference to the Registrant's Quarterly Report on Form 10-Q filed with the SEC on November 13, 2015).</w:t>
        </w:r>
      </w:hyperlink>
    </w:p>
    <w:p>
      <w:pPr>
        <w:spacing w:after="0" w:line="7" w:lineRule="exact"/>
        <w:rPr>
          <w:rFonts w:ascii="Times New Roman" w:cs="Times New Roman" w:eastAsia="Times New Roman" w:hAnsi="Times New Roman"/>
          <w:sz w:val="18"/>
          <w:szCs w:val="18"/>
          <w:u w:val="single" w:color="auto"/>
          <w:color w:val="0000EE"/>
        </w:rPr>
      </w:pPr>
    </w:p>
    <w:p>
      <w:pPr>
        <w:ind w:left="1160" w:right="380"/>
        <w:spacing w:after="0" w:line="245" w:lineRule="auto"/>
        <w:rPr>
          <w:rFonts w:ascii="Times New Roman" w:cs="Times New Roman" w:eastAsia="Times New Roman" w:hAnsi="Times New Roman"/>
          <w:sz w:val="18"/>
          <w:szCs w:val="18"/>
          <w:u w:val="single" w:color="auto"/>
          <w:color w:val="0000EE"/>
        </w:rPr>
      </w:pPr>
      <w:hyperlink r:id="rId205">
        <w:r>
          <w:rPr>
            <w:rFonts w:ascii="Times New Roman" w:cs="Times New Roman" w:eastAsia="Times New Roman" w:hAnsi="Times New Roman"/>
            <w:sz w:val="18"/>
            <w:szCs w:val="18"/>
            <w:u w:val="single" w:color="auto"/>
            <w:color w:val="0000EE"/>
          </w:rPr>
          <w:t>Transition Agreement by and between the Registrant and Travis C. Mickle, Ph.D., dated as of January 4, 2023, as amended (incorporated</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herein by reference to the Registrant's Current Report on Form 8-K as filed with the SEC on January 9, 2023).</w:t>
        </w:r>
      </w:hyperlink>
    </w:p>
    <w:p>
      <w:pPr>
        <w:spacing w:after="0" w:line="1" w:lineRule="exact"/>
        <w:rPr>
          <w:sz w:val="20"/>
          <w:szCs w:val="20"/>
          <w:color w:val="auto"/>
        </w:rPr>
      </w:pPr>
    </w:p>
    <w:p>
      <w:pPr>
        <w:ind w:left="1160" w:right="540"/>
        <w:spacing w:after="0" w:line="245" w:lineRule="auto"/>
        <w:rPr>
          <w:rFonts w:ascii="Times New Roman" w:cs="Times New Roman" w:eastAsia="Times New Roman" w:hAnsi="Times New Roman"/>
          <w:sz w:val="18"/>
          <w:szCs w:val="18"/>
          <w:u w:val="single" w:color="auto"/>
          <w:color w:val="0000EE"/>
        </w:rPr>
      </w:pPr>
      <w:hyperlink r:id="rId206">
        <w:r>
          <w:rPr>
            <w:rFonts w:ascii="Times New Roman" w:cs="Times New Roman" w:eastAsia="Times New Roman" w:hAnsi="Times New Roman"/>
            <w:sz w:val="18"/>
            <w:szCs w:val="18"/>
            <w:u w:val="single" w:color="auto"/>
            <w:color w:val="0000EE"/>
          </w:rPr>
          <w:t>Consulting Agreement by and between the Registrant and Travis C. Mickle, Ph.D., dated as of January 6, 2023 (incorporated herein by</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reference to the Registrant's Current Report on Form 8-K as filed with the SEC on January 9, 2023).</w:t>
        </w:r>
      </w:hyperlink>
    </w:p>
    <w:p>
      <w:pPr>
        <w:spacing w:after="0" w:line="1" w:lineRule="exact"/>
        <w:rPr>
          <w:sz w:val="20"/>
          <w:szCs w:val="20"/>
          <w:color w:val="auto"/>
        </w:rPr>
      </w:pPr>
    </w:p>
    <w:p>
      <w:pPr>
        <w:ind w:left="1160"/>
        <w:spacing w:after="0" w:line="245" w:lineRule="auto"/>
        <w:rPr>
          <w:rFonts w:ascii="Times New Roman" w:cs="Times New Roman" w:eastAsia="Times New Roman" w:hAnsi="Times New Roman"/>
          <w:sz w:val="18"/>
          <w:szCs w:val="18"/>
          <w:u w:val="single" w:color="auto"/>
          <w:color w:val="0000EE"/>
        </w:rPr>
      </w:pPr>
      <w:hyperlink r:id="rId207">
        <w:r>
          <w:rPr>
            <w:rFonts w:ascii="Times New Roman" w:cs="Times New Roman" w:eastAsia="Times New Roman" w:hAnsi="Times New Roman"/>
            <w:sz w:val="18"/>
            <w:szCs w:val="18"/>
            <w:u w:val="single" w:color="auto"/>
            <w:color w:val="0000EE"/>
          </w:rPr>
          <w:t>Amended and Restated Employment Agreement by and between the Registrant and Sven Guenther, dated as of April 13, 2016 (incorporated</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herein by reference to the Registrant's Quarterly Report on Form 10-Q as filed with the SEC on May 13, 2016).</w:t>
        </w:r>
      </w:hyperlink>
    </w:p>
    <w:p>
      <w:pPr>
        <w:spacing w:after="0" w:line="1" w:lineRule="exact"/>
        <w:rPr>
          <w:sz w:val="20"/>
          <w:szCs w:val="20"/>
          <w:color w:val="auto"/>
        </w:rPr>
      </w:pPr>
    </w:p>
    <w:p>
      <w:pPr>
        <w:ind w:left="1160"/>
        <w:spacing w:after="0" w:line="245" w:lineRule="auto"/>
        <w:rPr>
          <w:rFonts w:ascii="Times New Roman" w:cs="Times New Roman" w:eastAsia="Times New Roman" w:hAnsi="Times New Roman"/>
          <w:sz w:val="18"/>
          <w:szCs w:val="18"/>
          <w:u w:val="single" w:color="auto"/>
          <w:color w:val="0000EE"/>
        </w:rPr>
      </w:pPr>
      <w:hyperlink r:id="rId208">
        <w:r>
          <w:rPr>
            <w:rFonts w:ascii="Times New Roman" w:cs="Times New Roman" w:eastAsia="Times New Roman" w:hAnsi="Times New Roman"/>
            <w:sz w:val="18"/>
            <w:szCs w:val="18"/>
            <w:u w:val="single" w:color="auto"/>
            <w:color w:val="0000EE"/>
          </w:rPr>
          <w:t>Executive Employment Agreement by and between the Registrant and Richard W. Pascoe, dated as of November 5, 2021 (incorporated herein</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by reference to the Registrant's Current Report on Form 8-K as filed with the SEC on November 10, 2021).</w:t>
        </w:r>
      </w:hyperlink>
    </w:p>
    <w:p>
      <w:pPr>
        <w:spacing w:after="0" w:line="1" w:lineRule="exact"/>
        <w:rPr>
          <w:sz w:val="20"/>
          <w:szCs w:val="20"/>
          <w:color w:val="auto"/>
        </w:rPr>
      </w:pPr>
    </w:p>
    <w:p>
      <w:pPr>
        <w:ind w:left="1160"/>
        <w:spacing w:after="0" w:line="251" w:lineRule="auto"/>
        <w:rPr>
          <w:rFonts w:ascii="Times New Roman" w:cs="Times New Roman" w:eastAsia="Times New Roman" w:hAnsi="Times New Roman"/>
          <w:sz w:val="18"/>
          <w:szCs w:val="18"/>
          <w:u w:val="single" w:color="auto"/>
          <w:color w:val="0000EE"/>
        </w:rPr>
      </w:pPr>
      <w:hyperlink r:id="rId209">
        <w:r>
          <w:rPr>
            <w:rFonts w:ascii="Times New Roman" w:cs="Times New Roman" w:eastAsia="Times New Roman" w:hAnsi="Times New Roman"/>
            <w:sz w:val="18"/>
            <w:szCs w:val="18"/>
            <w:u w:val="single" w:color="auto"/>
            <w:color w:val="0000EE"/>
          </w:rPr>
          <w:t>Amendment to Executive Employment Agreement by and between the Registrant and Richard W. Pascoe, dated as of January 6, 2023</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(incorporated herein by reference to the Registrant's Current Report on Form 8-K as filed with the SEC on January 9, 2023).</w:t>
        </w:r>
      </w:hyperlink>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680" w:type="dxa"/>
            <w:vAlign w:val="bottom"/>
            <w:gridSpan w:val="20"/>
          </w:tcPr>
          <w:p>
            <w:pPr>
              <w:jc w:val="right"/>
              <w:ind w:right="4620"/>
              <w:spacing w:after="0"/>
              <w:rPr>
                <w:sz w:val="20"/>
                <w:szCs w:val="20"/>
                <w:color w:val="auto"/>
              </w:rPr>
            </w:pPr>
            <w:r>
              <w:rPr>
                <w:rFonts w:ascii="Times New Roman" w:cs="Times New Roman" w:eastAsia="Times New Roman" w:hAnsi="Times New Roman"/>
                <w:sz w:val="18"/>
                <w:szCs w:val="18"/>
                <w:b w:val="1"/>
                <w:bCs w:val="1"/>
                <w:color w:val="auto"/>
                <w:w w:val="98"/>
              </w:rPr>
              <w:t>EXHIBITS, CONTINUED</w:t>
            </w:r>
          </w:p>
        </w:tc>
      </w:tr>
      <w:tr>
        <w:trPr>
          <w:trHeight w:val="423"/>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80" w:type="dxa"/>
            <w:vAlign w:val="bottom"/>
            <w:gridSpan w:val="20"/>
          </w:tcPr>
          <w:p>
            <w:pPr>
              <w:jc w:val="right"/>
              <w:ind w:righ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6"/>
        </w:trPr>
        <w:tc>
          <w:tcPr>
            <w:tcW w:w="100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8"/>
              </w:rPr>
              <w:t>10.15</w:t>
            </w:r>
          </w:p>
        </w:tc>
        <w:tc>
          <w:tcPr>
            <w:tcW w:w="160" w:type="dxa"/>
            <w:vAlign w:val="bottom"/>
          </w:tcPr>
          <w:p>
            <w:pPr>
              <w:spacing w:after="0"/>
              <w:rPr>
                <w:sz w:val="14"/>
                <w:szCs w:val="14"/>
                <w:color w:val="auto"/>
              </w:rPr>
            </w:pPr>
          </w:p>
        </w:tc>
        <w:tc>
          <w:tcPr>
            <w:tcW w:w="10080" w:type="dxa"/>
            <w:vAlign w:val="bottom"/>
            <w:tcBorders>
              <w:top w:val="single" w:sz="8" w:color="auto"/>
              <w:bottom w:val="single" w:sz="8" w:color="0000EE"/>
            </w:tcBorders>
            <w:gridSpan w:val="22"/>
          </w:tcPr>
          <w:p>
            <w:pPr>
              <w:spacing w:after="0" w:line="165" w:lineRule="exact"/>
              <w:rPr>
                <w:rFonts w:ascii="Times New Roman" w:cs="Times New Roman" w:eastAsia="Times New Roman" w:hAnsi="Times New Roman"/>
                <w:sz w:val="18"/>
                <w:szCs w:val="18"/>
                <w:color w:val="0000EE"/>
                <w:w w:val="98"/>
              </w:rPr>
            </w:pPr>
            <w:hyperlink r:id="rId211">
              <w:r>
                <w:rPr>
                  <w:rFonts w:ascii="Times New Roman" w:cs="Times New Roman" w:eastAsia="Times New Roman" w:hAnsi="Times New Roman"/>
                  <w:sz w:val="18"/>
                  <w:szCs w:val="18"/>
                  <w:color w:val="0000EE"/>
                  <w:w w:val="98"/>
                </w:rPr>
                <w:t>Lease Agreement, by and between the Registrant and BRE/COH FL LLC, dated as of November 3, 2014 (incorporated herein by reference to</w:t>
              </w:r>
            </w:hyperlink>
          </w:p>
        </w:tc>
        <w:tc>
          <w:tcPr>
            <w:tcW w:w="20" w:type="dxa"/>
            <w:vAlign w:val="bottom"/>
          </w:tcPr>
          <w:p>
            <w:pPr>
              <w:spacing w:after="0"/>
              <w:rPr>
                <w:sz w:val="14"/>
                <w:szCs w:val="14"/>
                <w:color w:val="auto"/>
              </w:rPr>
            </w:pPr>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23"/>
          </w:tcPr>
          <w:p>
            <w:pPr>
              <w:spacing w:after="0" w:line="192"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the Registrant's Annual Report on Form 10-K as filed with the SEC on March 10, 2017).</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10.15.1</w:t>
            </w:r>
          </w:p>
        </w:tc>
        <w:tc>
          <w:tcPr>
            <w:tcW w:w="160" w:type="dxa"/>
            <w:vAlign w:val="bottom"/>
          </w:tcPr>
          <w:p>
            <w:pPr>
              <w:spacing w:after="0"/>
              <w:rPr>
                <w:sz w:val="16"/>
                <w:szCs w:val="16"/>
                <w:color w:val="auto"/>
              </w:rPr>
            </w:pPr>
          </w:p>
        </w:tc>
        <w:tc>
          <w:tcPr>
            <w:tcW w:w="1010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First Amendment to the Lease Agreement, by and between the Registrant and BRE/COH FL LLC, dated as of April 21, 2015 (incorporated</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60" w:type="dxa"/>
            <w:vAlign w:val="bottom"/>
            <w:tcBorders>
              <w:bottom w:val="single" w:sz="8" w:color="0000EE"/>
            </w:tcBorders>
            <w:gridSpan w:val="14"/>
          </w:tcPr>
          <w:p>
            <w:pPr>
              <w:spacing w:after="0" w:line="192" w:lineRule="exact"/>
              <w:rPr>
                <w:rFonts w:ascii="Times New Roman" w:cs="Times New Roman" w:eastAsia="Times New Roman" w:hAnsi="Times New Roman"/>
                <w:sz w:val="18"/>
                <w:szCs w:val="18"/>
                <w:color w:val="0000EE"/>
                <w:w w:val="97"/>
              </w:rPr>
            </w:pPr>
            <w:hyperlink r:id="rId212">
              <w:r>
                <w:rPr>
                  <w:rFonts w:ascii="Times New Roman" w:cs="Times New Roman" w:eastAsia="Times New Roman" w:hAnsi="Times New Roman"/>
                  <w:sz w:val="18"/>
                  <w:szCs w:val="18"/>
                  <w:color w:val="0000EE"/>
                  <w:w w:val="97"/>
                </w:rPr>
                <w:t>herein by reference to the Registrant's Annual Report on Form 10-K as filed with the SEC on March 10, 2017).</w:t>
              </w:r>
            </w:hyperlink>
          </w:p>
        </w:tc>
        <w:tc>
          <w:tcPr>
            <w:tcW w:w="2240" w:type="dxa"/>
            <w:vAlign w:val="bottom"/>
            <w:gridSpan w:val="9"/>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10.15.2</w:t>
            </w:r>
          </w:p>
        </w:tc>
        <w:tc>
          <w:tcPr>
            <w:tcW w:w="160" w:type="dxa"/>
            <w:vAlign w:val="bottom"/>
          </w:tcPr>
          <w:p>
            <w:pPr>
              <w:spacing w:after="0"/>
              <w:rPr>
                <w:sz w:val="16"/>
                <w:szCs w:val="16"/>
                <w:color w:val="auto"/>
              </w:rPr>
            </w:pPr>
          </w:p>
        </w:tc>
        <w:tc>
          <w:tcPr>
            <w:tcW w:w="1010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Second Amendment to the Lease Agreement, by and between the Registrant and BRE/COH FL LLC, dated as of December 22, 2015</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23"/>
          </w:tcPr>
          <w:p>
            <w:pPr>
              <w:spacing w:after="0" w:line="192"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(incorporated herein by reference to the Registrant's Annual Report on Form 10-K as filed with the SEC on March 10, 2017).</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10.15.3</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2"/>
          </w:tcPr>
          <w:p>
            <w:pPr>
              <w:spacing w:after="0" w:line="192"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Third Amendment to the Lease Agreement, by and between the Registrant and BRE/COH FL LLC, dated as of July 15, 2016 (incorporated</w:t>
              </w:r>
            </w:hyperlink>
          </w:p>
        </w:tc>
        <w:tc>
          <w:tcPr>
            <w:tcW w:w="20" w:type="dxa"/>
            <w:vAlign w:val="bottom"/>
          </w:tcPr>
          <w:p>
            <w:pPr>
              <w:spacing w:after="0"/>
              <w:rPr>
                <w:sz w:val="16"/>
                <w:szCs w:val="16"/>
                <w:color w:val="auto"/>
              </w:rPr>
            </w:pPr>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60" w:type="dxa"/>
            <w:vAlign w:val="bottom"/>
            <w:tcBorders>
              <w:bottom w:val="single" w:sz="8" w:color="0000EE"/>
            </w:tcBorders>
            <w:gridSpan w:val="14"/>
          </w:tcPr>
          <w:p>
            <w:pPr>
              <w:spacing w:after="0" w:line="192" w:lineRule="exact"/>
              <w:rPr>
                <w:rFonts w:ascii="Times New Roman" w:cs="Times New Roman" w:eastAsia="Times New Roman" w:hAnsi="Times New Roman"/>
                <w:sz w:val="18"/>
                <w:szCs w:val="18"/>
                <w:color w:val="0000EE"/>
                <w:w w:val="97"/>
              </w:rPr>
            </w:pPr>
            <w:hyperlink r:id="rId214">
              <w:r>
                <w:rPr>
                  <w:rFonts w:ascii="Times New Roman" w:cs="Times New Roman" w:eastAsia="Times New Roman" w:hAnsi="Times New Roman"/>
                  <w:sz w:val="18"/>
                  <w:szCs w:val="18"/>
                  <w:color w:val="0000EE"/>
                  <w:w w:val="97"/>
                </w:rPr>
                <w:t>herein by reference to the Registrant's Annual Report on Form 10-K as filed with the SEC on March 10, 2017).</w:t>
              </w:r>
            </w:hyperlink>
          </w:p>
        </w:tc>
        <w:tc>
          <w:tcPr>
            <w:tcW w:w="2240" w:type="dxa"/>
            <w:vAlign w:val="bottom"/>
            <w:gridSpan w:val="9"/>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4"/>
                <w:szCs w:val="14"/>
                <w:color w:val="auto"/>
              </w:rPr>
              <w:t>10.16</w:t>
            </w:r>
            <w:r>
              <w:rPr>
                <w:rFonts w:ascii="Times New Roman" w:cs="Times New Roman" w:eastAsia="Times New Roman" w:hAnsi="Times New Roman"/>
                <w:sz w:val="22"/>
                <w:szCs w:val="22"/>
                <w:color w:val="auto"/>
                <w:vertAlign w:val="superscript"/>
              </w:rPr>
              <w:t>+</w:t>
            </w:r>
          </w:p>
        </w:tc>
        <w:tc>
          <w:tcPr>
            <w:tcW w:w="160" w:type="dxa"/>
            <w:vAlign w:val="bottom"/>
          </w:tcPr>
          <w:p>
            <w:pPr>
              <w:spacing w:after="0"/>
              <w:rPr>
                <w:sz w:val="16"/>
                <w:szCs w:val="16"/>
                <w:color w:val="auto"/>
              </w:rPr>
            </w:pPr>
          </w:p>
        </w:tc>
        <w:tc>
          <w:tcPr>
            <w:tcW w:w="1010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Collaboration and License Agreement by and between the Company and KVK Tech, Inc. dated as of October 25, 2018 (incorporated herein</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8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215">
              <w:r>
                <w:rPr>
                  <w:rFonts w:ascii="Times New Roman" w:cs="Times New Roman" w:eastAsia="Times New Roman" w:hAnsi="Times New Roman"/>
                  <w:sz w:val="18"/>
                  <w:szCs w:val="18"/>
                  <w:color w:val="0000EE"/>
                  <w:w w:val="97"/>
                </w:rPr>
                <w:t>by reference to the Registrant's Annual Report on Form 10-K as filed with the SEC on March 1, 2019).</w:t>
              </w:r>
            </w:hyperlink>
          </w:p>
        </w:tc>
        <w:tc>
          <w:tcPr>
            <w:tcW w:w="2820" w:type="dxa"/>
            <w:vAlign w:val="bottom"/>
            <w:gridSpan w:val="10"/>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4"/>
                <w:szCs w:val="14"/>
                <w:color w:val="auto"/>
              </w:rPr>
              <w:t>10.16.1</w:t>
            </w:r>
            <w:r>
              <w:rPr>
                <w:rFonts w:ascii="Times New Roman" w:cs="Times New Roman" w:eastAsia="Times New Roman" w:hAnsi="Times New Roman"/>
                <w:sz w:val="22"/>
                <w:szCs w:val="22"/>
                <w:color w:val="auto"/>
                <w:vertAlign w:val="superscript"/>
              </w:rPr>
              <w:t>+</w:t>
            </w:r>
          </w:p>
        </w:tc>
        <w:tc>
          <w:tcPr>
            <w:tcW w:w="160" w:type="dxa"/>
            <w:vAlign w:val="bottom"/>
          </w:tcPr>
          <w:p>
            <w:pPr>
              <w:spacing w:after="0"/>
              <w:rPr>
                <w:sz w:val="16"/>
                <w:szCs w:val="16"/>
                <w:color w:val="auto"/>
              </w:rPr>
            </w:pPr>
          </w:p>
        </w:tc>
        <w:tc>
          <w:tcPr>
            <w:tcW w:w="1010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Warrant to Purchase Shares of Common Stock issued to KVK Tech, Inc. dated October 25, 2018 (incorporated herein by reference to the</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20" w:type="dxa"/>
            <w:vAlign w:val="bottom"/>
            <w:tcBorders>
              <w:bottom w:val="single" w:sz="8" w:color="0000EE"/>
            </w:tcBorders>
            <w:gridSpan w:val="7"/>
          </w:tcPr>
          <w:p>
            <w:pPr>
              <w:spacing w:after="0" w:line="192" w:lineRule="exact"/>
              <w:rPr>
                <w:rFonts w:ascii="Times New Roman" w:cs="Times New Roman" w:eastAsia="Times New Roman" w:hAnsi="Times New Roman"/>
                <w:sz w:val="18"/>
                <w:szCs w:val="18"/>
                <w:color w:val="0000EE"/>
                <w:w w:val="97"/>
              </w:rPr>
            </w:pPr>
            <w:hyperlink r:id="rId216">
              <w:r>
                <w:rPr>
                  <w:rFonts w:ascii="Times New Roman" w:cs="Times New Roman" w:eastAsia="Times New Roman" w:hAnsi="Times New Roman"/>
                  <w:sz w:val="18"/>
                  <w:szCs w:val="18"/>
                  <w:color w:val="0000EE"/>
                  <w:w w:val="97"/>
                </w:rPr>
                <w:t>Registrant's Annual Report on Form 10-K as filed with the SEC on March 1, 2019).</w:t>
              </w:r>
            </w:hyperlink>
          </w:p>
        </w:tc>
        <w:tc>
          <w:tcPr>
            <w:tcW w:w="4180" w:type="dxa"/>
            <w:vAlign w:val="bottom"/>
            <w:gridSpan w:val="16"/>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10.17</w:t>
            </w:r>
          </w:p>
        </w:tc>
        <w:tc>
          <w:tcPr>
            <w:tcW w:w="160" w:type="dxa"/>
            <w:vAlign w:val="bottom"/>
          </w:tcPr>
          <w:p>
            <w:pPr>
              <w:spacing w:after="0"/>
              <w:rPr>
                <w:sz w:val="16"/>
                <w:szCs w:val="16"/>
                <w:color w:val="auto"/>
              </w:rPr>
            </w:pPr>
          </w:p>
        </w:tc>
        <w:tc>
          <w:tcPr>
            <w:tcW w:w="1010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Purchase Agreement, dated February 17, 2020, by and between the Registrant and Lincoln Park Capital Fund, LLC. (incorporated herein by</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60" w:type="dxa"/>
            <w:vAlign w:val="bottom"/>
            <w:tcBorders>
              <w:bottom w:val="single" w:sz="8" w:color="0000EE"/>
            </w:tcBorders>
            <w:gridSpan w:val="12"/>
          </w:tcPr>
          <w:p>
            <w:pPr>
              <w:spacing w:after="0" w:line="192" w:lineRule="exact"/>
              <w:rPr>
                <w:rFonts w:ascii="Times New Roman" w:cs="Times New Roman" w:eastAsia="Times New Roman" w:hAnsi="Times New Roman"/>
                <w:sz w:val="18"/>
                <w:szCs w:val="18"/>
                <w:color w:val="0000EE"/>
                <w:w w:val="97"/>
              </w:rPr>
            </w:pPr>
            <w:hyperlink r:id="rId217">
              <w:r>
                <w:rPr>
                  <w:rFonts w:ascii="Times New Roman" w:cs="Times New Roman" w:eastAsia="Times New Roman" w:hAnsi="Times New Roman"/>
                  <w:sz w:val="18"/>
                  <w:szCs w:val="18"/>
                  <w:color w:val="0000EE"/>
                  <w:w w:val="97"/>
                </w:rPr>
                <w:t>reference to the Registrant's Current Report on Form 8-K as filed with the SEC on February 18, 2020).</w:t>
              </w:r>
            </w:hyperlink>
          </w:p>
        </w:tc>
        <w:tc>
          <w:tcPr>
            <w:tcW w:w="2840" w:type="dxa"/>
            <w:vAlign w:val="bottom"/>
            <w:gridSpan w:val="11"/>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4"/>
                <w:szCs w:val="14"/>
                <w:color w:val="auto"/>
              </w:rPr>
              <w:t>10.18</w:t>
            </w:r>
            <w:r>
              <w:rPr>
                <w:rFonts w:ascii="Times New Roman" w:cs="Times New Roman" w:eastAsia="Times New Roman" w:hAnsi="Times New Roman"/>
                <w:sz w:val="22"/>
                <w:szCs w:val="22"/>
                <w:color w:val="auto"/>
                <w:vertAlign w:val="superscript"/>
              </w:rPr>
              <w:t>+</w:t>
            </w:r>
          </w:p>
        </w:tc>
        <w:tc>
          <w:tcPr>
            <w:tcW w:w="160" w:type="dxa"/>
            <w:vAlign w:val="bottom"/>
          </w:tcPr>
          <w:p>
            <w:pPr>
              <w:spacing w:after="0"/>
              <w:rPr>
                <w:sz w:val="16"/>
                <w:szCs w:val="16"/>
                <w:color w:val="auto"/>
              </w:rPr>
            </w:pPr>
          </w:p>
        </w:tc>
        <w:tc>
          <w:tcPr>
            <w:tcW w:w="1010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Collaboration and License Agreement, dated as of September 3, 2019, by and between the Registrant and Boston Pharmaceuticals Holdings</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80" w:type="dxa"/>
            <w:vAlign w:val="bottom"/>
            <w:tcBorders>
              <w:bottom w:val="single" w:sz="8" w:color="0000EE"/>
            </w:tcBorders>
            <w:gridSpan w:val="18"/>
          </w:tcPr>
          <w:p>
            <w:pPr>
              <w:spacing w:after="0" w:line="192" w:lineRule="exact"/>
              <w:rPr>
                <w:rFonts w:ascii="Times New Roman" w:cs="Times New Roman" w:eastAsia="Times New Roman" w:hAnsi="Times New Roman"/>
                <w:sz w:val="18"/>
                <w:szCs w:val="18"/>
                <w:color w:val="0000EE"/>
                <w:w w:val="97"/>
              </w:rPr>
            </w:pPr>
            <w:hyperlink r:id="rId218">
              <w:r>
                <w:rPr>
                  <w:rFonts w:ascii="Times New Roman" w:cs="Times New Roman" w:eastAsia="Times New Roman" w:hAnsi="Times New Roman"/>
                  <w:sz w:val="18"/>
                  <w:szCs w:val="18"/>
                  <w:color w:val="0000EE"/>
                  <w:w w:val="97"/>
                </w:rPr>
                <w:t>SA (incorporated herein by reference to the Registrant’s Current Report on Form 8-K as filed with the SEC on September 4, 2019).</w:t>
              </w:r>
            </w:hyperlink>
          </w:p>
        </w:tc>
        <w:tc>
          <w:tcPr>
            <w:tcW w:w="820" w:type="dxa"/>
            <w:vAlign w:val="bottom"/>
            <w:gridSpan w:val="5"/>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10.19+</w:t>
            </w:r>
          </w:p>
        </w:tc>
        <w:tc>
          <w:tcPr>
            <w:tcW w:w="160" w:type="dxa"/>
            <w:vAlign w:val="bottom"/>
          </w:tcPr>
          <w:p>
            <w:pPr>
              <w:spacing w:after="0"/>
              <w:rPr>
                <w:sz w:val="16"/>
                <w:szCs w:val="16"/>
                <w:color w:val="auto"/>
              </w:rPr>
            </w:pPr>
          </w:p>
        </w:tc>
        <w:tc>
          <w:tcPr>
            <w:tcW w:w="1010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Amendment No. 1 to Collaboration and License Agreement, effective as of April 8, 2021, by and between the Company and Commave</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Therapeutics SA (formerly known as Boston Pharmaceuticals Holdings SA) (incorporated herein by reference to the Registrant’s Quarterly</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20" w:type="dxa"/>
            <w:vAlign w:val="bottom"/>
            <w:tcBorders>
              <w:bottom w:val="single" w:sz="8" w:color="0000EE"/>
            </w:tcBorders>
            <w:gridSpan w:val="4"/>
          </w:tcPr>
          <w:p>
            <w:pPr>
              <w:spacing w:after="0" w:line="192" w:lineRule="exact"/>
              <w:rPr>
                <w:rFonts w:ascii="Times New Roman" w:cs="Times New Roman" w:eastAsia="Times New Roman" w:hAnsi="Times New Roman"/>
                <w:sz w:val="18"/>
                <w:szCs w:val="18"/>
                <w:color w:val="0000EE"/>
                <w:w w:val="97"/>
              </w:rPr>
            </w:pPr>
            <w:hyperlink r:id="rId219">
              <w:r>
                <w:rPr>
                  <w:rFonts w:ascii="Times New Roman" w:cs="Times New Roman" w:eastAsia="Times New Roman" w:hAnsi="Times New Roman"/>
                  <w:sz w:val="18"/>
                  <w:szCs w:val="18"/>
                  <w:color w:val="0000EE"/>
                  <w:w w:val="97"/>
                </w:rPr>
                <w:t>Report on Form 10-Q as filed with the SEC on August 13, 2021).</w:t>
              </w:r>
            </w:hyperlink>
          </w:p>
        </w:tc>
        <w:tc>
          <w:tcPr>
            <w:tcW w:w="5480" w:type="dxa"/>
            <w:vAlign w:val="bottom"/>
            <w:gridSpan w:val="19"/>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10.20</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2"/>
          </w:tcPr>
          <w:p>
            <w:pPr>
              <w:spacing w:after="0" w:line="192" w:lineRule="exact"/>
              <w:rPr>
                <w:rFonts w:ascii="Times New Roman" w:cs="Times New Roman" w:eastAsia="Times New Roman" w:hAnsi="Times New Roman"/>
                <w:sz w:val="18"/>
                <w:szCs w:val="18"/>
                <w:color w:val="0000EE"/>
                <w:w w:val="98"/>
              </w:rPr>
            </w:pPr>
            <w:hyperlink r:id="rId220">
              <w:r>
                <w:rPr>
                  <w:rFonts w:ascii="Times New Roman" w:cs="Times New Roman" w:eastAsia="Times New Roman" w:hAnsi="Times New Roman"/>
                  <w:sz w:val="18"/>
                  <w:szCs w:val="18"/>
                  <w:color w:val="0000EE"/>
                  <w:w w:val="98"/>
                </w:rPr>
                <w:t>Form of Inducement Letter (incorporated herein by reference to the Registrant's Current Report on Form 8-K as filed with the SEC on January</w:t>
              </w:r>
            </w:hyperlink>
          </w:p>
        </w:tc>
        <w:tc>
          <w:tcPr>
            <w:tcW w:w="20" w:type="dxa"/>
            <w:vAlign w:val="bottom"/>
          </w:tcPr>
          <w:p>
            <w:pPr>
              <w:spacing w:after="0"/>
              <w:rPr>
                <w:sz w:val="16"/>
                <w:szCs w:val="16"/>
                <w:color w:val="auto"/>
              </w:rPr>
            </w:pPr>
          </w:p>
        </w:tc>
      </w:tr>
      <w:tr>
        <w:trPr>
          <w:trHeight w:val="192"/>
        </w:trPr>
        <w:tc>
          <w:tcPr>
            <w:tcW w:w="1000" w:type="dxa"/>
            <w:vAlign w:val="bottom"/>
          </w:tcPr>
          <w:p>
            <w:pPr>
              <w:spacing w:after="0"/>
              <w:rPr>
                <w:sz w:val="16"/>
                <w:szCs w:val="16"/>
                <w:color w:val="auto"/>
              </w:rPr>
            </w:pPr>
          </w:p>
        </w:tc>
        <w:tc>
          <w:tcPr>
            <w:tcW w:w="840" w:type="dxa"/>
            <w:vAlign w:val="bottom"/>
            <w:gridSpan w:val="2"/>
          </w:tcPr>
          <w:p>
            <w:pPr>
              <w:ind w:left="160"/>
              <w:spacing w:after="0" w:line="192" w:lineRule="exact"/>
              <w:rPr>
                <w:rFonts w:ascii="Times New Roman" w:cs="Times New Roman" w:eastAsia="Times New Roman" w:hAnsi="Times New Roman"/>
                <w:sz w:val="18"/>
                <w:szCs w:val="18"/>
                <w:color w:val="0000EE"/>
                <w:w w:val="87"/>
              </w:rPr>
            </w:pPr>
            <w:hyperlink r:id="rId220">
              <w:r>
                <w:rPr>
                  <w:rFonts w:ascii="Times New Roman" w:cs="Times New Roman" w:eastAsia="Times New Roman" w:hAnsi="Times New Roman"/>
                  <w:sz w:val="18"/>
                  <w:szCs w:val="18"/>
                  <w:color w:val="0000EE"/>
                  <w:w w:val="87"/>
                </w:rPr>
                <w:t>26, 2021).</w:t>
              </w:r>
            </w:hyperlink>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10.21</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2"/>
          </w:tcPr>
          <w:p>
            <w:pPr>
              <w:spacing w:after="0" w:line="192"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Form of Inducement Letter (incorporated herein by reference to the Registrant's Current Report on Form 8-K as filed with the SEC on June</w:t>
              </w:r>
            </w:hyperlink>
          </w:p>
        </w:tc>
        <w:tc>
          <w:tcPr>
            <w:tcW w:w="20" w:type="dxa"/>
            <w:vAlign w:val="bottom"/>
          </w:tcPr>
          <w:p>
            <w:pPr>
              <w:spacing w:after="0"/>
              <w:rPr>
                <w:sz w:val="16"/>
                <w:szCs w:val="16"/>
                <w:color w:val="auto"/>
              </w:rPr>
            </w:pPr>
          </w:p>
        </w:tc>
      </w:tr>
      <w:tr>
        <w:trPr>
          <w:trHeight w:val="192"/>
        </w:trPr>
        <w:tc>
          <w:tcPr>
            <w:tcW w:w="1000" w:type="dxa"/>
            <w:vAlign w:val="bottom"/>
          </w:tcPr>
          <w:p>
            <w:pPr>
              <w:spacing w:after="0"/>
              <w:rPr>
                <w:sz w:val="16"/>
                <w:szCs w:val="16"/>
                <w:color w:val="auto"/>
              </w:rPr>
            </w:pPr>
          </w:p>
        </w:tc>
        <w:tc>
          <w:tcPr>
            <w:tcW w:w="840" w:type="dxa"/>
            <w:vAlign w:val="bottom"/>
            <w:gridSpan w:val="2"/>
          </w:tcPr>
          <w:p>
            <w:pPr>
              <w:ind w:left="160"/>
              <w:spacing w:after="0" w:line="192" w:lineRule="exact"/>
              <w:rPr>
                <w:rFonts w:ascii="Times New Roman" w:cs="Times New Roman" w:eastAsia="Times New Roman" w:hAnsi="Times New Roman"/>
                <w:sz w:val="18"/>
                <w:szCs w:val="18"/>
                <w:color w:val="0000EE"/>
                <w:w w:val="87"/>
              </w:rPr>
            </w:pPr>
            <w:hyperlink r:id="rId221">
              <w:r>
                <w:rPr>
                  <w:rFonts w:ascii="Times New Roman" w:cs="Times New Roman" w:eastAsia="Times New Roman" w:hAnsi="Times New Roman"/>
                  <w:sz w:val="18"/>
                  <w:szCs w:val="18"/>
                  <w:color w:val="0000EE"/>
                  <w:w w:val="87"/>
                </w:rPr>
                <w:t>23, 2021).</w:t>
              </w:r>
            </w:hyperlink>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10.22</w:t>
            </w:r>
          </w:p>
        </w:tc>
        <w:tc>
          <w:tcPr>
            <w:tcW w:w="160" w:type="dxa"/>
            <w:vAlign w:val="bottom"/>
          </w:tcPr>
          <w:p>
            <w:pPr>
              <w:spacing w:after="0"/>
              <w:rPr>
                <w:sz w:val="16"/>
                <w:szCs w:val="16"/>
                <w:color w:val="auto"/>
              </w:rPr>
            </w:pPr>
          </w:p>
        </w:tc>
        <w:tc>
          <w:tcPr>
            <w:tcW w:w="10100" w:type="dxa"/>
            <w:vAlign w:val="bottom"/>
            <w:gridSpan w:val="23"/>
          </w:tcPr>
          <w:p>
            <w:pPr>
              <w:spacing w:after="0" w:line="192"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Equity Distribution Agreement, dated July 2, 2021, by and among the Company, JMP Securities LLC and RBC Capital Markets, LLC</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60" w:type="dxa"/>
            <w:vAlign w:val="bottom"/>
            <w:tcBorders>
              <w:top w:val="single" w:sz="8" w:color="0000EE"/>
            </w:tcBorders>
            <w:gridSpan w:val="21"/>
          </w:tcPr>
          <w:p>
            <w:pPr>
              <w:spacing w:after="0" w:line="192"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(incorporated herein by reference to the Registrant's Current Report on Form 8-K as filed with the SEC on July 2, 2021).</w:t>
              </w:r>
            </w:hyperlink>
          </w:p>
        </w:tc>
        <w:tc>
          <w:tcPr>
            <w:tcW w:w="40" w:type="dxa"/>
            <w:vAlign w:val="bottom"/>
            <w:gridSpan w:val="2"/>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10.23†</w:t>
            </w:r>
          </w:p>
        </w:tc>
        <w:tc>
          <w:tcPr>
            <w:tcW w:w="160" w:type="dxa"/>
            <w:vAlign w:val="bottom"/>
          </w:tcPr>
          <w:p>
            <w:pPr>
              <w:spacing w:after="0"/>
              <w:rPr>
                <w:sz w:val="16"/>
                <w:szCs w:val="16"/>
                <w:color w:val="auto"/>
              </w:rPr>
            </w:pPr>
          </w:p>
        </w:tc>
        <w:tc>
          <w:tcPr>
            <w:tcW w:w="1010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Asset Purchase Agreement by and among the Registrant, Zevra Denmark A/S and Orphazyme A/S, in restructuring, dated May 15, 2022</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23"/>
          </w:tcPr>
          <w:p>
            <w:pPr>
              <w:spacing w:after="0" w:line="192"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(incorporated herein by reference to the Registrant's Current Report on Form 8-K as filed with the SEC on May 16, 2022).</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10.24</w:t>
            </w:r>
          </w:p>
        </w:tc>
        <w:tc>
          <w:tcPr>
            <w:tcW w:w="160" w:type="dxa"/>
            <w:vAlign w:val="bottom"/>
          </w:tcPr>
          <w:p>
            <w:pPr>
              <w:spacing w:after="0"/>
              <w:rPr>
                <w:sz w:val="16"/>
                <w:szCs w:val="16"/>
                <w:color w:val="auto"/>
              </w:rPr>
            </w:pPr>
          </w:p>
        </w:tc>
        <w:tc>
          <w:tcPr>
            <w:tcW w:w="1010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Revolving Loan Agreement dated May 31, 2022 by and among the Registrant and Ameris Bank, as lender (incorporated herein by reference</w:t>
              </w:r>
            </w:hyperlink>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160" w:type="dxa"/>
            <w:vAlign w:val="bottom"/>
            <w:tcBorders>
              <w:bottom w:val="single" w:sz="8" w:color="0000EE"/>
            </w:tcBorders>
            <w:gridSpan w:val="9"/>
          </w:tcPr>
          <w:p>
            <w:pPr>
              <w:spacing w:after="0" w:line="192" w:lineRule="exact"/>
              <w:rPr>
                <w:rFonts w:ascii="Times New Roman" w:cs="Times New Roman" w:eastAsia="Times New Roman" w:hAnsi="Times New Roman"/>
                <w:sz w:val="18"/>
                <w:szCs w:val="18"/>
                <w:color w:val="0000EE"/>
                <w:w w:val="97"/>
              </w:rPr>
            </w:pPr>
            <w:hyperlink r:id="rId224">
              <w:r>
                <w:rPr>
                  <w:rFonts w:ascii="Times New Roman" w:cs="Times New Roman" w:eastAsia="Times New Roman" w:hAnsi="Times New Roman"/>
                  <w:sz w:val="18"/>
                  <w:szCs w:val="18"/>
                  <w:color w:val="0000EE"/>
                  <w:w w:val="97"/>
                </w:rPr>
                <w:t>to the Registrant's Current Report on Form 8-K as filed with the SEC on June 1, 2022).</w:t>
              </w:r>
            </w:hyperlink>
          </w:p>
        </w:tc>
        <w:tc>
          <w:tcPr>
            <w:tcW w:w="3940" w:type="dxa"/>
            <w:vAlign w:val="bottom"/>
            <w:gridSpan w:val="14"/>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2"/>
          </w:tcPr>
          <w:p>
            <w:pPr>
              <w:spacing w:after="0" w:line="192" w:lineRule="exact"/>
              <w:rPr>
                <w:rFonts w:ascii="Times New Roman" w:cs="Times New Roman" w:eastAsia="Times New Roman" w:hAnsi="Times New Roman"/>
                <w:sz w:val="18"/>
                <w:szCs w:val="18"/>
                <w:color w:val="0000EE"/>
                <w:w w:val="98"/>
              </w:rPr>
            </w:pPr>
            <w:hyperlink r:id="rId225">
              <w:r>
                <w:rPr>
                  <w:rFonts w:ascii="Times New Roman" w:cs="Times New Roman" w:eastAsia="Times New Roman" w:hAnsi="Times New Roman"/>
                  <w:sz w:val="18"/>
                  <w:szCs w:val="18"/>
                  <w:color w:val="0000EE"/>
                  <w:w w:val="98"/>
                </w:rPr>
                <w:t>Letter from RSM US LLP dated June 17, 2022 (incorporated herein by reference to the Registrant's Current Report on Form 8-K as filed with</w:t>
              </w:r>
            </w:hyperlink>
          </w:p>
        </w:tc>
        <w:tc>
          <w:tcPr>
            <w:tcW w:w="20" w:type="dxa"/>
            <w:vAlign w:val="bottom"/>
          </w:tcPr>
          <w:p>
            <w:pPr>
              <w:spacing w:after="0"/>
              <w:rPr>
                <w:sz w:val="16"/>
                <w:szCs w:val="16"/>
                <w:color w:val="auto"/>
              </w:rPr>
            </w:pPr>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Borders>
              <w:bottom w:val="single" w:sz="8" w:color="0000EE"/>
            </w:tcBorders>
            <w:gridSpan w:val="2"/>
          </w:tcPr>
          <w:p>
            <w:pPr>
              <w:spacing w:after="0" w:line="192" w:lineRule="exact"/>
              <w:rPr>
                <w:rFonts w:ascii="Times New Roman" w:cs="Times New Roman" w:eastAsia="Times New Roman" w:hAnsi="Times New Roman"/>
                <w:sz w:val="18"/>
                <w:szCs w:val="18"/>
                <w:color w:val="0000EE"/>
                <w:w w:val="97"/>
              </w:rPr>
            </w:pPr>
            <w:hyperlink r:id="rId225">
              <w:r>
                <w:rPr>
                  <w:rFonts w:ascii="Times New Roman" w:cs="Times New Roman" w:eastAsia="Times New Roman" w:hAnsi="Times New Roman"/>
                  <w:sz w:val="18"/>
                  <w:szCs w:val="18"/>
                  <w:color w:val="0000EE"/>
                  <w:w w:val="97"/>
                </w:rPr>
                <w:t>the SEC on June 17, 2022).</w:t>
              </w:r>
            </w:hyperlink>
          </w:p>
        </w:tc>
        <w:tc>
          <w:tcPr>
            <w:tcW w:w="8160" w:type="dxa"/>
            <w:vAlign w:val="bottom"/>
            <w:gridSpan w:val="21"/>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23.1*</w:t>
            </w:r>
          </w:p>
        </w:tc>
        <w:tc>
          <w:tcPr>
            <w:tcW w:w="160" w:type="dxa"/>
            <w:vAlign w:val="bottom"/>
          </w:tcPr>
          <w:p>
            <w:pPr>
              <w:spacing w:after="0"/>
              <w:rPr>
                <w:sz w:val="16"/>
                <w:szCs w:val="16"/>
                <w:color w:val="auto"/>
              </w:rPr>
            </w:pPr>
          </w:p>
        </w:tc>
        <w:tc>
          <w:tcPr>
            <w:tcW w:w="5360" w:type="dxa"/>
            <w:vAlign w:val="bottom"/>
            <w:tcBorders>
              <w:bottom w:val="single" w:sz="8" w:color="0000EE"/>
            </w:tcBorders>
            <w:gridSpan w:val="5"/>
          </w:tcPr>
          <w:p>
            <w:pPr>
              <w:spacing w:after="0" w:line="192" w:lineRule="exact"/>
              <w:rPr>
                <w:sz w:val="20"/>
                <w:szCs w:val="20"/>
                <w:color w:val="auto"/>
              </w:rPr>
            </w:pPr>
            <w:r>
              <w:rPr>
                <w:rFonts w:ascii="Times New Roman" w:cs="Times New Roman" w:eastAsia="Times New Roman" w:hAnsi="Times New Roman"/>
                <w:sz w:val="18"/>
                <w:szCs w:val="18"/>
                <w:color w:val="0000EE"/>
                <w:w w:val="97"/>
              </w:rPr>
              <w:t>Consent of RSM US LLP, Independent Registered Public Accounting Firm.</w:t>
            </w:r>
          </w:p>
        </w:tc>
        <w:tc>
          <w:tcPr>
            <w:tcW w:w="4740" w:type="dxa"/>
            <w:vAlign w:val="bottom"/>
            <w:gridSpan w:val="18"/>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23.2*</w:t>
            </w:r>
          </w:p>
        </w:tc>
        <w:tc>
          <w:tcPr>
            <w:tcW w:w="160" w:type="dxa"/>
            <w:vAlign w:val="bottom"/>
          </w:tcPr>
          <w:p>
            <w:pPr>
              <w:spacing w:after="0"/>
              <w:rPr>
                <w:sz w:val="16"/>
                <w:szCs w:val="16"/>
                <w:color w:val="auto"/>
              </w:rPr>
            </w:pPr>
          </w:p>
        </w:tc>
        <w:tc>
          <w:tcPr>
            <w:tcW w:w="10100" w:type="dxa"/>
            <w:vAlign w:val="bottom"/>
            <w:gridSpan w:val="23"/>
          </w:tcPr>
          <w:p>
            <w:pPr>
              <w:spacing w:after="0" w:line="192" w:lineRule="exact"/>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w:t>
            </w: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24.1*</w:t>
            </w:r>
          </w:p>
        </w:tc>
        <w:tc>
          <w:tcPr>
            <w:tcW w:w="160" w:type="dxa"/>
            <w:vAlign w:val="bottom"/>
          </w:tcPr>
          <w:p>
            <w:pPr>
              <w:spacing w:after="0"/>
              <w:rPr>
                <w:sz w:val="16"/>
                <w:szCs w:val="16"/>
                <w:color w:val="auto"/>
              </w:rPr>
            </w:pPr>
          </w:p>
        </w:tc>
        <w:tc>
          <w:tcPr>
            <w:tcW w:w="3420" w:type="dxa"/>
            <w:vAlign w:val="bottom"/>
            <w:tcBorders>
              <w:top w:val="single" w:sz="8" w:color="0000EE"/>
              <w:bottom w:val="single" w:sz="8" w:color="0000EE"/>
            </w:tcBorders>
            <w:gridSpan w:val="3"/>
          </w:tcPr>
          <w:p>
            <w:pPr>
              <w:spacing w:after="0" w:line="192" w:lineRule="exact"/>
              <w:rPr>
                <w:sz w:val="20"/>
                <w:szCs w:val="20"/>
                <w:color w:val="auto"/>
              </w:rPr>
            </w:pPr>
            <w:r>
              <w:rPr>
                <w:rFonts w:ascii="Times New Roman" w:cs="Times New Roman" w:eastAsia="Times New Roman" w:hAnsi="Times New Roman"/>
                <w:sz w:val="18"/>
                <w:szCs w:val="18"/>
                <w:color w:val="0000EE"/>
                <w:w w:val="97"/>
              </w:rPr>
              <w:t>Power of Attorney (included on signature page).</w:t>
            </w:r>
          </w:p>
        </w:tc>
        <w:tc>
          <w:tcPr>
            <w:tcW w:w="2340" w:type="dxa"/>
            <w:vAlign w:val="bottom"/>
            <w:tcBorders>
              <w:top w:val="single" w:sz="8" w:color="0000EE"/>
            </w:tcBorders>
            <w:gridSpan w:val="3"/>
          </w:tcPr>
          <w:p>
            <w:pPr>
              <w:spacing w:after="0"/>
              <w:rPr>
                <w:sz w:val="16"/>
                <w:szCs w:val="16"/>
                <w:color w:val="auto"/>
              </w:rPr>
            </w:pPr>
          </w:p>
        </w:tc>
        <w:tc>
          <w:tcPr>
            <w:tcW w:w="4340" w:type="dxa"/>
            <w:vAlign w:val="bottom"/>
            <w:gridSpan w:val="17"/>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31.1*</w:t>
            </w:r>
          </w:p>
        </w:tc>
        <w:tc>
          <w:tcPr>
            <w:tcW w:w="160" w:type="dxa"/>
            <w:vAlign w:val="bottom"/>
          </w:tcPr>
          <w:p>
            <w:pPr>
              <w:spacing w:after="0"/>
              <w:rPr>
                <w:sz w:val="16"/>
                <w:szCs w:val="16"/>
                <w:color w:val="auto"/>
              </w:rPr>
            </w:pPr>
          </w:p>
        </w:tc>
        <w:tc>
          <w:tcPr>
            <w:tcW w:w="9640" w:type="dxa"/>
            <w:vAlign w:val="bottom"/>
            <w:tcBorders>
              <w:bottom w:val="single" w:sz="8" w:color="0000EE"/>
            </w:tcBorders>
            <w:gridSpan w:val="20"/>
          </w:tcPr>
          <w:p>
            <w:pPr>
              <w:spacing w:after="0" w:line="192" w:lineRule="exact"/>
              <w:rPr>
                <w:sz w:val="20"/>
                <w:szCs w:val="20"/>
                <w:color w:val="auto"/>
              </w:rPr>
            </w:pPr>
            <w:r>
              <w:rPr>
                <w:rFonts w:ascii="Times New Roman" w:cs="Times New Roman" w:eastAsia="Times New Roman" w:hAnsi="Times New Roman"/>
                <w:sz w:val="18"/>
                <w:szCs w:val="18"/>
                <w:color w:val="0000EE"/>
                <w:w w:val="97"/>
              </w:rPr>
              <w:t>Certification of the Principal Executive Officer pursuant to Rule 13a-14(a) or Rule 15d-14(a) of the Securities Exchange Act of 1934, as</w:t>
            </w:r>
          </w:p>
        </w:tc>
        <w:tc>
          <w:tcPr>
            <w:tcW w:w="460" w:type="dxa"/>
            <w:vAlign w:val="bottom"/>
            <w:gridSpan w:val="3"/>
          </w:tcPr>
          <w:p>
            <w:pPr>
              <w:spacing w:after="0"/>
              <w:rPr>
                <w:sz w:val="16"/>
                <w:szCs w:val="16"/>
                <w:color w:val="auto"/>
              </w:rPr>
            </w:pPr>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00" w:type="dxa"/>
            <w:vAlign w:val="bottom"/>
            <w:gridSpan w:val="23"/>
          </w:tcPr>
          <w:p>
            <w:pPr>
              <w:spacing w:after="0" w:line="192" w:lineRule="exact"/>
              <w:rPr>
                <w:sz w:val="20"/>
                <w:szCs w:val="20"/>
                <w:color w:val="auto"/>
              </w:rPr>
            </w:pPr>
            <w:r>
              <w:rPr>
                <w:rFonts w:ascii="Times New Roman" w:cs="Times New Roman" w:eastAsia="Times New Roman" w:hAnsi="Times New Roman"/>
                <w:sz w:val="18"/>
                <w:szCs w:val="18"/>
                <w:color w:val="0000EE"/>
              </w:rPr>
              <w:t>amended.</w:t>
            </w: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31.2*</w:t>
            </w:r>
          </w:p>
        </w:tc>
        <w:tc>
          <w:tcPr>
            <w:tcW w:w="160" w:type="dxa"/>
            <w:vAlign w:val="bottom"/>
          </w:tcPr>
          <w:p>
            <w:pPr>
              <w:spacing w:after="0"/>
              <w:rPr>
                <w:sz w:val="16"/>
                <w:szCs w:val="16"/>
                <w:color w:val="auto"/>
              </w:rPr>
            </w:pPr>
          </w:p>
        </w:tc>
        <w:tc>
          <w:tcPr>
            <w:tcW w:w="10100" w:type="dxa"/>
            <w:vAlign w:val="bottom"/>
            <w:gridSpan w:val="23"/>
          </w:tcPr>
          <w:p>
            <w:pPr>
              <w:spacing w:after="0" w:line="192"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or Rule 15d-14(a) of the Securities Exchange Act of 1934, as</w:t>
            </w:r>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80" w:type="dxa"/>
            <w:vAlign w:val="bottom"/>
            <w:tcBorders>
              <w:top w:val="single" w:sz="8" w:color="0000EE"/>
            </w:tcBorders>
            <w:gridSpan w:val="19"/>
          </w:tcPr>
          <w:p>
            <w:pPr>
              <w:spacing w:after="0" w:line="192" w:lineRule="exact"/>
              <w:rPr>
                <w:sz w:val="20"/>
                <w:szCs w:val="20"/>
                <w:color w:val="auto"/>
              </w:rPr>
            </w:pPr>
            <w:r>
              <w:rPr>
                <w:rFonts w:ascii="Times New Roman" w:cs="Times New Roman" w:eastAsia="Times New Roman" w:hAnsi="Times New Roman"/>
                <w:sz w:val="18"/>
                <w:szCs w:val="18"/>
                <w:color w:val="0000EE"/>
              </w:rPr>
              <w:t>amended.</w:t>
            </w:r>
          </w:p>
        </w:tc>
        <w:tc>
          <w:tcPr>
            <w:tcW w:w="520" w:type="dxa"/>
            <w:vAlign w:val="bottom"/>
            <w:gridSpan w:val="4"/>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5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32.1**</w:t>
            </w:r>
          </w:p>
        </w:tc>
        <w:tc>
          <w:tcPr>
            <w:tcW w:w="160" w:type="dxa"/>
            <w:vAlign w:val="bottom"/>
          </w:tcPr>
          <w:p>
            <w:pPr>
              <w:spacing w:after="0"/>
              <w:rPr>
                <w:sz w:val="16"/>
                <w:szCs w:val="16"/>
                <w:color w:val="auto"/>
              </w:rPr>
            </w:pPr>
          </w:p>
        </w:tc>
        <w:tc>
          <w:tcPr>
            <w:tcW w:w="10100" w:type="dxa"/>
            <w:vAlign w:val="bottom"/>
            <w:tcBorders>
              <w:bottom w:val="single" w:sz="8" w:color="0000EE"/>
            </w:tcBorders>
            <w:gridSpan w:val="23"/>
          </w:tcPr>
          <w:p>
            <w:pPr>
              <w:spacing w:after="0" w:line="192"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13a-14(b) of the Securities Exchange Act of 1934, as amended, and 18</w:t>
            </w:r>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560" w:type="dxa"/>
            <w:vAlign w:val="bottom"/>
            <w:tcBorders>
              <w:bottom w:val="single" w:sz="8" w:color="0000EE"/>
            </w:tcBorders>
            <w:gridSpan w:val="11"/>
          </w:tcPr>
          <w:p>
            <w:pPr>
              <w:spacing w:after="0" w:line="192" w:lineRule="exact"/>
              <w:rPr>
                <w:sz w:val="20"/>
                <w:szCs w:val="20"/>
                <w:color w:val="auto"/>
              </w:rPr>
            </w:pPr>
            <w:r>
              <w:rPr>
                <w:rFonts w:ascii="Times New Roman" w:cs="Times New Roman" w:eastAsia="Times New Roman" w:hAnsi="Times New Roman"/>
                <w:sz w:val="18"/>
                <w:szCs w:val="18"/>
                <w:color w:val="0000EE"/>
                <w:w w:val="97"/>
              </w:rPr>
              <w:t>U.S.C. Section 1350, as adopted pursuant to Section 906 of the Sarbanes-Oxley Act of 2002.</w:t>
            </w:r>
          </w:p>
        </w:tc>
        <w:tc>
          <w:tcPr>
            <w:tcW w:w="3540" w:type="dxa"/>
            <w:vAlign w:val="bottom"/>
            <w:gridSpan w:val="12"/>
          </w:tcPr>
          <w:p>
            <w:pPr>
              <w:spacing w:after="0"/>
              <w:rPr>
                <w:sz w:val="16"/>
                <w:szCs w:val="16"/>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32.2**</w:t>
            </w:r>
          </w:p>
        </w:tc>
        <w:tc>
          <w:tcPr>
            <w:tcW w:w="160" w:type="dxa"/>
            <w:vAlign w:val="bottom"/>
          </w:tcPr>
          <w:p>
            <w:pPr>
              <w:spacing w:after="0"/>
              <w:rPr>
                <w:sz w:val="16"/>
                <w:szCs w:val="16"/>
                <w:color w:val="auto"/>
              </w:rPr>
            </w:pPr>
          </w:p>
        </w:tc>
        <w:tc>
          <w:tcPr>
            <w:tcW w:w="10100" w:type="dxa"/>
            <w:vAlign w:val="bottom"/>
            <w:tcBorders>
              <w:bottom w:val="single" w:sz="8" w:color="0000EE"/>
            </w:tcBorders>
            <w:gridSpan w:val="23"/>
          </w:tcPr>
          <w:p>
            <w:pPr>
              <w:spacing w:after="0" w:line="192" w:lineRule="exact"/>
              <w:rPr>
                <w:sz w:val="20"/>
                <w:szCs w:val="20"/>
                <w:color w:val="auto"/>
              </w:rPr>
            </w:pPr>
            <w:r>
              <w:rPr>
                <w:rFonts w:ascii="Times New Roman" w:cs="Times New Roman" w:eastAsia="Times New Roman" w:hAnsi="Times New Roman"/>
                <w:sz w:val="18"/>
                <w:szCs w:val="18"/>
                <w:color w:val="0000EE"/>
                <w:w w:val="98"/>
              </w:rPr>
              <w:t>Certification of the Principal Financial Officer pursuant to Rule 13a-14(b) of the Securities Exchange Act of 1934, as amended, and 18 U.S.C.</w:t>
            </w:r>
          </w:p>
        </w:tc>
      </w:tr>
      <w:tr>
        <w:trPr>
          <w:trHeight w:val="192"/>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40" w:type="dxa"/>
            <w:vAlign w:val="bottom"/>
            <w:tcBorders>
              <w:bottom w:val="single" w:sz="8" w:color="0000EE"/>
            </w:tcBorders>
            <w:gridSpan w:val="8"/>
          </w:tcPr>
          <w:p>
            <w:pPr>
              <w:spacing w:after="0" w:line="192" w:lineRule="exact"/>
              <w:rPr>
                <w:sz w:val="20"/>
                <w:szCs w:val="20"/>
                <w:color w:val="auto"/>
              </w:rPr>
            </w:pPr>
            <w:r>
              <w:rPr>
                <w:rFonts w:ascii="Times New Roman" w:cs="Times New Roman" w:eastAsia="Times New Roman" w:hAnsi="Times New Roman"/>
                <w:sz w:val="18"/>
                <w:szCs w:val="18"/>
                <w:color w:val="0000EE"/>
                <w:w w:val="97"/>
              </w:rPr>
              <w:t>Section 1350, as adopted pursuant to Section 906 of the Sarbanes-Oxley Act of 2002.</w:t>
            </w:r>
          </w:p>
        </w:tc>
        <w:tc>
          <w:tcPr>
            <w:tcW w:w="4060" w:type="dxa"/>
            <w:vAlign w:val="bottom"/>
            <w:gridSpan w:val="15"/>
          </w:tcPr>
          <w:p>
            <w:pPr>
              <w:spacing w:after="0"/>
              <w:rPr>
                <w:sz w:val="16"/>
                <w:szCs w:val="16"/>
                <w:color w:val="auto"/>
              </w:rPr>
            </w:pPr>
          </w:p>
        </w:tc>
      </w:tr>
      <w:tr>
        <w:trPr>
          <w:trHeight w:val="445"/>
        </w:trPr>
        <w:tc>
          <w:tcPr>
            <w:tcW w:w="1000" w:type="dxa"/>
            <w:vAlign w:val="bottom"/>
          </w:tcPr>
          <w:p>
            <w:pPr>
              <w:spacing w:after="0"/>
              <w:rPr>
                <w:sz w:val="24"/>
                <w:szCs w:val="24"/>
                <w:color w:val="auto"/>
              </w:rPr>
            </w:pPr>
          </w:p>
        </w:tc>
        <w:tc>
          <w:tcPr>
            <w:tcW w:w="4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10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8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EXHIBITS, CONTINUED</w:t>
            </w:r>
          </w:p>
        </w:tc>
      </w:tr>
      <w:tr>
        <w:trPr>
          <w:trHeight w:val="423"/>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0" w:type="dxa"/>
            <w:vAlign w:val="bottom"/>
          </w:tcPr>
          <w:p>
            <w:pPr>
              <w:spacing w:after="0"/>
              <w:rPr>
                <w:sz w:val="24"/>
                <w:szCs w:val="24"/>
                <w:color w:val="auto"/>
              </w:rPr>
            </w:pPr>
          </w:p>
        </w:tc>
        <w:tc>
          <w:tcPr>
            <w:tcW w:w="1008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7"/>
        </w:trPr>
        <w:tc>
          <w:tcPr>
            <w:tcW w:w="100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101.INS*</w:t>
            </w:r>
          </w:p>
        </w:tc>
        <w:tc>
          <w:tcPr>
            <w:tcW w:w="160" w:type="dxa"/>
            <w:vAlign w:val="bottom"/>
          </w:tcPr>
          <w:p>
            <w:pPr>
              <w:spacing w:after="0"/>
              <w:rPr>
                <w:sz w:val="16"/>
                <w:szCs w:val="16"/>
                <w:color w:val="auto"/>
              </w:rPr>
            </w:pPr>
          </w:p>
        </w:tc>
        <w:tc>
          <w:tcPr>
            <w:tcW w:w="1008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Inline XBRL Instance Document.</w:t>
            </w:r>
          </w:p>
        </w:tc>
      </w:tr>
      <w:tr>
        <w:trPr>
          <w:trHeight w:val="2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101.SCH*</w:t>
            </w:r>
          </w:p>
        </w:tc>
        <w:tc>
          <w:tcPr>
            <w:tcW w:w="16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16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101.DEF*</w:t>
            </w:r>
          </w:p>
        </w:tc>
        <w:tc>
          <w:tcPr>
            <w:tcW w:w="16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6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101.PRE*</w:t>
            </w:r>
          </w:p>
        </w:tc>
        <w:tc>
          <w:tcPr>
            <w:tcW w:w="16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tc>
      </w:tr>
    </w:tbl>
    <w:p>
      <w:pPr>
        <w:spacing w:after="0" w:line="206" w:lineRule="exact"/>
        <w:rPr>
          <w:sz w:val="20"/>
          <w:szCs w:val="20"/>
          <w:color w:val="auto"/>
        </w:rPr>
      </w:pPr>
    </w:p>
    <w:p>
      <w:pPr>
        <w:ind w:left="1160" w:hanging="701"/>
        <w:spacing w:after="0"/>
        <w:tabs>
          <w:tab w:leader="none" w:pos="11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4" w:lineRule="exact"/>
        <w:rPr>
          <w:sz w:val="20"/>
          <w:szCs w:val="20"/>
          <w:color w:val="auto"/>
        </w:rPr>
      </w:pPr>
    </w:p>
    <w:p>
      <w:pPr>
        <w:ind w:left="1160" w:hanging="746"/>
        <w:spacing w:after="0"/>
        <w:tabs>
          <w:tab w:leader="none" w:pos="11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5" w:lineRule="exact"/>
        <w:rPr>
          <w:sz w:val="20"/>
          <w:szCs w:val="20"/>
          <w:color w:val="auto"/>
        </w:rPr>
      </w:pPr>
    </w:p>
    <w:p>
      <w:pPr>
        <w:ind w:left="1160" w:hanging="701"/>
        <w:spacing w:after="0"/>
        <w:tabs>
          <w:tab w:leader="none" w:pos="11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5" w:lineRule="exact"/>
        <w:rPr>
          <w:sz w:val="20"/>
          <w:szCs w:val="20"/>
          <w:color w:val="auto"/>
        </w:rPr>
      </w:pPr>
    </w:p>
    <w:p>
      <w:pPr>
        <w:ind w:left="1160" w:right="220" w:hanging="707"/>
        <w:spacing w:after="0" w:line="245" w:lineRule="auto"/>
        <w:tabs>
          <w:tab w:leader="none" w:pos="11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identified by the mark, “[*]”, have been omitted because such portions contained information that is both (i) not material and (ii) the type that the Registrant treats as private or confidential.</w:t>
      </w:r>
    </w:p>
    <w:p>
      <w:pPr>
        <w:spacing w:after="0" w:line="1" w:lineRule="exact"/>
        <w:rPr>
          <w:rFonts w:ascii="Times New Roman" w:cs="Times New Roman" w:eastAsia="Times New Roman" w:hAnsi="Times New Roman"/>
          <w:sz w:val="18"/>
          <w:szCs w:val="18"/>
          <w:color w:val="auto"/>
        </w:rPr>
      </w:pPr>
    </w:p>
    <w:p>
      <w:pPr>
        <w:jc w:val="both"/>
        <w:ind w:left="1160" w:right="20" w:hanging="679"/>
        <w:spacing w:after="0" w:line="248" w:lineRule="auto"/>
        <w:tabs>
          <w:tab w:leader="none" w:pos="11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A copy of any omitted schedule will be furnished to the Securities and Exchange Commission upon request; provided, however, that the parties may request confidential treatment pursuant to Rule 24b-2 of the Exchange Act for any document so furnished.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2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FORM 10-K SUMMARY</w:t>
            </w:r>
          </w:p>
        </w:tc>
        <w:tc>
          <w:tcPr>
            <w:tcW w:w="0" w:type="dxa"/>
            <w:vAlign w:val="bottom"/>
          </w:tcPr>
          <w:p>
            <w:pPr>
              <w:spacing w:after="0"/>
              <w:rPr>
                <w:sz w:val="1"/>
                <w:szCs w:val="1"/>
                <w:color w:val="auto"/>
              </w:rPr>
            </w:pPr>
          </w:p>
        </w:tc>
      </w:tr>
      <w:tr>
        <w:trPr>
          <w:trHeight w:val="127"/>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580" w:type="dxa"/>
            <w:vAlign w:val="bottom"/>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520" w:type="dxa"/>
            <w:vAlign w:val="bottom"/>
          </w:tcPr>
          <w:p>
            <w:pPr>
              <w:spacing w:after="0"/>
              <w:rPr>
                <w:sz w:val="20"/>
                <w:szCs w:val="20"/>
                <w:color w:val="auto"/>
              </w:rPr>
            </w:pPr>
          </w:p>
        </w:tc>
        <w:tc>
          <w:tcPr>
            <w:tcW w:w="772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Zevra Therapeutics, Inc.</w:t>
            </w:r>
          </w:p>
        </w:tc>
      </w:tr>
      <w:tr>
        <w:trPr>
          <w:trHeight w:val="4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7, 2023</w:t>
            </w:r>
          </w:p>
        </w:tc>
        <w:tc>
          <w:tcPr>
            <w:tcW w:w="772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By: /s/ Richard W. Pascoe</w:t>
            </w:r>
          </w:p>
        </w:tc>
      </w:tr>
      <w:tr>
        <w:trPr>
          <w:trHeight w:val="187"/>
        </w:trPr>
        <w:tc>
          <w:tcPr>
            <w:tcW w:w="35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94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Richard W. Pascoe</w:t>
            </w:r>
          </w:p>
        </w:tc>
      </w:tr>
      <w:tr>
        <w:trPr>
          <w:trHeight w:val="212"/>
        </w:trPr>
        <w:tc>
          <w:tcPr>
            <w:tcW w:w="35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1"/>
        </w:trPr>
        <w:tc>
          <w:tcPr>
            <w:tcW w:w="35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7, 2023</w:t>
            </w:r>
          </w:p>
        </w:tc>
        <w:tc>
          <w:tcPr>
            <w:tcW w:w="772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By: /s/ R. LaDuane Clifton</w:t>
            </w:r>
          </w:p>
        </w:tc>
      </w:tr>
      <w:tr>
        <w:trPr>
          <w:trHeight w:val="187"/>
        </w:trPr>
        <w:tc>
          <w:tcPr>
            <w:tcW w:w="35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94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R. LaDuane Clifton, CPA</w:t>
            </w:r>
          </w:p>
        </w:tc>
      </w:tr>
      <w:tr>
        <w:trPr>
          <w:trHeight w:val="212"/>
        </w:trPr>
        <w:tc>
          <w:tcPr>
            <w:tcW w:w="35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r>
        <w:trPr>
          <w:trHeight w:val="231"/>
        </w:trPr>
        <w:tc>
          <w:tcPr>
            <w:tcW w:w="35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4"/>
        </w:trPr>
        <w:tc>
          <w:tcPr>
            <w:tcW w:w="3520" w:type="dxa"/>
            <w:vAlign w:val="bottom"/>
          </w:tcPr>
          <w:p>
            <w:pPr>
              <w:spacing w:after="0"/>
              <w:rPr>
                <w:sz w:val="24"/>
                <w:szCs w:val="24"/>
                <w:color w:val="auto"/>
              </w:rPr>
            </w:pPr>
          </w:p>
        </w:tc>
        <w:tc>
          <w:tcPr>
            <w:tcW w:w="3780" w:type="dxa"/>
            <w:vAlign w:val="bottom"/>
          </w:tcPr>
          <w:p>
            <w:pPr>
              <w:jc w:val="right"/>
              <w:ind w:right="1452"/>
              <w:spacing w:after="0"/>
              <w:rPr>
                <w:sz w:val="20"/>
                <w:szCs w:val="20"/>
                <w:color w:val="auto"/>
              </w:rPr>
            </w:pPr>
            <w:r>
              <w:rPr>
                <w:rFonts w:ascii="Times New Roman" w:cs="Times New Roman" w:eastAsia="Times New Roman" w:hAnsi="Times New Roman"/>
                <w:sz w:val="18"/>
                <w:szCs w:val="18"/>
                <w:color w:val="auto"/>
              </w:rPr>
              <w:t>149</w:t>
            </w:r>
          </w:p>
        </w:tc>
        <w:tc>
          <w:tcPr>
            <w:tcW w:w="3940" w:type="dxa"/>
            <w:vAlign w:val="bottom"/>
          </w:tcPr>
          <w:p>
            <w:pPr>
              <w:spacing w:after="0"/>
              <w:rPr>
                <w:sz w:val="24"/>
                <w:szCs w:val="24"/>
                <w:color w:val="auto"/>
              </w:rPr>
            </w:pPr>
          </w:p>
        </w:tc>
      </w:tr>
      <w:tr>
        <w:trPr>
          <w:trHeight w:val="112"/>
        </w:trPr>
        <w:tc>
          <w:tcPr>
            <w:tcW w:w="352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 and appoint Richard W. Pascoe and R. LaDuane Clifton, and each of them (with full power to each of them to act alone), as his true and lawful attorneys-in-fact and agents, with full power of substitution and resubstitution in each of them for him and in his name, place and stead, and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1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W. Pascoe</w:t>
            </w:r>
          </w:p>
        </w:tc>
        <w:tc>
          <w:tcPr>
            <w:tcW w:w="12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Chief Executive Officer and Director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Richard W. Pascoe</w:t>
            </w:r>
          </w:p>
        </w:tc>
        <w:tc>
          <w:tcPr>
            <w:tcW w:w="120" w:type="dxa"/>
            <w:vAlign w:val="bottom"/>
          </w:tcPr>
          <w:p>
            <w:pPr>
              <w:spacing w:after="0"/>
              <w:rPr>
                <w:sz w:val="16"/>
                <w:szCs w:val="16"/>
                <w:color w:val="auto"/>
              </w:rPr>
            </w:pPr>
          </w:p>
        </w:tc>
        <w:tc>
          <w:tcPr>
            <w:tcW w:w="4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7, 2023</w:t>
            </w:r>
          </w:p>
        </w:tc>
        <w:tc>
          <w:tcPr>
            <w:tcW w:w="0" w:type="dxa"/>
            <w:vAlign w:val="bottom"/>
          </w:tcPr>
          <w:p>
            <w:pPr>
              <w:spacing w:after="0"/>
              <w:rPr>
                <w:sz w:val="1"/>
                <w:szCs w:val="1"/>
                <w:color w:val="auto"/>
              </w:rPr>
            </w:pPr>
          </w:p>
        </w:tc>
      </w:tr>
      <w:tr>
        <w:trPr>
          <w:trHeight w:val="423"/>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c>
          <w:tcPr>
            <w:tcW w:w="12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 Secretary and Treasurer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R. LaDuane Clifton, CPA</w:t>
            </w:r>
          </w:p>
        </w:tc>
        <w:tc>
          <w:tcPr>
            <w:tcW w:w="120" w:type="dxa"/>
            <w:vAlign w:val="bottom"/>
          </w:tcPr>
          <w:p>
            <w:pPr>
              <w:spacing w:after="0"/>
              <w:rPr>
                <w:sz w:val="16"/>
                <w:szCs w:val="16"/>
                <w:color w:val="auto"/>
              </w:rPr>
            </w:pPr>
          </w:p>
        </w:tc>
        <w:tc>
          <w:tcPr>
            <w:tcW w:w="4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(Principal Financial Officer)</w:t>
            </w:r>
          </w:p>
        </w:tc>
        <w:tc>
          <w:tcPr>
            <w:tcW w:w="1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7, 2023</w:t>
            </w:r>
          </w:p>
        </w:tc>
        <w:tc>
          <w:tcPr>
            <w:tcW w:w="0" w:type="dxa"/>
            <w:vAlign w:val="bottom"/>
          </w:tcPr>
          <w:p>
            <w:pPr>
              <w:spacing w:after="0"/>
              <w:rPr>
                <w:sz w:val="1"/>
                <w:szCs w:val="1"/>
                <w:color w:val="auto"/>
              </w:rPr>
            </w:pPr>
          </w:p>
        </w:tc>
      </w:tr>
      <w:tr>
        <w:trPr>
          <w:trHeight w:val="423"/>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J. Sangiovanni</w:t>
            </w:r>
          </w:p>
        </w:tc>
        <w:tc>
          <w:tcPr>
            <w:tcW w:w="12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Senior Vice President, Corporate Controller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Timothy J. Sangiovanni, CPA</w:t>
            </w:r>
          </w:p>
        </w:tc>
        <w:tc>
          <w:tcPr>
            <w:tcW w:w="12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100" w:type="dxa"/>
            <w:vAlign w:val="bottom"/>
          </w:tcPr>
          <w:p>
            <w:pPr>
              <w:spacing w:after="0"/>
              <w:rPr>
                <w:sz w:val="20"/>
                <w:szCs w:val="20"/>
                <w:color w:val="auto"/>
              </w:rPr>
            </w:pPr>
          </w:p>
        </w:tc>
        <w:tc>
          <w:tcPr>
            <w:tcW w:w="2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March 7, 2023</w:t>
            </w:r>
          </w:p>
        </w:tc>
        <w:tc>
          <w:tcPr>
            <w:tcW w:w="0" w:type="dxa"/>
            <w:vAlign w:val="bottom"/>
          </w:tcPr>
          <w:p>
            <w:pPr>
              <w:spacing w:after="0"/>
              <w:rPr>
                <w:sz w:val="1"/>
                <w:szCs w:val="1"/>
                <w:color w:val="auto"/>
              </w:rPr>
            </w:pPr>
          </w:p>
        </w:tc>
      </w:tr>
      <w:tr>
        <w:trPr>
          <w:trHeight w:val="423"/>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/s/Travis C. Mickle, Ph.D.</w:t>
            </w:r>
          </w:p>
        </w:tc>
        <w:tc>
          <w:tcPr>
            <w:tcW w:w="12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President and Director</w:t>
            </w:r>
          </w:p>
        </w:tc>
        <w:tc>
          <w:tcPr>
            <w:tcW w:w="10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March 7, 2023</w:t>
            </w:r>
          </w:p>
        </w:tc>
        <w:tc>
          <w:tcPr>
            <w:tcW w:w="0" w:type="dxa"/>
            <w:vAlign w:val="bottom"/>
          </w:tcPr>
          <w:p>
            <w:pPr>
              <w:spacing w:after="0"/>
              <w:rPr>
                <w:sz w:val="1"/>
                <w:szCs w:val="1"/>
                <w:color w:val="auto"/>
              </w:rPr>
            </w:pPr>
          </w:p>
        </w:tc>
      </w:tr>
      <w:tr>
        <w:trPr>
          <w:trHeight w:val="225"/>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Travis C. Mickle, Ph.D.</w:t>
            </w:r>
          </w:p>
        </w:tc>
        <w:tc>
          <w:tcPr>
            <w:tcW w:w="12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R. Plooster</w:t>
            </w:r>
          </w:p>
        </w:tc>
        <w:tc>
          <w:tcPr>
            <w:tcW w:w="12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Chairman of the Board of Directors</w:t>
            </w:r>
          </w:p>
        </w:tc>
        <w:tc>
          <w:tcPr>
            <w:tcW w:w="10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March 7, 2023</w:t>
            </w:r>
          </w:p>
        </w:tc>
        <w:tc>
          <w:tcPr>
            <w:tcW w:w="0" w:type="dxa"/>
            <w:vAlign w:val="bottom"/>
          </w:tcPr>
          <w:p>
            <w:pPr>
              <w:spacing w:after="0"/>
              <w:rPr>
                <w:sz w:val="1"/>
                <w:szCs w:val="1"/>
                <w:color w:val="auto"/>
              </w:rPr>
            </w:pPr>
          </w:p>
        </w:tc>
      </w:tr>
      <w:tr>
        <w:trPr>
          <w:trHeight w:val="225"/>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Matthew R. Plooster</w:t>
            </w:r>
          </w:p>
        </w:tc>
        <w:tc>
          <w:tcPr>
            <w:tcW w:w="12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B. Saluri</w:t>
            </w:r>
          </w:p>
        </w:tc>
        <w:tc>
          <w:tcPr>
            <w:tcW w:w="12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March 7, 2023</w:t>
            </w:r>
          </w:p>
        </w:tc>
        <w:tc>
          <w:tcPr>
            <w:tcW w:w="0" w:type="dxa"/>
            <w:vAlign w:val="bottom"/>
          </w:tcPr>
          <w:p>
            <w:pPr>
              <w:spacing w:after="0"/>
              <w:rPr>
                <w:sz w:val="1"/>
                <w:szCs w:val="1"/>
                <w:color w:val="auto"/>
              </w:rPr>
            </w:pPr>
          </w:p>
        </w:tc>
      </w:tr>
      <w:tr>
        <w:trPr>
          <w:trHeight w:val="225"/>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Joseph B. Saluri</w:t>
            </w:r>
          </w:p>
        </w:tc>
        <w:tc>
          <w:tcPr>
            <w:tcW w:w="12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Tamara A. Favorito</w:t>
            </w:r>
          </w:p>
        </w:tc>
        <w:tc>
          <w:tcPr>
            <w:tcW w:w="12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March 7, 2023</w:t>
            </w:r>
          </w:p>
        </w:tc>
        <w:tc>
          <w:tcPr>
            <w:tcW w:w="0" w:type="dxa"/>
            <w:vAlign w:val="bottom"/>
          </w:tcPr>
          <w:p>
            <w:pPr>
              <w:spacing w:after="0"/>
              <w:rPr>
                <w:sz w:val="1"/>
                <w:szCs w:val="1"/>
                <w:color w:val="auto"/>
              </w:rPr>
            </w:pPr>
          </w:p>
        </w:tc>
      </w:tr>
      <w:tr>
        <w:trPr>
          <w:trHeight w:val="225"/>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Tamara A. Favorito</w:t>
            </w:r>
          </w:p>
        </w:tc>
        <w:tc>
          <w:tcPr>
            <w:tcW w:w="12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 Tierney</w:t>
            </w:r>
          </w:p>
        </w:tc>
        <w:tc>
          <w:tcPr>
            <w:tcW w:w="12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March 7, 2023</w:t>
            </w:r>
          </w:p>
        </w:tc>
        <w:tc>
          <w:tcPr>
            <w:tcW w:w="0" w:type="dxa"/>
            <w:vAlign w:val="bottom"/>
          </w:tcPr>
          <w:p>
            <w:pPr>
              <w:spacing w:after="0"/>
              <w:rPr>
                <w:sz w:val="1"/>
                <w:szCs w:val="1"/>
                <w:color w:val="auto"/>
              </w:rPr>
            </w:pPr>
          </w:p>
        </w:tc>
      </w:tr>
      <w:tr>
        <w:trPr>
          <w:trHeight w:val="225"/>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David S. Tierney</w:t>
            </w:r>
          </w:p>
        </w:tc>
        <w:tc>
          <w:tcPr>
            <w:tcW w:w="12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Posner</w:t>
            </w:r>
          </w:p>
        </w:tc>
        <w:tc>
          <w:tcPr>
            <w:tcW w:w="12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March 7, 2023</w:t>
            </w:r>
          </w:p>
        </w:tc>
        <w:tc>
          <w:tcPr>
            <w:tcW w:w="0" w:type="dxa"/>
            <w:vAlign w:val="bottom"/>
          </w:tcPr>
          <w:p>
            <w:pPr>
              <w:spacing w:after="0"/>
              <w:rPr>
                <w:sz w:val="1"/>
                <w:szCs w:val="1"/>
                <w:color w:val="auto"/>
              </w:rPr>
            </w:pPr>
          </w:p>
        </w:tc>
      </w:tr>
      <w:tr>
        <w:trPr>
          <w:trHeight w:val="225"/>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Posner</w:t>
            </w:r>
          </w:p>
        </w:tc>
        <w:tc>
          <w:tcPr>
            <w:tcW w:w="12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30"/>
        </w:trPr>
        <w:tc>
          <w:tcPr>
            <w:tcW w:w="4400" w:type="dxa"/>
            <w:vAlign w:val="bottom"/>
          </w:tcPr>
          <w:p>
            <w:pPr>
              <w:spacing w:after="0"/>
              <w:rPr>
                <w:sz w:val="24"/>
                <w:szCs w:val="24"/>
                <w:color w:val="auto"/>
              </w:rPr>
            </w:pPr>
          </w:p>
        </w:tc>
        <w:tc>
          <w:tcPr>
            <w:tcW w:w="4500" w:type="dxa"/>
            <w:vAlign w:val="bottom"/>
            <w:gridSpan w:val="2"/>
          </w:tcPr>
          <w:p>
            <w:pPr>
              <w:jc w:val="right"/>
              <w:ind w:right="3052"/>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Zevra Therapeutics, Inc. (“we,” “our,” or “us”) has one class of securities registered under Section 12 of the Securities Exchange Act of 1934, as amended, our common stock, par value $0.0001 per share, or common stock. The following description of our capital stock is a summary and does not purport to be complete. It is qualified in its entirety by, and should be read in conjunction with, our amended and restated certificate of incorporation, amended and restated bylaws and applicable Delaware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are authorized to issue up to 250,000,000 shares of common stock and 10,000,000 shares of preferred stock, $0.0001 par value per share, all of which are currently undesignated. Our board of directors may establish the rights and preferences of the undesignated preferred stock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The affirmative vote of the majority (plurality, in the case of the election of directors) of shares present and entitled to vote generally on a subject matter shall be the act of the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our common stock are entitled to receive ratably those dividends, if any, as may be declared from time to time by the board of directors out of legally available funds.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board of directors has the authority, without further action by the stockholders (unless such stockholder action is required by applicable law or stock exchange listing rules), to designate and issue up to 10,000,000 shares of preferred stock in one or more series, to establish from time to time the number of shares to be included in each such series, to fix the designations, powers, preferences, privileges and relative participating, optional or special rights and the qualifications, limitations or restrictions thereof, including dividend rights, conversion rights, voting rights, terms of redemption and liquidation preferences, any or all of which may be greater than the rights of our common stock, and to increase or decrease the number of shares of any such series, but not below the number of shares of such series then outstanding. Our board of directors, without stockholder approval, can issue preferred stock with voting, conversion or other rights that could adversely affect the voting power and other rights of the holders of our common stock. Preferred stock could be issued quickly with terms designed to delay or prevent a change in control of our company or make removal of management more difficult. Additionally, the issuance of preferred stock may have the effect of decreasing the market price of our common stock and may adversely affect the voting power of holders of our common stock and reduce the likelihood that our common stockholders will receive dividend payments and payments upon liquidation.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9" w:name="page160"/>
    <w:bookmarkEnd w:id="159"/>
    <w:p>
      <w:pPr>
        <w:jc w:val="both"/>
        <w:spacing w:after="0" w:line="274" w:lineRule="auto"/>
        <w:rPr>
          <w:sz w:val="20"/>
          <w:szCs w:val="20"/>
          <w:color w:val="auto"/>
        </w:rPr>
      </w:pPr>
      <w:r>
        <w:rPr>
          <w:rFonts w:ascii="Times New Roman" w:cs="Times New Roman" w:eastAsia="Times New Roman" w:hAnsi="Times New Roman"/>
          <w:sz w:val="18"/>
          <w:szCs w:val="18"/>
          <w:color w:val="auto"/>
        </w:rPr>
        <w:t>Our board of directors will fix the designations, voting powers, preferences and rights, as well as the qualifications, limitations or restrictions, of the preferred stock of each series that we offer in the certificate of designation relating to that series.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Delaware General Corporation Law, the law governing corporations in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warrants include a net exercise provision and contain provisions for the adjustment of the exercise price and the number of shares issuable upon the exercise of each warrant in the event of certain stock dividends, stock splits, reorganizations, reclassifications and consolidations. We have also granted registration rights to OTA LLC, or OTA, as more fully described below under “—Registration Rights.”</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June 2014, in connection with our entering into a facility agreement, we issued to Deerfield Private Design Fund III, L.P., or Deerfield, a warrant, or the Deerfield Warrant, to purchase 14,423,076 shares of Series D redeemable convertible preferred stock at an exercise price of $0.78 per share, which is exercisable until June 2, 2024. Upon completion of our initial public offering, the Deerfield Warrant automatically converted into a warrant to purchase 120,192 shares of our common stock at an exercise price of $93.60 per share. According to the terms of the Deerfield Warrant, in no event may Deerfield exercise this warrant if such exercise would result in Deerfield beneficially owning more than 4.985% of the then issued and outstanding shares of our common stock. This exercise limitation may not be waived and any purported exercise that is inconsistent with this exercise limitation is null and void. This exercise limitation will not apply to any exercise made immediately prior to a change of control transaction. If Deerfield is only able to exercise the Deerfield Warrant for a limited number of shares due to this exercise limitation, the Deerfield Warrant could subsequently become exercisable to purchase the remainder of the shares as a result of a variety of events. This could occur, for example, if we issue more shares or Deerfield sells some of its existing shares. The Deerfield Warrant includes a net exercise provision and contains provisions for the adjustment of the exercise price and the number of shares issuable upon the exercise of the warrant in the event of certain stock dividends, stock splits, recapitalizations, reclassifications and consolidations. Under the Deerfield Warrant, Deerfield also has the right to demand upon the occurrence of specified events, including a merger, asset sale or other change of control transaction, that we redeem the Deerfield Warrant for a cash amount equal to the Black-Scholes value of the portion of the Deerfield Warrant to be redeemed. If Deerfield chooses not to redeem the Deerfield Warrant upon the occurrence of such an event, we may not enter into any such transaction unless our successor entity assumes in writing all our obligations under both the Deerfield Warrant and the Deerfield facility and provides Deerfield with certain registration rights.</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Deerfield Warrant includes certain exercise price protection provisions pursuant to which the exercise price of the Deerfield Warrant will be adjusted downward on a broad-based weighted average basis if we issue or sell any shares of common stock, convertible securities, warrants or options, at a sale or exercise price per share less than the greater of the Deerfield Warrant’s exercise price or the closing sale price of our common stock on our principal market or exchange on the last trading date immediately prior to such issuance or, in the case of a firm commitment underwritten offering, on the date of execution of the underwriting agreement between us and the underwriters for such offering. The sale price for purposes of this adjustment is measured after giving effect to any underwriting discounts and commissions. This exercise price adjustment does not apply to certain specified sales and in any offering deemed by the Securities and Exchange Commission, or the SEC, to constitute an “at the market offering” as defined in Rule 415 of the Securities Act of 1933, or the Securities Act, of our common stock, the exercise price of the Deerfield Warrant will be adjusted downward pursuant to this anti-dilution adjustment only if such sales are made at a price less than $93.60 per share. In 2021, we entered into a two separate warrant inducement transactions which triggered these exercise price protection provision and the exercise price of the Deerfield Warrant was reduced from $93.60 per share to $46.25 per share and finally to $38.34 per share. In December 2022, Deerfield assigned the Deerfield Warrant to OTA, herein referred to as the OTA Warrant.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60" w:name="page161"/>
    <w:bookmarkEnd w:id="160"/>
    <w:p>
      <w:pPr>
        <w:jc w:val="both"/>
        <w:spacing w:after="0" w:line="248" w:lineRule="auto"/>
        <w:rPr>
          <w:sz w:val="20"/>
          <w:szCs w:val="20"/>
          <w:color w:val="auto"/>
        </w:rPr>
      </w:pPr>
      <w:r>
        <w:rPr>
          <w:rFonts w:ascii="Times New Roman" w:cs="Times New Roman" w:eastAsia="Times New Roman" w:hAnsi="Times New Roman"/>
          <w:sz w:val="18"/>
          <w:szCs w:val="18"/>
          <w:color w:val="auto"/>
        </w:rPr>
        <w:t>In October 2018, in connection with the APADAZ License Agreement, we issued to KVK-Tech, or KVK, a warrant to purchase up to 500,000 shares of our common stock of at an exercise price of $2.30 per share, which reflected the closing price of our common stock on the Nasdaq Stock Market on the execution date of the APADAZ License Agreement, or the KVK Warrant. The KVK Warrant is initially not exercisable for any shares of common stock. Upon the achievement of each of four specified milestones under the KVK Warrant, the KVK Warrant will become exercisable for an additional 125,000 shares, up to an aggregate of 500,000 shares of our common stock. The exercise price and the number and type of shares underlying the KVK Warrant are subject to adjustment in the event of specified events, including a reclassification of our common stock, a subdivision or combination of our common stock, or in the event of specified dividend payments. The KVK Warrant is exercisable until October 24, 2023. Upon exercise, the aggregate exercise price may be paid, at KVK’s election, in cash or on a net issuance basis, based upon the fair market value of our common stock at the time of exercise. After giving effect to the reverse stock split, effected in December 2020, the exercise price of the KVK Warrant became $36.80 and the shares of common stock issuable upon exercise of the KVK Warrant became 31,250 shares of common stock.</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January 2021, pursuant to the terms of the underwriting agreement and the December 2020 exchange agreement, we issued warrants to purchase 12,078,361 shares of our common stock, or collectively, the Offering Warrants, in a public offering and in connection with the transactions contemplated under the December 2020 exchange agreement. The Offering Warrants were immediately exercisable and expire on the fifth anniversary of their issuance date, at an exercise price per share of common stock equal to $6.50 per share. The Offering Warrants are exercisable, at the option of each holder, in whole or in part, by delivering to us a duly executed exercise notice, provided that payment in full for the number of shares of our common stock purchased upon such exercise is delivered to us in accordance with the terms of the Offering Warrants.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Offering Warrants. A holder (together with its affiliates) may not exercise any portion of the Offering Warrant to the extent that the holder and its affiliates and any other person or entities with which such holder would constitute a Section 13(d) “group” would own more than 4.99% of our outstanding common stock immediately after exercise. Except as otherwise provided in the Offering Warrants or by virtue of such holder’s ownership of shares of our common stock, the holders of the Offering Warrants do not have the rights or privileges of holders of common stock with respect to the shares of common stock underlying the Offering Warrants, including any voting rights, until they exercise their Offering Warrants. The Offering Warrants provide that holders have the right to participate in distributions or dividends paid on our common stock. In the event of a fundamental transaction, as described in the Offering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Offering Warrants will be entitled to receive upon exercise of the warrants the kind and amount of securities, cash or other property that the holders would have received had they exercised the Offering Warrants immediately prior to such fundamental transaction. In addition, in the event of a fundamental transaction which is approved by our board of directors, the holders of the warrants have the right to require us or a successor entity to redeem the Offering Warrants for cash in the amount of the Black Scholes value of the unexercised portion of the Offering Warrants on the date of the consummation of the fundamental transaction. In the event of a fundamental transaction which is not approved by our board of directors, the holders of the Offering Warrants have the right to require us or a successor entity to redeem the Offering Warrants in the amount of the Black Scholes value of the unexercised portion of the Offering Warrants on the date of the consummation of the fundamental transaction payable in the form of consideration paid to the holders of common stock in such fundamental transaction. The Offering Warrants meet the equity classification requirements and thus are recorded in additional paid-in capital on the balance sheets.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January 2021, pursuant to the terms of an underwriting agreement, we issued to the underwriter a warrant to purchase 806,932 shares of our common stock, or the Underwriter Warrant. The Underwriter Warrant is subject to substantially the same terms and conditions as the Offering Warrants, provided that the exercise price for the Underwriter Warrant is $8.125 per share. In connection with the closing of the underwriter's partial exercise of its over-allotment option, in February 2021, we issued to the underwriter additional warrants to purchase 18,702 shares of common stock under the same terms as the Underwriter Warrant, collectively these are known as the Underwriter Warrants.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61" w:name="page162"/>
    <w:bookmarkEnd w:id="161"/>
    <w:p>
      <w:pPr>
        <w:jc w:val="both"/>
        <w:spacing w:after="0" w:line="251" w:lineRule="auto"/>
        <w:rPr>
          <w:sz w:val="20"/>
          <w:szCs w:val="20"/>
          <w:color w:val="auto"/>
        </w:rPr>
      </w:pPr>
      <w:r>
        <w:rPr>
          <w:rFonts w:ascii="Times New Roman" w:cs="Times New Roman" w:eastAsia="Times New Roman" w:hAnsi="Times New Roman"/>
          <w:sz w:val="18"/>
          <w:szCs w:val="18"/>
          <w:color w:val="auto"/>
        </w:rPr>
        <w:t>In January 2021, we entered into warrant exercise inducement offer letters, or the January 2021 Inducement Transaction, with certain holders of the Offering Warrants pursuant to which such holders agreed to exercise for cash their existing warrants to purchase 6,620,358 shares of our common stock in exchange for our agreement to issue new warrants, or the January 2021 Inducement Warrants, on substantially the same terms as the existing warrants, except as set forth in the following sentence, to purchase up to 7,944,430 shares of our common stock, which is equal to 120% of the number of shares of our common stock issued upon exercise of the existing warrants. The purchase price of the January 2021 Inducement Warrants was $0.125 per share underlying each January 2021 Inducement Warrant, and the January 2021 Inducement Warrants have an exercise price of $6.36 per share.</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June 2021, we entered into warrant exercise inducement offer letters, or the June 2021 Inducement Transaction, with certain holders of the January 2021 Inducement Warrants pursuant to which such holders agreed to exercise for cash their January 2021 Inducement Warrants to purchase 6,117,509 shares of our common stock in exchange for our agreement to issue new warrants, the June 2021 Inducement Warrants, on substantially the same terms as the January 2021 Inducement Warrants, except as set forth in the following sentence, to purchase up to 1,529,379 shares of our common stock, which is equal to 25% of the number of shares of our common stock issued upon exercise of the January 2021 Inducement Warrants. The purchase price of the June 2021 Inducement Warrants was $0.125 per share underlying each June 2021 Inducement Warrant, and the June 2021 Inducement Warrants have an exercise price of $16.50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Rights Agreement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the holders of shares of our common stock issued upon the conversion or reclassification of our redeemable convertible preferred stock have entered into an investors’ rights agreement. The registration rights provisions of this agreement expired as to all holders of our capital stock, other than Deerfield, on the second anniversary of our initial public offering. The registration rights provisions of our investors’ rights agreement currently provide Deerfield with the registration rights described in more detail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OTA has the right to demand that we file a Form S-1 registration statement, as long as the anticipated aggregate offering price, net of underwriting discounts and commissions, would exceed $15.0 million.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reasonably possible.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we propose to register any of our securities under the Securities Act either for our own account or for the account of other stockholders, OTA will be entitled to include its shares of our common stock in the registration statement. These piggyback registration rights are subject to specified conditions and limitations, including the right of the underwriters to limit the number of shares included in any such registration under specified circumstances.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on Form S-3</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OTA is entitled, upon its written request, to have such shares registered by us on a Form S-3 registration statement at our expense, subject to other specified conditions and limitations.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will pay all expenses relating to any demand, piggyback or Form S-3 registration, other than underwriting discounts and commissions, subject to specified conditions and limitations.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Registration Rights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registration rights granted under the investors’ rights agreement terminated as to all the holders of our capital stock, other than OTA, on the two-year anniversary of our initial public offering. These registration rights will terminate as to OTA upon the earliest to occur of (i) written consent of OTA,</w:t>
      </w:r>
    </w:p>
    <w:p>
      <w:pPr>
        <w:jc w:val="both"/>
        <w:ind w:firstLine="6"/>
        <w:spacing w:after="0" w:line="248" w:lineRule="auto"/>
        <w:tabs>
          <w:tab w:leader="none" w:pos="26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OTA Warrant has been exercised in full and Rule 144 or another similar exemption under the Securities Act is available for the sale of all shares of our capital stock held by OTA without limitation during a three-month period without registration or (iii) six-months following the expiration of the OTA Warrant.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41" w:lineRule="exact"/>
        <w:rPr>
          <w:sz w:val="20"/>
          <w:szCs w:val="20"/>
          <w:color w:val="auto"/>
        </w:rPr>
      </w:pPr>
    </w:p>
    <w:p>
      <w:pPr>
        <w:ind w:left="460" w:hanging="229"/>
        <w:spacing w:after="0" w:line="274"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63" w:lineRule="exact"/>
        <w:rPr>
          <w:rFonts w:ascii="Times New Roman" w:cs="Times New Roman" w:eastAsia="Times New Roman" w:hAnsi="Times New Roman"/>
          <w:sz w:val="18"/>
          <w:szCs w:val="18"/>
          <w:color w:val="auto"/>
        </w:rPr>
      </w:pPr>
    </w:p>
    <w:p>
      <w:pPr>
        <w:jc w:val="both"/>
        <w:ind w:left="460" w:hanging="229"/>
        <w:spacing w:after="0" w:line="252"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5" w:lineRule="exact"/>
        <w:rPr>
          <w:rFonts w:ascii="Times New Roman" w:cs="Times New Roman" w:eastAsia="Times New Roman" w:hAnsi="Times New Roman"/>
          <w:sz w:val="18"/>
          <w:szCs w:val="18"/>
          <w:color w:val="auto"/>
        </w:rPr>
      </w:pPr>
    </w:p>
    <w:p>
      <w:pPr>
        <w:ind w:left="460" w:hanging="229"/>
        <w:spacing w:after="0" w:line="304" w:lineRule="auto"/>
        <w:tabs>
          <w:tab w:leader="none" w:pos="4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17" w:lineRule="exact"/>
        <w:rPr>
          <w:sz w:val="20"/>
          <w:szCs w:val="20"/>
          <w:color w:val="auto"/>
        </w:rPr>
      </w:pPr>
    </w:p>
    <w:p>
      <w:pPr>
        <w:ind w:left="460" w:hanging="229"/>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17"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63"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63" w:lineRule="exact"/>
        <w:rPr>
          <w:rFonts w:ascii="Times New Roman" w:cs="Times New Roman" w:eastAsia="Times New Roman" w:hAnsi="Times New Roman"/>
          <w:sz w:val="18"/>
          <w:szCs w:val="18"/>
          <w:color w:val="auto"/>
        </w:rPr>
      </w:pPr>
    </w:p>
    <w:p>
      <w:pPr>
        <w:ind w:left="460" w:hanging="229"/>
        <w:spacing w:after="0" w:line="274"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The affirmative vote of the majority (plurality, in the case of the election of directors) of shares present and entitled to vote generally on a subject matter shall be the act of the stockholders. Our amended and restated certificate of incorporation and our amended and restated bylaws also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of directors, only be filled by a majority vote of the directors then serving on the board of directors, even though less than a quorum.</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also provide that all stockholder actions must be effected at a duly called meeting of stockholders and eliminates the right of stockholders to act by written consent without a meeting. Our amended and restated bylaws also provide that only our chairman of the board, chief executive officer or the board of directors pursuant to a resolution adopted by a majority of the total number of authorized directors may call a special meeting of stockholders.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amended and restated bylaws also provide that stockholders seeking to present proposals before a meeting of stockholders or to nominate candidates for election as directors at a meeting of stockholders must provide timely advance notice in writing, and specify requirements as to the form and content of a stockholder’s notice.</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stockholders cannot amend many of the provisions described above except by a vote of 66 2/3% or more of our outstanding common stock.</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combination of these provisions make it more difficult for our existing stockholders to replace our board of directors as well as for another party to obtain control of us by replacing our board of directors. Since our board of directors has the power to retain and discharge our officers, these provisions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amended and restated bylaws provide that (1)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(A) any derivative action or proceeding brought on behalf of us; (B) any action or proceeding asserting a claim of breach of a fiduciary duty owed by any current or former director, officer or other employee of us, to us or our stockholders; (C) any action or proceeding asserting a claim against us any current or former director, officer or other employee of us, arising out of or pursuant to any provision of the Delaware General Corporation Law, or the DGCL, our amended and restated certificate of incorporation or our amended and restated bylaws (as each may be amended from time to time); (D) any action or proceeding to interpret, apply, enforce or determine the validity of our amended and restated certificate of incorporation or our amended and restated bylaws (including any right, obligation, or remedy thereunder);</w:t>
      </w:r>
    </w:p>
    <w:p>
      <w:pPr>
        <w:spacing w:after="0" w:line="7" w:lineRule="exact"/>
        <w:rPr>
          <w:sz w:val="20"/>
          <w:szCs w:val="20"/>
          <w:color w:val="auto"/>
        </w:rPr>
      </w:pPr>
    </w:p>
    <w:p>
      <w:pPr>
        <w:jc w:val="both"/>
        <w:ind w:firstLine="6"/>
        <w:spacing w:after="0" w:line="260" w:lineRule="auto"/>
        <w:tabs>
          <w:tab w:leader="none" w:pos="27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 to which the DGCL confers jurisdiction to the Court of Chancery of the State of Delaware; and (F) any action or proceeding asserting a claim against us or any director, officer or other employee of us, governed by the internal affairs doctrine, in all cases to the fullest extent permitted by law and subject to the court’s having personal jurisdiction over the indispensable parties named as defendants, provided that this provision shall not apply to suits brought to enforce a duty or liability created by the Securities Act or the Exchange Act or any other claim for which the federal courts have exclusive jurisdiction; (2)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w:t>
      </w:r>
    </w:p>
    <w:p>
      <w:pPr>
        <w:spacing w:after="0" w:line="1"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any person or entity holding, owning or otherwise acquiring any interest in any of our securities shall be deemed to have notice of and consented to the provisions of our amended and restated bylaws.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 Stock Market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“ZVRA.”</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570"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i w:val="1"/>
          <w:iCs w:val="1"/>
          <w:u w:val="single" w:color="auto"/>
          <w:color w:val="auto"/>
        </w:rPr>
        <w:t>Attachment #1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KemPharm,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Eighth Amended and Restated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February 15, 2023</w:t>
      </w:r>
    </w:p>
    <w:p>
      <w:pPr>
        <w:spacing w:after="0" w:line="1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Each member of the board of director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KemPharm,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who is not also an employee of the Company or any subsidiary of the Company shall be entitled to the following compensation for service on the Board and its committees: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Compensation</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Cash compensation shall be paid in the following annual amounts. Payments shall be made in quarterly installments in arrears on the last day of each calendar quarter in which service occurred and shall be </w:t>
      </w:r>
      <w:r>
        <w:rPr>
          <w:rFonts w:ascii="Times New Roman" w:cs="Times New Roman" w:eastAsia="Times New Roman" w:hAnsi="Times New Roman"/>
          <w:sz w:val="18"/>
          <w:szCs w:val="18"/>
          <w:i w:val="1"/>
          <w:iCs w:val="1"/>
          <w:color w:val="auto"/>
        </w:rPr>
        <w:t>prorated</w:t>
      </w:r>
      <w:r>
        <w:rPr>
          <w:rFonts w:ascii="Times New Roman" w:cs="Times New Roman" w:eastAsia="Times New Roman" w:hAnsi="Times New Roman"/>
          <w:sz w:val="18"/>
          <w:szCs w:val="18"/>
          <w:color w:val="auto"/>
        </w:rPr>
        <w:t xml:space="preserve"> as appropriated for a director who does not serve for the full quarter. For the avoidance of doubt, the cash compensation set forth below shall apply for the entire quarter in which this policy is adopted by the Board.</w:t>
      </w:r>
    </w:p>
    <w:p>
      <w:pPr>
        <w:spacing w:after="0" w:line="178" w:lineRule="exact"/>
        <w:rPr>
          <w:sz w:val="20"/>
          <w:szCs w:val="20"/>
          <w:color w:val="auto"/>
        </w:rPr>
      </w:pPr>
    </w:p>
    <w:p>
      <w:pPr>
        <w:ind w:left="840" w:hanging="325"/>
        <w:spacing w:after="0"/>
        <w:tabs>
          <w:tab w:leader="none" w:pos="8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Service Retainer:</w:t>
      </w:r>
    </w:p>
    <w:p>
      <w:pPr>
        <w:spacing w:after="0" w:line="24" w:lineRule="exact"/>
        <w:rPr>
          <w:rFonts w:ascii="Times New Roman" w:cs="Times New Roman" w:eastAsia="Times New Roman" w:hAnsi="Times New Roman"/>
          <w:sz w:val="18"/>
          <w:szCs w:val="18"/>
          <w:color w:val="auto"/>
        </w:rPr>
      </w:pPr>
    </w:p>
    <w:p>
      <w:pPr>
        <w:ind w:left="1580" w:hanging="310"/>
        <w:spacing w:after="0"/>
        <w:tabs>
          <w:tab w:leader="none" w:pos="15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non-employee directors: $40,000</w:t>
      </w:r>
    </w:p>
    <w:p>
      <w:pPr>
        <w:spacing w:after="0" w:line="5" w:lineRule="exact"/>
        <w:rPr>
          <w:rFonts w:ascii="Times New Roman" w:cs="Times New Roman" w:eastAsia="Times New Roman" w:hAnsi="Times New Roman"/>
          <w:sz w:val="18"/>
          <w:szCs w:val="18"/>
          <w:color w:val="auto"/>
        </w:rPr>
      </w:pPr>
    </w:p>
    <w:p>
      <w:pPr>
        <w:ind w:left="1580" w:hanging="323"/>
        <w:spacing w:after="0"/>
        <w:tabs>
          <w:tab w:leader="none" w:pos="15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if not an employee (in addition to the retainer for all non-employee directors): $75,000</w:t>
      </w:r>
    </w:p>
    <w:p>
      <w:pPr>
        <w:spacing w:after="0" w:line="5" w:lineRule="exact"/>
        <w:rPr>
          <w:rFonts w:ascii="Times New Roman" w:cs="Times New Roman" w:eastAsia="Times New Roman" w:hAnsi="Times New Roman"/>
          <w:sz w:val="18"/>
          <w:szCs w:val="18"/>
          <w:color w:val="auto"/>
        </w:rPr>
      </w:pPr>
    </w:p>
    <w:p>
      <w:pPr>
        <w:ind w:left="1580" w:hanging="310"/>
        <w:spacing w:after="0"/>
        <w:tabs>
          <w:tab w:leader="none" w:pos="15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 if any (in addition to the retainer for all non-employee directors): $15,000</w:t>
      </w:r>
    </w:p>
    <w:p>
      <w:pPr>
        <w:spacing w:after="0" w:line="197" w:lineRule="exact"/>
        <w:rPr>
          <w:rFonts w:ascii="Times New Roman" w:cs="Times New Roman" w:eastAsia="Times New Roman" w:hAnsi="Times New Roman"/>
          <w:sz w:val="18"/>
          <w:szCs w:val="18"/>
          <w:color w:val="auto"/>
        </w:rPr>
      </w:pPr>
    </w:p>
    <w:p>
      <w:pPr>
        <w:ind w:left="840" w:hanging="325"/>
        <w:spacing w:after="0"/>
        <w:tabs>
          <w:tab w:leader="none" w:pos="8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Member Service Retainer:</w:t>
      </w:r>
    </w:p>
    <w:p>
      <w:pPr>
        <w:spacing w:after="0" w:line="24" w:lineRule="exact"/>
        <w:rPr>
          <w:rFonts w:ascii="Times New Roman" w:cs="Times New Roman" w:eastAsia="Times New Roman" w:hAnsi="Times New Roman"/>
          <w:sz w:val="18"/>
          <w:szCs w:val="18"/>
          <w:color w:val="auto"/>
        </w:rPr>
      </w:pPr>
    </w:p>
    <w:p>
      <w:pPr>
        <w:ind w:left="1580" w:hanging="310"/>
        <w:spacing w:after="0"/>
        <w:tabs>
          <w:tab w:leader="none" w:pos="15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$9,000</w:t>
      </w:r>
    </w:p>
    <w:p>
      <w:pPr>
        <w:spacing w:after="0" w:line="5" w:lineRule="exact"/>
        <w:rPr>
          <w:rFonts w:ascii="Times New Roman" w:cs="Times New Roman" w:eastAsia="Times New Roman" w:hAnsi="Times New Roman"/>
          <w:sz w:val="18"/>
          <w:szCs w:val="18"/>
          <w:color w:val="auto"/>
        </w:rPr>
      </w:pPr>
    </w:p>
    <w:p>
      <w:pPr>
        <w:ind w:left="1580" w:hanging="323"/>
        <w:spacing w:after="0"/>
        <w:tabs>
          <w:tab w:leader="none" w:pos="15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$7,000</w:t>
      </w:r>
    </w:p>
    <w:p>
      <w:pPr>
        <w:spacing w:after="0" w:line="5" w:lineRule="exact"/>
        <w:rPr>
          <w:rFonts w:ascii="Times New Roman" w:cs="Times New Roman" w:eastAsia="Times New Roman" w:hAnsi="Times New Roman"/>
          <w:sz w:val="18"/>
          <w:szCs w:val="18"/>
          <w:color w:val="auto"/>
        </w:rPr>
      </w:pPr>
    </w:p>
    <w:p>
      <w:pPr>
        <w:ind w:left="1580" w:hanging="310"/>
        <w:spacing w:after="0"/>
        <w:tabs>
          <w:tab w:leader="none" w:pos="15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$5,000</w:t>
      </w:r>
    </w:p>
    <w:p>
      <w:pPr>
        <w:spacing w:after="0" w:line="197" w:lineRule="exact"/>
        <w:rPr>
          <w:rFonts w:ascii="Times New Roman" w:cs="Times New Roman" w:eastAsia="Times New Roman" w:hAnsi="Times New Roman"/>
          <w:sz w:val="18"/>
          <w:szCs w:val="18"/>
          <w:color w:val="auto"/>
        </w:rPr>
      </w:pPr>
    </w:p>
    <w:p>
      <w:pPr>
        <w:ind w:left="840" w:hanging="325"/>
        <w:spacing w:after="0"/>
        <w:tabs>
          <w:tab w:leader="none" w:pos="8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Service Retainer:</w:t>
      </w:r>
    </w:p>
    <w:p>
      <w:pPr>
        <w:spacing w:after="0" w:line="24" w:lineRule="exact"/>
        <w:rPr>
          <w:rFonts w:ascii="Times New Roman" w:cs="Times New Roman" w:eastAsia="Times New Roman" w:hAnsi="Times New Roman"/>
          <w:sz w:val="18"/>
          <w:szCs w:val="18"/>
          <w:color w:val="auto"/>
        </w:rPr>
      </w:pPr>
    </w:p>
    <w:p>
      <w:pPr>
        <w:ind w:left="1580" w:hanging="310"/>
        <w:spacing w:after="0"/>
        <w:tabs>
          <w:tab w:leader="none" w:pos="15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 $22,500</w:t>
      </w:r>
    </w:p>
    <w:p>
      <w:pPr>
        <w:spacing w:after="0" w:line="5" w:lineRule="exact"/>
        <w:rPr>
          <w:rFonts w:ascii="Times New Roman" w:cs="Times New Roman" w:eastAsia="Times New Roman" w:hAnsi="Times New Roman"/>
          <w:sz w:val="18"/>
          <w:szCs w:val="18"/>
          <w:color w:val="auto"/>
        </w:rPr>
      </w:pPr>
    </w:p>
    <w:p>
      <w:pPr>
        <w:ind w:left="1580" w:hanging="323"/>
        <w:spacing w:after="0"/>
        <w:tabs>
          <w:tab w:leader="none" w:pos="15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Compensation Committee: $15,000</w:t>
      </w:r>
    </w:p>
    <w:p>
      <w:pPr>
        <w:spacing w:after="0" w:line="5" w:lineRule="exact"/>
        <w:rPr>
          <w:rFonts w:ascii="Times New Roman" w:cs="Times New Roman" w:eastAsia="Times New Roman" w:hAnsi="Times New Roman"/>
          <w:sz w:val="18"/>
          <w:szCs w:val="18"/>
          <w:color w:val="auto"/>
        </w:rPr>
      </w:pPr>
    </w:p>
    <w:p>
      <w:pPr>
        <w:ind w:left="1580" w:hanging="310"/>
        <w:spacing w:after="0"/>
        <w:tabs>
          <w:tab w:leader="none" w:pos="15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and Corporate Governance Committee: $12,500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Compensation</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equity compensation set forth below will be granted under the Company’s 2014 Equity Incentive Plan, or, as the case may be, any successor equity incentive plan approved by the stockholders of the Company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All stock options granted under this policy will be nonqualified stock options using the Company’s standard form of Nonqualified Stock Option Agreement under the Plan, with an exercise price per share equal to the last reported sale price of the Company’s common stock on the NASDAQ Global Select Market on the date of grant or, if such grant date is not a trading date, on the last trading date prior to the grant date, and with a term of ten (10) years from the date of grant (subject to earlier termination in connection with a termination of service as provided in the Plan).</w:t>
      </w:r>
    </w:p>
    <w:p>
      <w:pPr>
        <w:spacing w:after="0" w:line="18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Annual Grant: On the date of each annual stockholders meeting of the Company, each director who continues to serve as a non-employee member of the Board following such stockholders meeting will be automatically, and without further action by the Board or the Compensation Committee of the Board, be granted a stock option for 39,200 shares of common stock. The Chairman of the Board, if not an employee, shall receive a stock option for a total of 49,200 shares of common stock, which is based on the foregoing grant of 39,200 shares as a director plus an additional 10,000 shares. The stock options will vest and become exercisable in full on the earlier of (1) the first anniversary of the grant date, (2) the day before the first annual stockholders meeting occurring after the grant date or (3) immediately prior to a “Change in Control” as defined in the Plan, subject in each case to the director’s continued service on such vesting date.</w:t>
      </w:r>
    </w:p>
    <w:p>
      <w:pPr>
        <w:sectPr>
          <w:pgSz w:w="11900" w:h="16838" w:orient="portrait"/>
          <w:cols w:equalWidth="0" w:num="1">
            <w:col w:w="11100"/>
          </w:cols>
          <w:pgMar w:left="460" w:top="119" w:right="339" w:bottom="1440" w:gutter="0" w:footer="0" w:header="0"/>
        </w:sectPr>
      </w:pPr>
    </w:p>
    <w:bookmarkStart w:id="166" w:name="page167"/>
    <w:bookmarkEnd w:id="166"/>
    <w:p>
      <w:pPr>
        <w:ind w:left="10212"/>
        <w:spacing w:after="0"/>
        <w:rPr>
          <w:sz w:val="20"/>
          <w:szCs w:val="20"/>
          <w:color w:val="auto"/>
        </w:rPr>
      </w:pPr>
      <w:r>
        <w:rPr>
          <w:rFonts w:ascii="Times New Roman" w:cs="Times New Roman" w:eastAsia="Times New Roman" w:hAnsi="Times New Roman"/>
          <w:sz w:val="18"/>
          <w:szCs w:val="18"/>
          <w:b w:val="1"/>
          <w:bCs w:val="1"/>
          <w:color w:val="auto"/>
        </w:rPr>
        <w:t>Exhibit 10.7.8</w:t>
      </w:r>
    </w:p>
    <w:p>
      <w:pPr>
        <w:spacing w:after="0" w:line="200" w:lineRule="exact"/>
        <w:rPr>
          <w:sz w:val="20"/>
          <w:szCs w:val="20"/>
          <w:color w:val="auto"/>
        </w:rPr>
      </w:pPr>
    </w:p>
    <w:p>
      <w:pPr>
        <w:spacing w:after="0" w:line="22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6"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2023 EMPLOYMENT INDUCEMENT AWARD PLAN</w:t>
      </w:r>
    </w:p>
    <w:p>
      <w:pPr>
        <w:spacing w:after="0" w:line="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ADOPTED BY THE BOARD OF DIRECTORS: JANUARY 6, 2023</w:t>
      </w:r>
    </w:p>
    <w:p>
      <w:pPr>
        <w:spacing w:after="0" w:line="194" w:lineRule="exact"/>
        <w:rPr>
          <w:sz w:val="20"/>
          <w:szCs w:val="20"/>
          <w:color w:val="auto"/>
        </w:rPr>
      </w:pPr>
    </w:p>
    <w:p>
      <w:pPr>
        <w:ind w:left="172" w:hanging="172"/>
        <w:spacing w:after="0"/>
        <w:tabs>
          <w:tab w:leader="none" w:pos="172" w:val="left"/>
        </w:tabs>
        <w:numPr>
          <w:ilvl w:val="0"/>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w:t>
      </w:r>
    </w:p>
    <w:p>
      <w:pPr>
        <w:spacing w:after="0" w:line="221" w:lineRule="exact"/>
        <w:rPr>
          <w:rFonts w:ascii="Times New Roman" w:cs="Times New Roman" w:eastAsia="Times New Roman" w:hAnsi="Times New Roman"/>
          <w:sz w:val="18"/>
          <w:szCs w:val="18"/>
          <w:b w:val="1"/>
          <w:bCs w:val="1"/>
          <w:i w:val="1"/>
          <w:iCs w:val="1"/>
          <w:color w:val="auto"/>
        </w:rPr>
      </w:pPr>
    </w:p>
    <w:p>
      <w:pPr>
        <w:ind w:left="392" w:hanging="233"/>
        <w:spacing w:after="0"/>
        <w:tabs>
          <w:tab w:leader="none" w:pos="3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Award Recipients</w:t>
      </w:r>
      <w:r>
        <w:rPr>
          <w:rFonts w:ascii="Times New Roman" w:cs="Times New Roman" w:eastAsia="Times New Roman" w:hAnsi="Times New Roman"/>
          <w:sz w:val="18"/>
          <w:szCs w:val="18"/>
          <w:color w:val="auto"/>
        </w:rPr>
        <w:t>. Eligible Individuals are eligible to receive Awards.</w:t>
      </w:r>
    </w:p>
    <w:p>
      <w:pPr>
        <w:spacing w:after="0" w:line="217" w:lineRule="exact"/>
        <w:rPr>
          <w:rFonts w:ascii="Times New Roman" w:cs="Times New Roman" w:eastAsia="Times New Roman" w:hAnsi="Times New Roman"/>
          <w:sz w:val="18"/>
          <w:szCs w:val="18"/>
          <w:color w:val="auto"/>
        </w:rPr>
      </w:pPr>
    </w:p>
    <w:p>
      <w:pPr>
        <w:ind w:left="-8" w:right="60" w:firstLine="167"/>
        <w:spacing w:after="0" w:line="274" w:lineRule="auto"/>
        <w:tabs>
          <w:tab w:leader="none" w:pos="4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Awards.</w:t>
      </w:r>
      <w:r>
        <w:rPr>
          <w:rFonts w:ascii="Times New Roman" w:cs="Times New Roman" w:eastAsia="Times New Roman" w:hAnsi="Times New Roman"/>
          <w:sz w:val="18"/>
          <w:szCs w:val="18"/>
          <w:color w:val="auto"/>
        </w:rPr>
        <w:t xml:space="preserve"> The Plan provides for the grant of the following Awards: (i) Nonstatutory Stock Options, (ii) Stock Appreciation Rights (iii) Restricted Stock Awards, (iv) Restricted Stock Unit Awards, (v) Performance Stock Awards, (vi) Performance Cash Awards, and (vii) Other Stock Awards.</w:t>
      </w:r>
    </w:p>
    <w:p>
      <w:pPr>
        <w:spacing w:after="0" w:line="163" w:lineRule="exact"/>
        <w:rPr>
          <w:rFonts w:ascii="Times New Roman" w:cs="Times New Roman" w:eastAsia="Times New Roman" w:hAnsi="Times New Roman"/>
          <w:sz w:val="18"/>
          <w:szCs w:val="18"/>
          <w:color w:val="auto"/>
        </w:rPr>
      </w:pPr>
    </w:p>
    <w:p>
      <w:pPr>
        <w:jc w:val="both"/>
        <w:ind w:left="-8" w:right="220" w:firstLine="167"/>
        <w:spacing w:after="0" w:line="259" w:lineRule="auto"/>
        <w:tabs>
          <w:tab w:leader="none" w:pos="39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xml:space="preserve"> This Plan, through the granting of Awards, is intended to help the Company secure and retain the services of eligible award recipients, provide incentives for such persons to exert maximum efforts for the success of the Company and any Affiliate, and provide a means by which the eligible recipients may benefit from increases in value of the Common Stock.</w:t>
      </w:r>
    </w:p>
    <w:p>
      <w:pPr>
        <w:spacing w:after="0" w:line="173"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Administration.</w:t>
      </w:r>
    </w:p>
    <w:p>
      <w:pPr>
        <w:spacing w:after="0" w:line="221" w:lineRule="exact"/>
        <w:rPr>
          <w:rFonts w:ascii="Times New Roman" w:cs="Times New Roman" w:eastAsia="Times New Roman" w:hAnsi="Times New Roman"/>
          <w:sz w:val="18"/>
          <w:szCs w:val="18"/>
          <w:b w:val="1"/>
          <w:bCs w:val="1"/>
          <w:i w:val="1"/>
          <w:iCs w:val="1"/>
          <w:color w:val="auto"/>
        </w:rPr>
      </w:pPr>
    </w:p>
    <w:p>
      <w:pPr>
        <w:ind w:left="-8" w:firstLine="167"/>
        <w:spacing w:after="0" w:line="274" w:lineRule="auto"/>
        <w:tabs>
          <w:tab w:leader="none" w:pos="40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by Board</w:t>
      </w:r>
      <w:r>
        <w:rPr>
          <w:rFonts w:ascii="Times New Roman" w:cs="Times New Roman" w:eastAsia="Times New Roman" w:hAnsi="Times New Roman"/>
          <w:sz w:val="18"/>
          <w:szCs w:val="18"/>
          <w:color w:val="auto"/>
        </w:rPr>
        <w:t>. The Board will administer the Plan. The Board may delegate administration of the Plan to a Committee or Committees, a provided in Section 2(c).</w:t>
      </w:r>
    </w:p>
    <w:p>
      <w:pPr>
        <w:spacing w:after="0" w:line="163" w:lineRule="exact"/>
        <w:rPr>
          <w:rFonts w:ascii="Times New Roman" w:cs="Times New Roman" w:eastAsia="Times New Roman" w:hAnsi="Times New Roman"/>
          <w:sz w:val="18"/>
          <w:szCs w:val="18"/>
          <w:color w:val="auto"/>
        </w:rPr>
      </w:pPr>
    </w:p>
    <w:p>
      <w:pPr>
        <w:ind w:left="412" w:hanging="253"/>
        <w:spacing w:after="0"/>
        <w:tabs>
          <w:tab w:leader="none" w:pos="41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Board.</w:t>
      </w:r>
      <w:r>
        <w:rPr>
          <w:rFonts w:ascii="Times New Roman" w:cs="Times New Roman" w:eastAsia="Times New Roman" w:hAnsi="Times New Roman"/>
          <w:sz w:val="18"/>
          <w:szCs w:val="18"/>
          <w:color w:val="auto"/>
        </w:rPr>
        <w:t xml:space="preserve"> The Board will have the power, subject to, and within the limitations of, the express provisions of the Plan:</w:t>
      </w:r>
    </w:p>
    <w:p>
      <w:pPr>
        <w:spacing w:after="0" w:line="217" w:lineRule="exact"/>
        <w:rPr>
          <w:rFonts w:ascii="Times New Roman" w:cs="Times New Roman" w:eastAsia="Times New Roman" w:hAnsi="Times New Roman"/>
          <w:sz w:val="18"/>
          <w:szCs w:val="18"/>
          <w:color w:val="auto"/>
        </w:rPr>
      </w:pPr>
    </w:p>
    <w:p>
      <w:pPr>
        <w:jc w:val="both"/>
        <w:ind w:left="152" w:right="80" w:firstLine="166"/>
        <w:spacing w:after="0" w:line="255" w:lineRule="auto"/>
        <w:tabs>
          <w:tab w:leader="none" w:pos="528"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 which Eligible Individuals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80" w:lineRule="exact"/>
        <w:rPr>
          <w:rFonts w:ascii="Times New Roman" w:cs="Times New Roman" w:eastAsia="Times New Roman" w:hAnsi="Times New Roman"/>
          <w:sz w:val="18"/>
          <w:szCs w:val="18"/>
          <w:color w:val="auto"/>
        </w:rPr>
      </w:pPr>
    </w:p>
    <w:p>
      <w:pPr>
        <w:jc w:val="both"/>
        <w:ind w:left="152" w:right="80" w:firstLine="166"/>
        <w:spacing w:after="0" w:line="282" w:lineRule="auto"/>
        <w:tabs>
          <w:tab w:leader="none" w:pos="572"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58" w:lineRule="exact"/>
        <w:rPr>
          <w:rFonts w:ascii="Times New Roman" w:cs="Times New Roman" w:eastAsia="Times New Roman" w:hAnsi="Times New Roman"/>
          <w:sz w:val="17"/>
          <w:szCs w:val="17"/>
          <w:color w:val="auto"/>
        </w:rPr>
      </w:pPr>
    </w:p>
    <w:p>
      <w:pPr>
        <w:ind w:left="632" w:hanging="314"/>
        <w:spacing w:after="0"/>
        <w:tabs>
          <w:tab w:leader="none" w:pos="632"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17" w:lineRule="exact"/>
        <w:rPr>
          <w:rFonts w:ascii="Times New Roman" w:cs="Times New Roman" w:eastAsia="Times New Roman" w:hAnsi="Times New Roman"/>
          <w:sz w:val="18"/>
          <w:szCs w:val="18"/>
          <w:color w:val="auto"/>
        </w:rPr>
      </w:pPr>
    </w:p>
    <w:p>
      <w:pPr>
        <w:ind w:left="612" w:hanging="294"/>
        <w:spacing w:after="0"/>
        <w:tabs>
          <w:tab w:leader="none" w:pos="612"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accelerate, in whole or in part, the time at which an Award may be exercised or vest (or at which cash or shares of Common Stock may be issued).</w:t>
      </w:r>
    </w:p>
    <w:p>
      <w:pPr>
        <w:spacing w:after="0" w:line="228" w:lineRule="exact"/>
        <w:rPr>
          <w:rFonts w:ascii="Times New Roman" w:cs="Times New Roman" w:eastAsia="Times New Roman" w:hAnsi="Times New Roman"/>
          <w:sz w:val="17"/>
          <w:szCs w:val="17"/>
          <w:color w:val="auto"/>
        </w:rPr>
      </w:pPr>
    </w:p>
    <w:p>
      <w:pPr>
        <w:jc w:val="both"/>
        <w:ind w:left="152" w:right="80" w:firstLine="166"/>
        <w:spacing w:after="0" w:line="259" w:lineRule="auto"/>
        <w:tabs>
          <w:tab w:leader="none" w:pos="565"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or terminate the Plan at any time. Except as otherwise provided in the Plan or an Award Agreement, suspension or termination of the Plan will not materially impair a Participant’s rights under his or her then-outstanding Award without his or her written consent except as provided in subsection (viii) below.</w:t>
      </w:r>
    </w:p>
    <w:p>
      <w:pPr>
        <w:spacing w:after="0" w:line="177" w:lineRule="exact"/>
        <w:rPr>
          <w:rFonts w:ascii="Times New Roman" w:cs="Times New Roman" w:eastAsia="Times New Roman" w:hAnsi="Times New Roman"/>
          <w:sz w:val="18"/>
          <w:szCs w:val="18"/>
          <w:color w:val="auto"/>
        </w:rPr>
      </w:pPr>
    </w:p>
    <w:p>
      <w:pPr>
        <w:ind w:left="152" w:right="80" w:firstLine="166"/>
        <w:spacing w:after="0" w:line="274" w:lineRule="auto"/>
        <w:tabs>
          <w:tab w:leader="none" w:pos="617"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Plan in any respect the Board deems necessary or advisable, including, without limitation, by adopting amendments relating to certain nonqualified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334010</wp:posOffset>
            </wp:positionV>
            <wp:extent cx="713486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32"/>
          </w:cols>
          <w:pgMar w:left="308" w:top="119" w:right="259" w:bottom="1440" w:gutter="0" w:footer="0" w:header="0"/>
        </w:sectPr>
      </w:pPr>
    </w:p>
    <w:bookmarkStart w:id="167" w:name="page168"/>
    <w:bookmarkEnd w:id="167"/>
    <w:p>
      <w:pPr>
        <w:ind w:left="313" w:right="840"/>
        <w:spacing w:after="0" w:line="304" w:lineRule="auto"/>
        <w:rPr>
          <w:sz w:val="20"/>
          <w:szCs w:val="20"/>
          <w:color w:val="auto"/>
        </w:rPr>
      </w:pPr>
      <w:r>
        <w:rPr>
          <w:rFonts w:ascii="Times New Roman" w:cs="Times New Roman" w:eastAsia="Times New Roman" w:hAnsi="Times New Roman"/>
          <w:sz w:val="17"/>
          <w:szCs w:val="17"/>
          <w:color w:val="auto"/>
        </w:rPr>
        <w:t>compensation under Section 409A of the Code and/or to bring the Plan or Awards granted under the Plan compliant with or exempt from the requirements for nonqualified deferred compensation under Section 409A of the Code, subject to the limitations, if any, of applicable law.</w:t>
      </w:r>
    </w:p>
    <w:p>
      <w:pPr>
        <w:spacing w:after="0" w:line="141" w:lineRule="exact"/>
        <w:rPr>
          <w:sz w:val="20"/>
          <w:szCs w:val="20"/>
          <w:color w:val="auto"/>
        </w:rPr>
      </w:pPr>
    </w:p>
    <w:p>
      <w:pPr>
        <w:jc w:val="both"/>
        <w:ind w:left="153" w:right="160" w:firstLine="6"/>
        <w:spacing w:after="0" w:line="252" w:lineRule="auto"/>
        <w:tabs>
          <w:tab w:leader="none" w:pos="5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procedures from time to time that are intended to ensure that an individual is an Eligible Individual prior to the granting of any Awards to such individual (including without limitation a requirement that each such individual certify to the Company prior to the receipt of an Award that he or she is not currently employed by the Company or a Subsidiary and, if previously so employed, has had a bona fide period of interruption of employment, and that the grant of Awards is an inducement material to the Eligible Individual's agreement to enter into employment with the Company or a Subsidiary).</w:t>
      </w:r>
    </w:p>
    <w:p>
      <w:pPr>
        <w:spacing w:after="0" w:line="185" w:lineRule="exact"/>
        <w:rPr>
          <w:rFonts w:ascii="Times New Roman" w:cs="Times New Roman" w:eastAsia="Times New Roman" w:hAnsi="Times New Roman"/>
          <w:sz w:val="18"/>
          <w:szCs w:val="18"/>
          <w:color w:val="auto"/>
        </w:rPr>
      </w:pPr>
    </w:p>
    <w:p>
      <w:pPr>
        <w:jc w:val="both"/>
        <w:ind w:left="153" w:right="160" w:firstLine="6"/>
        <w:spacing w:after="0" w:line="266" w:lineRule="auto"/>
        <w:tabs>
          <w:tab w:leader="none" w:pos="55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clarify the manner of exemption from, or to bring the Award into compliance with, Section 409A of the Code; or (B) to comply with other applicable laws or listing requirements.</w:t>
      </w:r>
    </w:p>
    <w:p>
      <w:pPr>
        <w:spacing w:after="0" w:line="174" w:lineRule="exact"/>
        <w:rPr>
          <w:rFonts w:ascii="Times New Roman" w:cs="Times New Roman" w:eastAsia="Times New Roman" w:hAnsi="Times New Roman"/>
          <w:sz w:val="17"/>
          <w:szCs w:val="17"/>
          <w:color w:val="auto"/>
        </w:rPr>
      </w:pPr>
    </w:p>
    <w:p>
      <w:pPr>
        <w:ind w:left="153" w:right="160" w:firstLine="6"/>
        <w:spacing w:after="0" w:line="274" w:lineRule="auto"/>
        <w:tabs>
          <w:tab w:leader="none" w:pos="4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3" w:lineRule="exact"/>
        <w:rPr>
          <w:rFonts w:ascii="Times New Roman" w:cs="Times New Roman" w:eastAsia="Times New Roman" w:hAnsi="Times New Roman"/>
          <w:sz w:val="18"/>
          <w:szCs w:val="18"/>
          <w:color w:val="auto"/>
        </w:rPr>
      </w:pPr>
    </w:p>
    <w:p>
      <w:pPr>
        <w:jc w:val="both"/>
        <w:ind w:left="153" w:right="160" w:firstLine="6"/>
        <w:spacing w:after="0" w:line="259" w:lineRule="auto"/>
        <w:tabs>
          <w:tab w:leader="none" w:pos="41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Eligible Individuals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177" w:lineRule="exact"/>
        <w:rPr>
          <w:rFonts w:ascii="Times New Roman" w:cs="Times New Roman" w:eastAsia="Times New Roman" w:hAnsi="Times New Roman"/>
          <w:sz w:val="18"/>
          <w:szCs w:val="18"/>
          <w:color w:val="auto"/>
        </w:rPr>
      </w:pPr>
    </w:p>
    <w:p>
      <w:pPr>
        <w:jc w:val="both"/>
        <w:ind w:left="153" w:right="160" w:firstLine="6"/>
        <w:spacing w:after="0" w:line="255" w:lineRule="auto"/>
        <w:tabs>
          <w:tab w:leader="none" w:pos="45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 (2) Restricted Stock Award, (3) Restricted Stock Unit Award, (4) Other Stock Award, (5) cash award and/or (6) award of other valuable consideration determined by the Board, in its sole discretion, with any such substituted award</w:t>
      </w:r>
    </w:p>
    <w:p>
      <w:pPr>
        <w:spacing w:after="0" w:line="180" w:lineRule="exact"/>
        <w:rPr>
          <w:sz w:val="20"/>
          <w:szCs w:val="20"/>
          <w:color w:val="auto"/>
        </w:rPr>
      </w:pPr>
    </w:p>
    <w:p>
      <w:pPr>
        <w:ind w:left="153" w:right="160" w:firstLine="6"/>
        <w:spacing w:after="0" w:line="274" w:lineRule="auto"/>
        <w:tabs>
          <w:tab w:leader="none" w:pos="40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163" w:lineRule="exact"/>
        <w:rPr>
          <w:rFonts w:ascii="Times New Roman" w:cs="Times New Roman" w:eastAsia="Times New Roman" w:hAnsi="Times New Roman"/>
          <w:sz w:val="18"/>
          <w:szCs w:val="18"/>
          <w:color w:val="auto"/>
        </w:rPr>
      </w:pPr>
    </w:p>
    <w:p>
      <w:pPr>
        <w:ind w:left="-7" w:firstLine="7"/>
        <w:spacing w:after="0" w:line="274" w:lineRule="auto"/>
        <w:tabs>
          <w:tab w:leader="none" w:pos="2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to Committee. (i) General. The Board may delegate some or all of the administration of the Plan to a Committee or Committees. If administration of the Plan is delegated to a Committee, the Committee will have, in connection with the administration of the Plan, the powers theretofor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334010</wp:posOffset>
            </wp:positionV>
            <wp:extent cx="71348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093"/>
          </w:cols>
          <w:pgMar w:left="467" w:top="572" w:right="339" w:bottom="1440" w:gutter="0" w:footer="0" w:header="0"/>
        </w:sectPr>
      </w:pPr>
    </w:p>
    <w:bookmarkStart w:id="168" w:name="page169"/>
    <w:bookmarkEnd w:id="168"/>
    <w:p>
      <w:pPr>
        <w:jc w:val="both"/>
        <w:ind w:left="12"/>
        <w:spacing w:after="0" w:line="252" w:lineRule="auto"/>
        <w:rPr>
          <w:sz w:val="20"/>
          <w:szCs w:val="20"/>
          <w:color w:val="auto"/>
        </w:rPr>
      </w:pPr>
      <w:r>
        <w:rPr>
          <w:rFonts w:ascii="Times New Roman" w:cs="Times New Roman" w:eastAsia="Times New Roman" w:hAnsi="Times New Roman"/>
          <w:sz w:val="18"/>
          <w:szCs w:val="18"/>
          <w:color w:val="auto"/>
        </w:rPr>
        <w:t>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85" w:lineRule="exact"/>
        <w:rPr>
          <w:sz w:val="20"/>
          <w:szCs w:val="20"/>
          <w:color w:val="auto"/>
        </w:rPr>
      </w:pPr>
    </w:p>
    <w:p>
      <w:pPr>
        <w:jc w:val="both"/>
        <w:ind w:left="332" w:right="320" w:firstLine="4"/>
        <w:spacing w:after="0" w:line="274" w:lineRule="auto"/>
        <w:tabs>
          <w:tab w:leader="none" w:pos="594" w:val="left"/>
        </w:tabs>
        <w:numPr>
          <w:ilvl w:val="3"/>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16b-3 Compliance.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67" w:lineRule="exact"/>
        <w:rPr>
          <w:rFonts w:ascii="Times New Roman" w:cs="Times New Roman" w:eastAsia="Times New Roman" w:hAnsi="Times New Roman"/>
          <w:sz w:val="17"/>
          <w:szCs w:val="17"/>
          <w:color w:val="auto"/>
        </w:rPr>
      </w:pPr>
    </w:p>
    <w:p>
      <w:pPr>
        <w:ind w:left="172" w:right="160" w:firstLine="5"/>
        <w:spacing w:after="0" w:line="274" w:lineRule="auto"/>
        <w:tabs>
          <w:tab w:leader="none" w:pos="423"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Board’s Decision. All determinations, interpretations and constructions made by the Board or the Committee in good faith will not be subject to review by any person and will be final, binding and conclusive on all persons.</w:t>
      </w:r>
    </w:p>
    <w:p>
      <w:pPr>
        <w:spacing w:after="0" w:line="159" w:lineRule="exact"/>
        <w:rPr>
          <w:rFonts w:ascii="Times New Roman" w:cs="Times New Roman" w:eastAsia="Times New Roman" w:hAnsi="Times New Roman"/>
          <w:sz w:val="18"/>
          <w:szCs w:val="18"/>
          <w:color w:val="auto"/>
        </w:rPr>
      </w:pPr>
    </w:p>
    <w:p>
      <w:pPr>
        <w:ind w:left="192" w:hanging="174"/>
        <w:spacing w:after="0"/>
        <w:tabs>
          <w:tab w:leader="none" w:pos="192" w:val="left"/>
        </w:tabs>
        <w:numPr>
          <w:ilvl w:val="1"/>
          <w:numId w:val="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Shares Subject to the Plan.</w:t>
      </w:r>
    </w:p>
    <w:p>
      <w:pPr>
        <w:spacing w:after="0" w:line="221" w:lineRule="exact"/>
        <w:rPr>
          <w:rFonts w:ascii="Times New Roman" w:cs="Times New Roman" w:eastAsia="Times New Roman" w:hAnsi="Times New Roman"/>
          <w:sz w:val="18"/>
          <w:szCs w:val="18"/>
          <w:b w:val="1"/>
          <w:bCs w:val="1"/>
          <w:i w:val="1"/>
          <w:iCs w:val="1"/>
          <w:color w:val="auto"/>
        </w:rPr>
      </w:pPr>
    </w:p>
    <w:p>
      <w:pPr>
        <w:jc w:val="both"/>
        <w:ind w:left="172" w:right="160" w:firstLine="5"/>
        <w:spacing w:after="0" w:line="255" w:lineRule="auto"/>
        <w:tabs>
          <w:tab w:leader="none" w:pos="412"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xml:space="preserve"> Subject to Section 9(a) relating to Capitalization Adjustments, the aggregate number of shares of Common Stock that may be issued pursuant to Stock Awards will not exceed 1,500,000 (the “Share Reserve”). For clarity, the Share Reserve is a limitation on the number of shares of Common Stock that may be issued under the Plan. Accordingly, this Section 3(a) does not limit the granting of Stock Awards except as provided in Section 7(a).</w:t>
      </w:r>
    </w:p>
    <w:p>
      <w:pPr>
        <w:spacing w:after="0" w:line="180" w:lineRule="exact"/>
        <w:rPr>
          <w:rFonts w:ascii="Times New Roman" w:cs="Times New Roman" w:eastAsia="Times New Roman" w:hAnsi="Times New Roman"/>
          <w:sz w:val="18"/>
          <w:szCs w:val="18"/>
          <w:color w:val="auto"/>
        </w:rPr>
      </w:pPr>
    </w:p>
    <w:p>
      <w:pPr>
        <w:jc w:val="both"/>
        <w:ind w:left="172" w:right="160" w:firstLine="5"/>
        <w:spacing w:after="0" w:line="250" w:lineRule="auto"/>
        <w:tabs>
          <w:tab w:leader="none" w:pos="421"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Reversion of Shares to the Share Reserve.</w:t>
      </w:r>
      <w:r>
        <w:rPr>
          <w:rFonts w:ascii="Times New Roman" w:cs="Times New Roman" w:eastAsia="Times New Roman" w:hAnsi="Times New Roman"/>
          <w:sz w:val="18"/>
          <w:szCs w:val="18"/>
          <w:color w:val="auto"/>
        </w:rPr>
        <w:t xml:space="preserve"> If a Stock Award or any portion thereof (i) expires or otherwise terminates without all of the shares covered by such Stock Award having been issued or (ii) is settled in cash (i.e.,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86" w:lineRule="exact"/>
        <w:rPr>
          <w:rFonts w:ascii="Times New Roman" w:cs="Times New Roman" w:eastAsia="Times New Roman" w:hAnsi="Times New Roman"/>
          <w:sz w:val="18"/>
          <w:szCs w:val="18"/>
          <w:color w:val="auto"/>
        </w:rPr>
      </w:pPr>
    </w:p>
    <w:p>
      <w:pPr>
        <w:jc w:val="both"/>
        <w:ind w:left="172" w:right="160" w:firstLine="5"/>
        <w:spacing w:after="0" w:line="259" w:lineRule="auto"/>
        <w:tabs>
          <w:tab w:leader="none" w:pos="438"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of Shares.</w:t>
      </w:r>
      <w:r>
        <w:rPr>
          <w:rFonts w:ascii="Times New Roman" w:cs="Times New Roman" w:eastAsia="Times New Roman" w:hAnsi="Times New Roman"/>
          <w:sz w:val="18"/>
          <w:szCs w:val="18"/>
          <w:color w:val="auto"/>
        </w:rPr>
        <w:t xml:space="preserve"> The stock issuable under the Plan will be shares of authorized but unissued or reacquired Common Stock, including shares repurchased by the Company on the open market or otherwise. 4. Eligibility for Specific Stock Awards. Stock Awards may be granted to Eligible Individuals.</w:t>
      </w:r>
    </w:p>
    <w:p>
      <w:pPr>
        <w:spacing w:after="0" w:line="173"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Eligibility for Specific Stock Awards.</w:t>
      </w:r>
    </w:p>
    <w:p>
      <w:pPr>
        <w:spacing w:after="0" w:line="221" w:lineRule="exact"/>
        <w:rPr>
          <w:rFonts w:ascii="Times New Roman" w:cs="Times New Roman" w:eastAsia="Times New Roman" w:hAnsi="Times New Roman"/>
          <w:sz w:val="18"/>
          <w:szCs w:val="18"/>
          <w:b w:val="1"/>
          <w:bCs w:val="1"/>
          <w:i w:val="1"/>
          <w:iCs w:val="1"/>
          <w:color w:val="auto"/>
        </w:rPr>
      </w:pPr>
    </w:p>
    <w:p>
      <w:pPr>
        <w:ind w:left="152"/>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Stock Awards may be granted to Eligible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368300</wp:posOffset>
            </wp:positionV>
            <wp:extent cx="71348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52"/>
          </w:cols>
          <w:pgMar w:left="308" w:top="572"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i w:val="1"/>
          <w:iCs w:val="1"/>
          <w:color w:val="auto"/>
        </w:rPr>
        <w:t>5. Provisions Relating to Options and Stock Appreciation Rights.</w:t>
      </w:r>
    </w:p>
    <w:p>
      <w:pPr>
        <w:spacing w:after="0" w:line="221" w:lineRule="exact"/>
        <w:rPr>
          <w:sz w:val="20"/>
          <w:szCs w:val="20"/>
          <w:color w:val="auto"/>
        </w:rPr>
      </w:pPr>
    </w:p>
    <w:p>
      <w:pPr>
        <w:jc w:val="both"/>
        <w:ind w:left="20" w:right="100" w:firstLine="159"/>
        <w:spacing w:after="0" w:line="255" w:lineRule="auto"/>
        <w:rPr>
          <w:sz w:val="20"/>
          <w:szCs w:val="20"/>
          <w:color w:val="auto"/>
        </w:rPr>
      </w:pPr>
      <w:r>
        <w:rPr>
          <w:rFonts w:ascii="Times New Roman" w:cs="Times New Roman" w:eastAsia="Times New Roman" w:hAnsi="Times New Roman"/>
          <w:sz w:val="18"/>
          <w:szCs w:val="18"/>
          <w:color w:val="auto"/>
        </w:rPr>
        <w:t>Each Option or SAR will be in such form and will contain such terms and conditions as the Board deems appropriate. All Options will be Nonstatutory Stock Options, and, if certificates are issued, a separate certificate or certificates will be issued for shares of Common Stock purchased on exercise of each Option. The provisions of separate Options or SARs need not be identical; provided, however, that each Award Agreement will conform to (through incorporation of provisions hereof by reference in the applicable Award Agreement or otherwise) the substance of each of the following provisions:</w:t>
      </w:r>
    </w:p>
    <w:p>
      <w:pPr>
        <w:spacing w:after="0" w:line="180" w:lineRule="exact"/>
        <w:rPr>
          <w:sz w:val="20"/>
          <w:szCs w:val="20"/>
          <w:color w:val="auto"/>
        </w:rPr>
      </w:pPr>
    </w:p>
    <w:p>
      <w:pPr>
        <w:ind w:right="40" w:firstLine="167"/>
        <w:spacing w:after="0" w:line="274" w:lineRule="auto"/>
        <w:tabs>
          <w:tab w:leader="none" w:pos="41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No Option or SAR will be exercisable after the expiration of ten years from the date of its grant or such shorter period specified in the Awar Agreement.</w:t>
      </w:r>
    </w:p>
    <w:p>
      <w:pPr>
        <w:spacing w:after="0" w:line="163" w:lineRule="exact"/>
        <w:rPr>
          <w:rFonts w:ascii="Times New Roman" w:cs="Times New Roman" w:eastAsia="Times New Roman" w:hAnsi="Times New Roman"/>
          <w:sz w:val="18"/>
          <w:szCs w:val="18"/>
          <w:color w:val="auto"/>
        </w:rPr>
      </w:pPr>
    </w:p>
    <w:p>
      <w:pPr>
        <w:ind w:firstLine="167"/>
        <w:spacing w:after="0" w:line="274" w:lineRule="auto"/>
        <w:tabs>
          <w:tab w:leader="none" w:pos="40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The exercise or strike price of each Option or SAR will be not less than 100% of the Fair Market Value of the Common Stock subject to the Option or SAR on the date the Award is granted. Each SAR will be denominated in shares of Common Stock equivalents.</w:t>
      </w:r>
    </w:p>
    <w:p>
      <w:pPr>
        <w:spacing w:after="0" w:line="163" w:lineRule="exact"/>
        <w:rPr>
          <w:rFonts w:ascii="Times New Roman" w:cs="Times New Roman" w:eastAsia="Times New Roman" w:hAnsi="Times New Roman"/>
          <w:sz w:val="18"/>
          <w:szCs w:val="18"/>
          <w:color w:val="auto"/>
        </w:rPr>
      </w:pPr>
    </w:p>
    <w:p>
      <w:pPr>
        <w:ind w:right="160" w:firstLine="167"/>
        <w:spacing w:after="0" w:line="255" w:lineRule="auto"/>
        <w:tabs>
          <w:tab w:leader="none" w:pos="39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for Options. The purchase price of Common Stock acquired pursuant to the exercise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80" w:lineRule="exact"/>
        <w:rPr>
          <w:rFonts w:ascii="Times New Roman" w:cs="Times New Roman" w:eastAsia="Times New Roman" w:hAnsi="Times New Roman"/>
          <w:sz w:val="18"/>
          <w:szCs w:val="18"/>
          <w:color w:val="auto"/>
        </w:rPr>
      </w:pPr>
    </w:p>
    <w:p>
      <w:pPr>
        <w:ind w:left="540" w:hanging="214"/>
        <w:spacing w:after="0"/>
        <w:tabs>
          <w:tab w:leader="none" w:pos="5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check, bank draft or money order payable to the Company;</w:t>
      </w:r>
    </w:p>
    <w:p>
      <w:pPr>
        <w:spacing w:after="0" w:line="217" w:lineRule="exact"/>
        <w:rPr>
          <w:rFonts w:ascii="Times New Roman" w:cs="Times New Roman" w:eastAsia="Times New Roman" w:hAnsi="Times New Roman"/>
          <w:sz w:val="18"/>
          <w:szCs w:val="18"/>
          <w:color w:val="auto"/>
        </w:rPr>
      </w:pPr>
    </w:p>
    <w:p>
      <w:pPr>
        <w:ind w:left="580" w:hanging="254"/>
        <w:spacing w:after="0"/>
        <w:tabs>
          <w:tab w:leader="none" w:pos="5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program developed under Regulation T as promulgated by the Federal Reserve Board that, prior to the issuance of the stock subject to</w:t>
      </w:r>
    </w:p>
    <w:p>
      <w:pPr>
        <w:spacing w:after="0" w:line="24" w:lineRule="exact"/>
        <w:rPr>
          <w:sz w:val="20"/>
          <w:szCs w:val="20"/>
          <w:color w:val="auto"/>
        </w:rPr>
      </w:pPr>
    </w:p>
    <w:p>
      <w:pPr>
        <w:ind w:left="160" w:right="140"/>
        <w:spacing w:after="0" w:line="251" w:lineRule="auto"/>
        <w:rPr>
          <w:sz w:val="20"/>
          <w:szCs w:val="20"/>
          <w:color w:val="auto"/>
        </w:rPr>
      </w:pPr>
      <w:r>
        <w:rPr>
          <w:rFonts w:ascii="Times New Roman" w:cs="Times New Roman" w:eastAsia="Times New Roman" w:hAnsi="Times New Roman"/>
          <w:sz w:val="18"/>
          <w:szCs w:val="18"/>
          <w:color w:val="auto"/>
        </w:rPr>
        <w:t>the Option, results in either the receipt of cash (or check) by the Company or the receipt of irrevocable instructions to pay the aggregate exercise price to the Company from the sales proceeds;</w:t>
      </w:r>
    </w:p>
    <w:p>
      <w:pPr>
        <w:spacing w:after="0" w:line="184" w:lineRule="exact"/>
        <w:rPr>
          <w:sz w:val="20"/>
          <w:szCs w:val="20"/>
          <w:color w:val="auto"/>
        </w:rPr>
      </w:pPr>
    </w:p>
    <w:p>
      <w:pPr>
        <w:ind w:left="640" w:hanging="314"/>
        <w:spacing w:after="0"/>
        <w:tabs>
          <w:tab w:leader="none" w:pos="640" w:val="left"/>
        </w:tabs>
        <w:numPr>
          <w:ilvl w:val="3"/>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to the Company (either by actual delivery or attestation) of shares of Common Stock;</w:t>
      </w:r>
    </w:p>
    <w:p>
      <w:pPr>
        <w:spacing w:after="0" w:line="217" w:lineRule="exact"/>
        <w:rPr>
          <w:rFonts w:ascii="Times New Roman" w:cs="Times New Roman" w:eastAsia="Times New Roman" w:hAnsi="Times New Roman"/>
          <w:sz w:val="18"/>
          <w:szCs w:val="18"/>
          <w:color w:val="auto"/>
        </w:rPr>
      </w:pPr>
    </w:p>
    <w:p>
      <w:pPr>
        <w:jc w:val="both"/>
        <w:ind w:left="180" w:right="260" w:firstLine="5"/>
        <w:spacing w:after="0" w:line="251" w:lineRule="auto"/>
        <w:tabs>
          <w:tab w:leader="none" w:pos="492"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“net exercise” arrangement pursuant to which the Company will reduce the number of shares of Common Stock issuable upon exercise of an Option by the largest whole number of shares with a Fair Market Value that does not exceed the aggregate exercise price; provided, however,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 or</w:t>
      </w:r>
    </w:p>
    <w:p>
      <w:pPr>
        <w:spacing w:after="0" w:line="185" w:lineRule="exact"/>
        <w:rPr>
          <w:rFonts w:ascii="Times New Roman" w:cs="Times New Roman" w:eastAsia="Times New Roman" w:hAnsi="Times New Roman"/>
          <w:sz w:val="18"/>
          <w:szCs w:val="18"/>
          <w:color w:val="auto"/>
        </w:rPr>
      </w:pPr>
    </w:p>
    <w:p>
      <w:pPr>
        <w:ind w:left="420" w:hanging="253"/>
        <w:spacing w:after="0"/>
        <w:tabs>
          <w:tab w:leader="none" w:pos="4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form of legal consideration that may be acceptable to the Board and specified in the applicable Award Agreement.</w:t>
      </w:r>
    </w:p>
    <w:p>
      <w:pPr>
        <w:spacing w:after="0" w:line="217" w:lineRule="exact"/>
        <w:rPr>
          <w:rFonts w:ascii="Times New Roman" w:cs="Times New Roman" w:eastAsia="Times New Roman" w:hAnsi="Times New Roman"/>
          <w:sz w:val="18"/>
          <w:szCs w:val="18"/>
          <w:color w:val="auto"/>
        </w:rPr>
      </w:pPr>
    </w:p>
    <w:p>
      <w:pPr>
        <w:jc w:val="both"/>
        <w:ind w:left="20" w:right="220" w:firstLine="6"/>
        <w:spacing w:after="0" w:line="259" w:lineRule="auto"/>
        <w:tabs>
          <w:tab w:leader="none" w:pos="27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and Payment of a SAR.</w:t>
      </w:r>
      <w:r>
        <w:rPr>
          <w:rFonts w:ascii="Times New Roman" w:cs="Times New Roman" w:eastAsia="Times New Roman" w:hAnsi="Times New Roman"/>
          <w:sz w:val="18"/>
          <w:szCs w:val="18"/>
          <w:color w:val="auto"/>
        </w:rPr>
        <w:t xml:space="preserve"> To exercise any outstanding SAR, the Participant must provide written notice of exercise to the Company in compliance with the provisions of the Stock Appreciation Right Agreement evidencing such SAR. The appreciation distribution payable on the exercise of a SAR will be not greater than an amount equal to the excess of (A) the aggregate Fair Market Value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343535</wp:posOffset>
            </wp:positionV>
            <wp:extent cx="71348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60"/>
          </w:cols>
          <w:pgMar w:left="300" w:top="568" w:right="239" w:bottom="1440" w:gutter="0" w:footer="0" w:header="0"/>
        </w:sectPr>
      </w:pPr>
    </w:p>
    <w:bookmarkStart w:id="170" w:name="page171"/>
    <w:bookmarkEnd w:id="170"/>
    <w:p>
      <w:pPr>
        <w:jc w:val="both"/>
        <w:spacing w:after="0" w:line="252" w:lineRule="auto"/>
        <w:rPr>
          <w:sz w:val="20"/>
          <w:szCs w:val="20"/>
          <w:color w:val="auto"/>
        </w:rPr>
      </w:pPr>
      <w:r>
        <w:rPr>
          <w:rFonts w:ascii="Times New Roman" w:cs="Times New Roman" w:eastAsia="Times New Roman" w:hAnsi="Times New Roman"/>
          <w:sz w:val="18"/>
          <w:szCs w:val="18"/>
          <w:color w:val="auto"/>
        </w:rPr>
        <w:t>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85" w:lineRule="exact"/>
        <w:rPr>
          <w:sz w:val="20"/>
          <w:szCs w:val="20"/>
          <w:color w:val="auto"/>
        </w:rPr>
      </w:pPr>
    </w:p>
    <w:p>
      <w:pPr>
        <w:jc w:val="both"/>
        <w:ind w:firstLine="6"/>
        <w:spacing w:after="0" w:line="259" w:lineRule="auto"/>
        <w:tabs>
          <w:tab w:leader="none" w:pos="25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of Options and SARs. 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w:t>
      </w:r>
    </w:p>
    <w:p>
      <w:pPr>
        <w:spacing w:after="0" w:line="177" w:lineRule="exact"/>
        <w:rPr>
          <w:rFonts w:ascii="Times New Roman" w:cs="Times New Roman" w:eastAsia="Times New Roman" w:hAnsi="Times New Roman"/>
          <w:sz w:val="18"/>
          <w:szCs w:val="18"/>
          <w:color w:val="auto"/>
        </w:rPr>
      </w:pPr>
    </w:p>
    <w:p>
      <w:pPr>
        <w:jc w:val="both"/>
        <w:ind w:left="160" w:right="160" w:firstLine="5"/>
        <w:spacing w:after="0" w:line="255" w:lineRule="auto"/>
        <w:tabs>
          <w:tab w:leader="none" w:pos="40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An Option or SAR will not be transferable except by will or by the laws of descent and 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80" w:lineRule="exact"/>
        <w:rPr>
          <w:rFonts w:ascii="Times New Roman" w:cs="Times New Roman" w:eastAsia="Times New Roman" w:hAnsi="Times New Roman"/>
          <w:sz w:val="18"/>
          <w:szCs w:val="18"/>
          <w:color w:val="auto"/>
        </w:rPr>
      </w:pPr>
    </w:p>
    <w:p>
      <w:pPr>
        <w:ind w:left="160" w:right="160" w:firstLine="5"/>
        <w:spacing w:after="0" w:line="274" w:lineRule="auto"/>
        <w:tabs>
          <w:tab w:leader="none" w:pos="43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Relations Orders. Subject to the approval of the Board or a duly authorized Officer, an Option or SAR may be transferred pursuant to the terms of a domestic relations order, official marital settlement agreement.</w:t>
      </w:r>
    </w:p>
    <w:p>
      <w:pPr>
        <w:spacing w:after="0" w:line="163" w:lineRule="exact"/>
        <w:rPr>
          <w:rFonts w:ascii="Times New Roman" w:cs="Times New Roman" w:eastAsia="Times New Roman" w:hAnsi="Times New Roman"/>
          <w:sz w:val="18"/>
          <w:szCs w:val="18"/>
          <w:color w:val="auto"/>
        </w:rPr>
      </w:pPr>
    </w:p>
    <w:p>
      <w:pPr>
        <w:jc w:val="both"/>
        <w:ind w:left="160" w:right="160" w:firstLine="5"/>
        <w:spacing w:after="0" w:line="251" w:lineRule="auto"/>
        <w:tabs>
          <w:tab w:leader="none" w:pos="48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Beneficiary Designation. Subject to the approval of the Board or a duly authorized Officer, a Participant may, by delivering 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5" w:lineRule="exact"/>
        <w:rPr>
          <w:rFonts w:ascii="Times New Roman" w:cs="Times New Roman" w:eastAsia="Times New Roman" w:hAnsi="Times New Roman"/>
          <w:sz w:val="18"/>
          <w:szCs w:val="18"/>
          <w:color w:val="auto"/>
        </w:rPr>
      </w:pPr>
    </w:p>
    <w:p>
      <w:pPr>
        <w:jc w:val="both"/>
        <w:ind w:firstLine="6"/>
        <w:spacing w:after="0" w:line="252" w:lineRule="auto"/>
        <w:tabs>
          <w:tab w:leader="none" w:pos="2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Generally.</w:t>
      </w:r>
      <w:r>
        <w:rPr>
          <w:rFonts w:ascii="Times New Roman" w:cs="Times New Roman" w:eastAsia="Times New Roman" w:hAnsi="Times New Roman"/>
          <w:sz w:val="18"/>
          <w:szCs w:val="18"/>
          <w:color w:val="auto"/>
        </w:rPr>
        <w:t xml:space="preserve"> The total number of shares of Common Stock subject to an Option or SAR may vest and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85" w:lineRule="exact"/>
        <w:rPr>
          <w:rFonts w:ascii="Times New Roman" w:cs="Times New Roman" w:eastAsia="Times New Roman" w:hAnsi="Times New Roman"/>
          <w:sz w:val="18"/>
          <w:szCs w:val="18"/>
          <w:color w:val="auto"/>
        </w:rPr>
      </w:pPr>
    </w:p>
    <w:p>
      <w:pPr>
        <w:jc w:val="both"/>
        <w:ind w:firstLine="6"/>
        <w:spacing w:after="0" w:line="251" w:lineRule="auto"/>
        <w:tabs>
          <w:tab w:leader="none" w:pos="25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Continuous Service.</w:t>
      </w:r>
      <w:r>
        <w:rPr>
          <w:rFonts w:ascii="Times New Roman" w:cs="Times New Roman" w:eastAsia="Times New Roman" w:hAnsi="Times New Roman"/>
          <w:sz w:val="18"/>
          <w:szCs w:val="18"/>
          <w:color w:val="auto"/>
        </w:rPr>
        <w:t xml:space="preserve"> Except as otherwise provided in the applicable Award Agreement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months following the termination of the Participant’s Continuous Service (or such longer or shorter period specified in the applicable Award Agreement), and (ii) the expiration of the term of the Option or SAR as set forth in the Award Agreement. If, after termination of Continuous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347980</wp:posOffset>
            </wp:positionV>
            <wp:extent cx="71348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the Participant does not exercise his or her Option or SAR (as applicable) within the applicable time frame, the Option or SAR will terminate.</w:t>
      </w:r>
    </w:p>
    <w:p>
      <w:pPr>
        <w:spacing w:after="0" w:line="217" w:lineRule="exact"/>
        <w:rPr>
          <w:sz w:val="20"/>
          <w:szCs w:val="20"/>
          <w:color w:val="auto"/>
        </w:rPr>
      </w:pPr>
    </w:p>
    <w:p>
      <w:pPr>
        <w:jc w:val="both"/>
        <w:ind w:left="20" w:firstLine="6"/>
        <w:spacing w:after="0" w:line="248" w:lineRule="auto"/>
        <w:tabs>
          <w:tab w:leader="none" w:pos="27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Termination Date.</w:t>
      </w:r>
      <w:r>
        <w:rPr>
          <w:rFonts w:ascii="Times New Roman" w:cs="Times New Roman" w:eastAsia="Times New Roman" w:hAnsi="Times New Roman"/>
          <w:sz w:val="18"/>
          <w:szCs w:val="18"/>
          <w:color w:val="auto"/>
        </w:rPr>
        <w:t xml:space="preserve">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91" w:lineRule="exact"/>
        <w:rPr>
          <w:rFonts w:ascii="Times New Roman" w:cs="Times New Roman" w:eastAsia="Times New Roman" w:hAnsi="Times New Roman"/>
          <w:sz w:val="18"/>
          <w:szCs w:val="18"/>
          <w:color w:val="auto"/>
        </w:rPr>
      </w:pPr>
    </w:p>
    <w:p>
      <w:pPr>
        <w:jc w:val="both"/>
        <w:ind w:left="20" w:firstLine="6"/>
        <w:spacing w:after="0" w:line="251" w:lineRule="auto"/>
        <w:tabs>
          <w:tab w:leader="none" w:pos="23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xml:space="preserve"> Except as otherwise provided in the applicable Award Agreement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5" w:lineRule="exact"/>
        <w:rPr>
          <w:rFonts w:ascii="Times New Roman" w:cs="Times New Roman" w:eastAsia="Times New Roman" w:hAnsi="Times New Roman"/>
          <w:sz w:val="18"/>
          <w:szCs w:val="18"/>
          <w:color w:val="auto"/>
        </w:rPr>
      </w:pPr>
    </w:p>
    <w:p>
      <w:pPr>
        <w:jc w:val="both"/>
        <w:ind w:left="20" w:firstLine="6"/>
        <w:spacing w:after="0" w:line="249" w:lineRule="auto"/>
        <w:tabs>
          <w:tab w:leader="none" w:pos="235" w:val="left"/>
        </w:tabs>
        <w:numPr>
          <w:ilvl w:val="0"/>
          <w:numId w:val="9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xml:space="preserve"> Except as otherwise provided in the applicable Award Agreement or other agreement between 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190" w:lineRule="exact"/>
        <w:rPr>
          <w:rFonts w:ascii="Times New Roman" w:cs="Times New Roman" w:eastAsia="Times New Roman" w:hAnsi="Times New Roman"/>
          <w:sz w:val="18"/>
          <w:szCs w:val="18"/>
          <w:u w:val="single" w:color="auto"/>
          <w:color w:val="auto"/>
        </w:rPr>
      </w:pPr>
    </w:p>
    <w:p>
      <w:pPr>
        <w:jc w:val="both"/>
        <w:ind w:left="20" w:firstLine="6"/>
        <w:spacing w:after="0" w:line="251" w:lineRule="auto"/>
        <w:tabs>
          <w:tab w:leader="none" w:pos="28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xml:space="preserve"> Except as explicitly provided otherwise in a Participant’s Award Agreement or other individual written 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w:t>
      </w:r>
    </w:p>
    <w:p>
      <w:pPr>
        <w:spacing w:after="0" w:line="1" w:lineRule="exact"/>
        <w:rPr>
          <w:rFonts w:ascii="Times New Roman" w:cs="Times New Roman" w:eastAsia="Times New Roman" w:hAnsi="Times New Roman"/>
          <w:sz w:val="18"/>
          <w:szCs w:val="18"/>
          <w:color w:val="auto"/>
        </w:rPr>
      </w:pPr>
    </w:p>
    <w:p>
      <w:pPr>
        <w:ind w:left="160" w:firstLine="7"/>
        <w:spacing w:after="0" w:line="251" w:lineRule="auto"/>
        <w:tabs>
          <w:tab w:leader="none" w:pos="37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Non-Exempt Employees. If an Option or SAR is granted to an Employee who is a nonexempt employee for purposes of the Fair Labor Standards Act of 1938, as amended, the Option or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616585</wp:posOffset>
            </wp:positionV>
            <wp:extent cx="713486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572" w:right="339" w:bottom="1440" w:gutter="0" w:footer="0" w:header="0"/>
        </w:sectPr>
      </w:pPr>
    </w:p>
    <w:bookmarkStart w:id="172" w:name="page173"/>
    <w:bookmarkEnd w:id="172"/>
    <w:p>
      <w:pPr>
        <w:jc w:val="both"/>
        <w:spacing w:after="0" w:line="248" w:lineRule="auto"/>
        <w:rPr>
          <w:sz w:val="20"/>
          <w:szCs w:val="20"/>
          <w:color w:val="auto"/>
        </w:rPr>
      </w:pPr>
      <w:r>
        <w:rPr>
          <w:rFonts w:ascii="Times New Roman" w:cs="Times New Roman" w:eastAsia="Times New Roman" w:hAnsi="Times New Roman"/>
          <w:sz w:val="18"/>
          <w:szCs w:val="18"/>
          <w:color w:val="auto"/>
        </w:rPr>
        <w:t>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Provisions of Stock Awards other than Options and SARs.</w:t>
      </w:r>
    </w:p>
    <w:p>
      <w:pPr>
        <w:spacing w:after="0" w:line="221" w:lineRule="exact"/>
        <w:rPr>
          <w:sz w:val="20"/>
          <w:szCs w:val="20"/>
          <w:color w:val="auto"/>
        </w:rPr>
      </w:pPr>
    </w:p>
    <w:p>
      <w:pPr>
        <w:jc w:val="both"/>
        <w:ind w:left="160" w:right="160" w:firstLine="5"/>
        <w:spacing w:after="0" w:line="250" w:lineRule="auto"/>
        <w:tabs>
          <w:tab w:leader="none" w:pos="40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Each Restricted Stock Award Agreement will be in such form and will contain such terms and conditions as the 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86" w:lineRule="exact"/>
        <w:rPr>
          <w:rFonts w:ascii="Times New Roman" w:cs="Times New Roman" w:eastAsia="Times New Roman" w:hAnsi="Times New Roman"/>
          <w:sz w:val="18"/>
          <w:szCs w:val="18"/>
          <w:color w:val="auto"/>
        </w:rPr>
      </w:pPr>
    </w:p>
    <w:p>
      <w:pPr>
        <w:jc w:val="both"/>
        <w:ind w:left="320" w:right="320" w:firstLine="4"/>
        <w:spacing w:after="0" w:line="259" w:lineRule="auto"/>
        <w:tabs>
          <w:tab w:leader="none" w:pos="563"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A Restricted Stock Award may be awarded in consideration for (A) cash, check, bank draft or money order payable to the Company, (B) past services to the Company or an Affiliate, or (C) any other form of legal consideration (including future services) that may be acceptable to the Board, in its sole discretion, and permissible under applicable law.</w:t>
      </w:r>
    </w:p>
    <w:p>
      <w:pPr>
        <w:spacing w:after="0" w:line="177" w:lineRule="exact"/>
        <w:rPr>
          <w:rFonts w:ascii="Times New Roman" w:cs="Times New Roman" w:eastAsia="Times New Roman" w:hAnsi="Times New Roman"/>
          <w:sz w:val="18"/>
          <w:szCs w:val="18"/>
          <w:color w:val="auto"/>
        </w:rPr>
      </w:pPr>
    </w:p>
    <w:p>
      <w:pPr>
        <w:ind w:left="320" w:right="320" w:firstLine="4"/>
        <w:spacing w:after="0" w:line="274" w:lineRule="auto"/>
        <w:tabs>
          <w:tab w:leader="none" w:pos="61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Shares of Common Stock awarded under the Restricted Stock Award Agreement may be subject to forfeiture to the Company in accordance with a vesting schedule to be determined by the Board.</w:t>
      </w:r>
    </w:p>
    <w:p>
      <w:pPr>
        <w:spacing w:after="0" w:line="163" w:lineRule="exact"/>
        <w:rPr>
          <w:rFonts w:ascii="Times New Roman" w:cs="Times New Roman" w:eastAsia="Times New Roman" w:hAnsi="Times New Roman"/>
          <w:sz w:val="18"/>
          <w:szCs w:val="18"/>
          <w:color w:val="auto"/>
        </w:rPr>
      </w:pPr>
    </w:p>
    <w:p>
      <w:pPr>
        <w:jc w:val="both"/>
        <w:ind w:left="320" w:right="320" w:firstLine="4"/>
        <w:spacing w:after="0" w:line="259" w:lineRule="auto"/>
        <w:tabs>
          <w:tab w:leader="none" w:pos="63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Participant’s Continuous Service. If a Participant’s Continuous Service terminates, the Company may receive through a forfeiture condition or a repurchase right any or all of the shares of Common Stock held by the Participant as of the date of termination of Continuous Service under the terms of the Restricted Stock Award Agreement.</w:t>
      </w:r>
    </w:p>
    <w:p>
      <w:pPr>
        <w:spacing w:after="0" w:line="177" w:lineRule="exact"/>
        <w:rPr>
          <w:rFonts w:ascii="Times New Roman" w:cs="Times New Roman" w:eastAsia="Times New Roman" w:hAnsi="Times New Roman"/>
          <w:sz w:val="18"/>
          <w:szCs w:val="18"/>
          <w:color w:val="auto"/>
        </w:rPr>
      </w:pPr>
    </w:p>
    <w:p>
      <w:pPr>
        <w:jc w:val="both"/>
        <w:ind w:left="320" w:right="320" w:firstLine="4"/>
        <w:spacing w:after="0" w:line="255" w:lineRule="auto"/>
        <w:tabs>
          <w:tab w:leader="none" w:pos="62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Rights to acquire shares of Common Stock under the Restricted Stock Award 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344805</wp:posOffset>
            </wp:positionV>
            <wp:extent cx="71348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73" w:name="page174"/>
    <w:bookmarkEnd w:id="173"/>
    <w:p>
      <w:pPr>
        <w:ind w:left="-6" w:firstLine="6"/>
        <w:spacing w:after="0" w:line="276" w:lineRule="auto"/>
        <w:tabs>
          <w:tab w:leader="none" w:pos="24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A Restricted Stock Award Agreement may provide that any dividends paid on Restricted Stock will be subject to the same vesting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forfeiture restrictions as apply to the shares subject to the Restricted Stock Award to which they relate.</w:t>
      </w:r>
    </w:p>
    <w:p>
      <w:pPr>
        <w:spacing w:after="0" w:line="162" w:lineRule="exact"/>
        <w:rPr>
          <w:sz w:val="20"/>
          <w:szCs w:val="20"/>
          <w:color w:val="auto"/>
        </w:rPr>
      </w:pPr>
    </w:p>
    <w:p>
      <w:pPr>
        <w:jc w:val="both"/>
        <w:ind w:left="-6" w:firstLine="6"/>
        <w:spacing w:after="0" w:line="274" w:lineRule="auto"/>
        <w:tabs>
          <w:tab w:leader="none" w:pos="247"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Unit Awards.</w:t>
      </w:r>
      <w:r>
        <w:rPr>
          <w:rFonts w:ascii="Times New Roman" w:cs="Times New Roman" w:eastAsia="Times New Roman" w:hAnsi="Times New Roman"/>
          <w:sz w:val="17"/>
          <w:szCs w:val="17"/>
          <w:color w:val="auto"/>
        </w:rPr>
        <w:t xml:space="preserve"> Each Restricted Stock Unit Award Agreement will be in such form and will contain such terms and 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65" w:lineRule="exact"/>
        <w:rPr>
          <w:sz w:val="20"/>
          <w:szCs w:val="20"/>
          <w:color w:val="auto"/>
        </w:rPr>
      </w:pPr>
    </w:p>
    <w:p>
      <w:pPr>
        <w:jc w:val="both"/>
        <w:ind w:left="-6" w:firstLine="6"/>
        <w:spacing w:after="0" w:line="256" w:lineRule="auto"/>
        <w:tabs>
          <w:tab w:leader="none" w:pos="20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Consideration. </w:t>
      </w:r>
      <w:r>
        <w:rPr>
          <w:rFonts w:ascii="Times New Roman" w:cs="Times New Roman" w:eastAsia="Times New Roman" w:hAnsi="Times New Roman"/>
          <w:sz w:val="18"/>
          <w:szCs w:val="18"/>
          <w:color w:val="auto"/>
        </w:rPr>
        <w:t>At the time of grant of a Restricted Stock Unit Award, the Board will determine the consideration, if any, to be paid by the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6" w:lineRule="exact"/>
        <w:rPr>
          <w:rFonts w:ascii="Times New Roman" w:cs="Times New Roman" w:eastAsia="Times New Roman" w:hAnsi="Times New Roman"/>
          <w:sz w:val="18"/>
          <w:szCs w:val="18"/>
          <w:color w:val="auto"/>
        </w:rPr>
      </w:pPr>
    </w:p>
    <w:p>
      <w:pPr>
        <w:ind w:left="-6" w:firstLine="6"/>
        <w:spacing w:after="0" w:line="276" w:lineRule="auto"/>
        <w:tabs>
          <w:tab w:leader="none" w:pos="26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w:t>
      </w:r>
      <w:r>
        <w:rPr>
          <w:rFonts w:ascii="Times New Roman" w:cs="Times New Roman" w:eastAsia="Times New Roman" w:hAnsi="Times New Roman"/>
          <w:sz w:val="18"/>
          <w:szCs w:val="18"/>
          <w:color w:val="auto"/>
        </w:rPr>
        <w:t>At the time of the grant of a Restricted Stock Unit Award, the Board may impose such restrictions on or conditions to the vesting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 as it, in its sole discretion, deems appropriate.</w:t>
      </w:r>
    </w:p>
    <w:p>
      <w:pPr>
        <w:spacing w:after="0" w:line="159" w:lineRule="exact"/>
        <w:rPr>
          <w:rFonts w:ascii="Times New Roman" w:cs="Times New Roman" w:eastAsia="Times New Roman" w:hAnsi="Times New Roman"/>
          <w:sz w:val="18"/>
          <w:szCs w:val="18"/>
          <w:color w:val="auto"/>
        </w:rPr>
      </w:pPr>
    </w:p>
    <w:p>
      <w:pPr>
        <w:ind w:left="-6" w:firstLine="6"/>
        <w:spacing w:after="0" w:line="276" w:lineRule="auto"/>
        <w:tabs>
          <w:tab w:leader="none" w:pos="30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w:t>
      </w:r>
      <w:r>
        <w:rPr>
          <w:rFonts w:ascii="Times New Roman" w:cs="Times New Roman" w:eastAsia="Times New Roman" w:hAnsi="Times New Roman"/>
          <w:sz w:val="18"/>
          <w:szCs w:val="18"/>
          <w:color w:val="auto"/>
        </w:rPr>
        <w:t>A Restricted Stock Unit Award may be settled by the delivery of shares of Common Stock, their cash equivalent, any combination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 any other form of consideration, as determined by the Board and contained in the Restricted Stock Unit Award Agreement.</w:t>
      </w:r>
    </w:p>
    <w:p>
      <w:pPr>
        <w:spacing w:after="0" w:line="159" w:lineRule="exact"/>
        <w:rPr>
          <w:rFonts w:ascii="Times New Roman" w:cs="Times New Roman" w:eastAsia="Times New Roman" w:hAnsi="Times New Roman"/>
          <w:sz w:val="18"/>
          <w:szCs w:val="18"/>
          <w:color w:val="auto"/>
        </w:rPr>
      </w:pPr>
    </w:p>
    <w:p>
      <w:pPr>
        <w:jc w:val="both"/>
        <w:ind w:left="-6" w:firstLine="6"/>
        <w:spacing w:after="0" w:line="261" w:lineRule="auto"/>
        <w:tabs>
          <w:tab w:leader="none" w:pos="29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Restrictions. </w:t>
      </w:r>
      <w:r>
        <w:rPr>
          <w:rFonts w:ascii="Times New Roman" w:cs="Times New Roman" w:eastAsia="Times New Roman" w:hAnsi="Times New Roman"/>
          <w:sz w:val="18"/>
          <w:szCs w:val="18"/>
          <w:color w:val="auto"/>
        </w:rPr>
        <w:t>At the time of the grant of a Restricted Stock Unit Award, the Board, as it deems appropriate, may impose such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conditions that delay the delivery of the shares of Common Stock (or their cash equivalent) subject to a Restricted Stock Unit Award to a time after the vesting of such Restricted Stock Unit Award.</w:t>
      </w:r>
    </w:p>
    <w:p>
      <w:pPr>
        <w:spacing w:after="0" w:line="172" w:lineRule="exact"/>
        <w:rPr>
          <w:rFonts w:ascii="Times New Roman" w:cs="Times New Roman" w:eastAsia="Times New Roman" w:hAnsi="Times New Roman"/>
          <w:sz w:val="18"/>
          <w:szCs w:val="18"/>
          <w:color w:val="auto"/>
        </w:rPr>
      </w:pPr>
    </w:p>
    <w:p>
      <w:pPr>
        <w:jc w:val="both"/>
        <w:ind w:left="-6" w:firstLine="6"/>
        <w:spacing w:after="0" w:line="253" w:lineRule="auto"/>
        <w:tabs>
          <w:tab w:leader="none" w:pos="24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Dividend equivalents may be credited in respect of shares of Common Stock covered by a Restricted Stock Unit Award,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81" w:lineRule="exact"/>
        <w:rPr>
          <w:rFonts w:ascii="Times New Roman" w:cs="Times New Roman" w:eastAsia="Times New Roman" w:hAnsi="Times New Roman"/>
          <w:sz w:val="18"/>
          <w:szCs w:val="18"/>
          <w:color w:val="auto"/>
        </w:rPr>
      </w:pPr>
    </w:p>
    <w:p>
      <w:pPr>
        <w:jc w:val="both"/>
        <w:ind w:left="-6" w:firstLine="6"/>
        <w:spacing w:after="0" w:line="261" w:lineRule="auto"/>
        <w:tabs>
          <w:tab w:leader="none" w:pos="30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Participant’s Continuous Service</w:t>
      </w:r>
      <w:r>
        <w:rPr>
          <w:rFonts w:ascii="Times New Roman" w:cs="Times New Roman" w:eastAsia="Times New Roman" w:hAnsi="Times New Roman"/>
          <w:sz w:val="18"/>
          <w:szCs w:val="18"/>
          <w:color w:val="auto"/>
        </w:rPr>
        <w:t>. Except as otherwise provided in the applicable Restricted Stock Unit Award Agreement,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the Restricted Stock Unit Award that has not vested will be forfeited upon the Participant’s termination of Continuous Service. (c) Performance Awards.</w:t>
      </w:r>
    </w:p>
    <w:p>
      <w:pPr>
        <w:spacing w:after="0" w:line="173" w:lineRule="exact"/>
        <w:rPr>
          <w:sz w:val="20"/>
          <w:szCs w:val="20"/>
          <w:color w:val="auto"/>
        </w:rPr>
      </w:pPr>
    </w:p>
    <w:p>
      <w:pPr>
        <w:ind w:left="-6" w:firstLine="6"/>
        <w:spacing w:after="0" w:line="276" w:lineRule="auto"/>
        <w:tabs>
          <w:tab w:leader="none" w:pos="21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Stock Awards. </w:t>
      </w:r>
      <w:r>
        <w:rPr>
          <w:rFonts w:ascii="Times New Roman" w:cs="Times New Roman" w:eastAsia="Times New Roman" w:hAnsi="Times New Roman"/>
          <w:sz w:val="18"/>
          <w:szCs w:val="18"/>
          <w:color w:val="auto"/>
        </w:rPr>
        <w:t>A Performance Stock Award is a Stock Award that is payable (including that may be granted, may vest or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contingent upon the attainment during a Performance Period of certain Performance Goals. A Performance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333375</wp:posOffset>
            </wp:positionV>
            <wp:extent cx="713486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774"/>
          </w:cols>
          <w:pgMar w:left="626" w:top="570" w:right="499" w:bottom="1440" w:gutter="0" w:footer="0" w:header="0"/>
        </w:sectPr>
      </w:pPr>
    </w:p>
    <w:bookmarkStart w:id="174" w:name="page175"/>
    <w:bookmarkEnd w:id="174"/>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the Board, in its sole discretion. In addition, to the extent permitted by applicable law and the applicable Award Agreement, the Board may determine that cash may be used in payment of Performance Stock Awards.</w:t>
      </w:r>
    </w:p>
    <w:p>
      <w:pPr>
        <w:spacing w:after="0" w:line="178" w:lineRule="exact"/>
        <w:rPr>
          <w:sz w:val="20"/>
          <w:szCs w:val="20"/>
          <w:color w:val="auto"/>
        </w:rPr>
      </w:pPr>
    </w:p>
    <w:p>
      <w:pPr>
        <w:jc w:val="both"/>
        <w:ind w:left="320" w:right="160" w:firstLine="6"/>
        <w:spacing w:after="0" w:line="250" w:lineRule="auto"/>
        <w:tabs>
          <w:tab w:leader="none" w:pos="5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Cash Awards. </w:t>
      </w:r>
      <w:r>
        <w:rPr>
          <w:rFonts w:ascii="Times New Roman" w:cs="Times New Roman" w:eastAsia="Times New Roman" w:hAnsi="Times New Roman"/>
          <w:sz w:val="18"/>
          <w:szCs w:val="18"/>
          <w:color w:val="auto"/>
        </w:rPr>
        <w:t>A Performance Cash Award is a cash award that is payable contingent upon the attainment during a Performance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the Board,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88" w:lineRule="exact"/>
        <w:rPr>
          <w:rFonts w:ascii="Times New Roman" w:cs="Times New Roman" w:eastAsia="Times New Roman" w:hAnsi="Times New Roman"/>
          <w:sz w:val="18"/>
          <w:szCs w:val="18"/>
          <w:color w:val="auto"/>
        </w:rPr>
      </w:pPr>
    </w:p>
    <w:p>
      <w:pPr>
        <w:ind w:left="320" w:right="160" w:firstLine="6"/>
        <w:spacing w:after="0" w:line="274" w:lineRule="auto"/>
        <w:tabs>
          <w:tab w:leader="none" w:pos="67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Discretion. The Board retains the discretion to reduce or eliminate the compensation or economic benefit due upon attainment of Performance Goals and to define the manner of calculating the Performance Criteria it selects to use for a Performance Period.</w:t>
      </w:r>
    </w:p>
    <w:p>
      <w:pPr>
        <w:spacing w:after="0" w:line="163" w:lineRule="exact"/>
        <w:rPr>
          <w:rFonts w:ascii="Times New Roman" w:cs="Times New Roman" w:eastAsia="Times New Roman" w:hAnsi="Times New Roman"/>
          <w:sz w:val="18"/>
          <w:szCs w:val="18"/>
          <w:color w:val="auto"/>
        </w:rPr>
      </w:pPr>
    </w:p>
    <w:p>
      <w:pPr>
        <w:jc w:val="both"/>
        <w:ind w:left="160" w:firstLine="7"/>
        <w:spacing w:after="0" w:line="251" w:lineRule="auto"/>
        <w:tabs>
          <w:tab w:leader="none" w:pos="42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 Awards.</w:t>
      </w:r>
      <w:r>
        <w:rPr>
          <w:rFonts w:ascii="Times New Roman" w:cs="Times New Roman" w:eastAsia="Times New Roman" w:hAnsi="Times New Roman"/>
          <w:sz w:val="18"/>
          <w:szCs w:val="18"/>
          <w:color w:val="auto"/>
        </w:rPr>
        <w:t xml:space="preserve"> Other forms of Stock Awards valued in whole or in part by reference to, or otherwise based on, Common Stock, 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Covenants of the Company.</w:t>
      </w:r>
    </w:p>
    <w:p>
      <w:pPr>
        <w:spacing w:after="0" w:line="221" w:lineRule="exact"/>
        <w:rPr>
          <w:sz w:val="20"/>
          <w:szCs w:val="20"/>
          <w:color w:val="auto"/>
        </w:rPr>
      </w:pPr>
    </w:p>
    <w:p>
      <w:pPr>
        <w:ind w:left="160" w:firstLine="7"/>
        <w:spacing w:after="0" w:line="274" w:lineRule="auto"/>
        <w:tabs>
          <w:tab w:leader="none" w:pos="42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 of Shares.</w:t>
      </w:r>
      <w:r>
        <w:rPr>
          <w:rFonts w:ascii="Times New Roman" w:cs="Times New Roman" w:eastAsia="Times New Roman" w:hAnsi="Times New Roman"/>
          <w:sz w:val="18"/>
          <w:szCs w:val="18"/>
          <w:color w:val="auto"/>
        </w:rPr>
        <w:t xml:space="preserve"> The Company will keep available at all times the number of shares of Common Stock reasonably required to satisfy then-outstanding Awards.</w:t>
      </w:r>
    </w:p>
    <w:p>
      <w:pPr>
        <w:spacing w:after="0" w:line="163" w:lineRule="exact"/>
        <w:rPr>
          <w:rFonts w:ascii="Times New Roman" w:cs="Times New Roman" w:eastAsia="Times New Roman" w:hAnsi="Times New Roman"/>
          <w:sz w:val="18"/>
          <w:szCs w:val="18"/>
          <w:color w:val="auto"/>
        </w:rPr>
      </w:pPr>
    </w:p>
    <w:p>
      <w:pPr>
        <w:jc w:val="both"/>
        <w:ind w:left="160" w:firstLine="7"/>
        <w:spacing w:after="0" w:line="249" w:lineRule="auto"/>
        <w:tabs>
          <w:tab w:leader="none" w:pos="43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Law Compliance. The Company will seek to obtain from each regulatory commission or agency having jurisdiction over the Plan such authority as may be required to grant Stock Awards and to issue and sell shares of Common Stock upon exercise of the Stock Awards; provided, however, 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351155</wp:posOffset>
            </wp:positionV>
            <wp:extent cx="713486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572" w:right="339" w:bottom="1440" w:gutter="0" w:footer="0" w:header="0"/>
        </w:sectPr>
      </w:pPr>
    </w:p>
    <w:bookmarkStart w:id="175" w:name="page176"/>
    <w:bookmarkEnd w:id="175"/>
    <w:p>
      <w:pPr>
        <w:jc w:val="both"/>
        <w:ind w:left="152" w:firstLine="7"/>
        <w:spacing w:after="0" w:line="255" w:lineRule="auto"/>
        <w:tabs>
          <w:tab w:leader="none" w:pos="40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Obligation to Notify or Minimize Taxes. The Company will have no duty or obligation to any Participant to advise such holder 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76"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Miscellaneous.</w:t>
      </w:r>
    </w:p>
    <w:p>
      <w:pPr>
        <w:spacing w:after="0" w:line="221" w:lineRule="exact"/>
        <w:rPr>
          <w:rFonts w:ascii="Times New Roman" w:cs="Times New Roman" w:eastAsia="Times New Roman" w:hAnsi="Times New Roman"/>
          <w:sz w:val="18"/>
          <w:szCs w:val="18"/>
          <w:b w:val="1"/>
          <w:bCs w:val="1"/>
          <w:color w:val="auto"/>
        </w:rPr>
      </w:pPr>
    </w:p>
    <w:p>
      <w:pPr>
        <w:ind w:left="152" w:firstLine="7"/>
        <w:spacing w:after="0" w:line="274" w:lineRule="auto"/>
        <w:tabs>
          <w:tab w:leader="none" w:pos="39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 from Sales of Common Stock.</w:t>
      </w:r>
      <w:r>
        <w:rPr>
          <w:rFonts w:ascii="Times New Roman" w:cs="Times New Roman" w:eastAsia="Times New Roman" w:hAnsi="Times New Roman"/>
          <w:sz w:val="18"/>
          <w:szCs w:val="18"/>
          <w:color w:val="auto"/>
        </w:rPr>
        <w:t xml:space="preserve"> Proceeds from the sale of shares of Common Stock pursuant to Awards will constitute general funds of the Company.</w:t>
      </w:r>
    </w:p>
    <w:p>
      <w:pPr>
        <w:spacing w:after="0" w:line="163" w:lineRule="exact"/>
        <w:rPr>
          <w:rFonts w:ascii="Times New Roman" w:cs="Times New Roman" w:eastAsia="Times New Roman" w:hAnsi="Times New Roman"/>
          <w:sz w:val="18"/>
          <w:szCs w:val="18"/>
          <w:color w:val="auto"/>
        </w:rPr>
      </w:pPr>
    </w:p>
    <w:p>
      <w:pPr>
        <w:jc w:val="both"/>
        <w:ind w:left="152" w:firstLine="7"/>
        <w:spacing w:after="0" w:line="250" w:lineRule="auto"/>
        <w:tabs>
          <w:tab w:leader="none" w:pos="41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Action Constituting Grant of Awards.</w:t>
      </w:r>
      <w:r>
        <w:rPr>
          <w:rFonts w:ascii="Times New Roman" w:cs="Times New Roman" w:eastAsia="Times New Roman" w:hAnsi="Times New Roman"/>
          <w:sz w:val="18"/>
          <w:szCs w:val="18"/>
          <w:color w:val="auto"/>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86" w:lineRule="exact"/>
        <w:rPr>
          <w:rFonts w:ascii="Times New Roman" w:cs="Times New Roman" w:eastAsia="Times New Roman" w:hAnsi="Times New Roman"/>
          <w:sz w:val="18"/>
          <w:szCs w:val="18"/>
          <w:color w:val="auto"/>
        </w:rPr>
      </w:pPr>
    </w:p>
    <w:p>
      <w:pPr>
        <w:jc w:val="both"/>
        <w:ind w:left="152" w:firstLine="7"/>
        <w:spacing w:after="0" w:line="259" w:lineRule="auto"/>
        <w:tabs>
          <w:tab w:leader="none" w:pos="39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xml:space="preserve"> No Participant will be deemed to be the holder of, or to have any of the rights of a holder with respect to, any shares of Common Stock subject to an Award unless and until (i) such Participant has satisfied all requirements for exercise of, or the issuance of shares under, the Award pursuant to its terms, and (ii) the issuance of the Common Stock subject to such Award has been entered into the books and records of the Company.</w:t>
      </w:r>
    </w:p>
    <w:p>
      <w:pPr>
        <w:spacing w:after="0" w:line="177" w:lineRule="exact"/>
        <w:rPr>
          <w:rFonts w:ascii="Times New Roman" w:cs="Times New Roman" w:eastAsia="Times New Roman" w:hAnsi="Times New Roman"/>
          <w:sz w:val="18"/>
          <w:szCs w:val="18"/>
          <w:color w:val="auto"/>
        </w:rPr>
      </w:pPr>
    </w:p>
    <w:p>
      <w:pPr>
        <w:jc w:val="both"/>
        <w:ind w:left="152" w:firstLine="7"/>
        <w:spacing w:after="0" w:line="266" w:lineRule="auto"/>
        <w:tabs>
          <w:tab w:leader="none" w:pos="401"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Employment or Other Service Rights.</w:t>
      </w:r>
      <w:r>
        <w:rPr>
          <w:rFonts w:ascii="Times New Roman" w:cs="Times New Roman" w:eastAsia="Times New Roman" w:hAnsi="Times New Roman"/>
          <w:sz w:val="17"/>
          <w:szCs w:val="17"/>
          <w:color w:val="auto"/>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w:t>
      </w:r>
    </w:p>
    <w:p>
      <w:pPr>
        <w:ind w:left="152" w:firstLine="7"/>
        <w:spacing w:after="0" w:line="251" w:lineRule="auto"/>
        <w:tabs>
          <w:tab w:leader="none" w:pos="46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of a Director pursuant to the bylaws of the Company or an Affiliate, and any applicable provisions of the corporate law of the state in which the Company or the Affiliate is incorporated, as the case may be.</w:t>
      </w:r>
    </w:p>
    <w:p>
      <w:pPr>
        <w:spacing w:after="0" w:line="183" w:lineRule="exact"/>
        <w:rPr>
          <w:rFonts w:ascii="Times New Roman" w:cs="Times New Roman" w:eastAsia="Times New Roman" w:hAnsi="Times New Roman"/>
          <w:sz w:val="18"/>
          <w:szCs w:val="18"/>
          <w:color w:val="auto"/>
        </w:rPr>
      </w:pPr>
    </w:p>
    <w:p>
      <w:pPr>
        <w:jc w:val="both"/>
        <w:ind w:left="152" w:firstLine="7"/>
        <w:spacing w:after="0" w:line="250" w:lineRule="auto"/>
        <w:tabs>
          <w:tab w:leader="none" w:pos="4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Time Commitment.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or extension, the Participant will have no right with respect to any portion of the Award that is so reduced or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349250</wp:posOffset>
            </wp:positionV>
            <wp:extent cx="713486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52"/>
          </w:cols>
          <w:pgMar w:left="308" w:top="572" w:right="339" w:bottom="1440" w:gutter="0" w:footer="0" w:header="0"/>
        </w:sectPr>
      </w:pPr>
    </w:p>
    <w:bookmarkStart w:id="176" w:name="page177"/>
    <w:bookmarkEnd w:id="176"/>
    <w:p>
      <w:pPr>
        <w:jc w:val="both"/>
        <w:ind w:left="-7" w:firstLine="7"/>
        <w:spacing w:after="0" w:line="248" w:lineRule="auto"/>
        <w:tabs>
          <w:tab w:leader="none" w:pos="21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Assurances.</w:t>
      </w:r>
      <w:r>
        <w:rPr>
          <w:rFonts w:ascii="Times New Roman" w:cs="Times New Roman" w:eastAsia="Times New Roman" w:hAnsi="Times New Roman"/>
          <w:sz w:val="18"/>
          <w:szCs w:val="18"/>
          <w:color w:val="auto"/>
        </w:rPr>
        <w:t xml:space="preserve"> The Company may require a Participant, as a condition of exercising or acquiring 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91" w:lineRule="exact"/>
        <w:rPr>
          <w:rFonts w:ascii="Times New Roman" w:cs="Times New Roman" w:eastAsia="Times New Roman" w:hAnsi="Times New Roman"/>
          <w:sz w:val="18"/>
          <w:szCs w:val="18"/>
          <w:color w:val="auto"/>
        </w:rPr>
      </w:pPr>
    </w:p>
    <w:p>
      <w:pPr>
        <w:jc w:val="both"/>
        <w:ind w:left="-7" w:firstLine="7"/>
        <w:spacing w:after="0" w:line="250" w:lineRule="auto"/>
        <w:tabs>
          <w:tab w:leader="none" w:pos="24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xml:space="preserve"> Unless prohibited by the terms of an Award Agreement, the Company may, in its sole 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provided, however,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86" w:lineRule="exact"/>
        <w:rPr>
          <w:rFonts w:ascii="Times New Roman" w:cs="Times New Roman" w:eastAsia="Times New Roman" w:hAnsi="Times New Roman"/>
          <w:sz w:val="18"/>
          <w:szCs w:val="18"/>
          <w:color w:val="auto"/>
        </w:rPr>
      </w:pPr>
    </w:p>
    <w:p>
      <w:pPr>
        <w:jc w:val="both"/>
        <w:ind w:left="-7" w:firstLine="7"/>
        <w:spacing w:after="0" w:line="259" w:lineRule="auto"/>
        <w:tabs>
          <w:tab w:leader="none" w:pos="24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xml:space="preserve"> Any reference herein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w:t>
      </w:r>
    </w:p>
    <w:p>
      <w:pPr>
        <w:spacing w:after="0" w:line="177" w:lineRule="exact"/>
        <w:rPr>
          <w:rFonts w:ascii="Times New Roman" w:cs="Times New Roman" w:eastAsia="Times New Roman" w:hAnsi="Times New Roman"/>
          <w:sz w:val="18"/>
          <w:szCs w:val="18"/>
          <w:color w:val="auto"/>
        </w:rPr>
      </w:pPr>
    </w:p>
    <w:p>
      <w:pPr>
        <w:jc w:val="both"/>
        <w:ind w:left="-7" w:firstLine="7"/>
        <w:spacing w:after="0" w:line="250" w:lineRule="auto"/>
        <w:tabs>
          <w:tab w:leader="none" w:pos="20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Deferrals.</w:t>
      </w:r>
      <w:r>
        <w:rPr>
          <w:rFonts w:ascii="Times New Roman" w:cs="Times New Roman" w:eastAsia="Times New Roman" w:hAnsi="Times New Roman"/>
          <w:sz w:val="18"/>
          <w:szCs w:val="18"/>
          <w:color w:val="auto"/>
        </w:rPr>
        <w:t xml:space="preserve"> To the extent permitted by applicable law, the Board,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86" w:lineRule="exact"/>
        <w:rPr>
          <w:rFonts w:ascii="Times New Roman" w:cs="Times New Roman" w:eastAsia="Times New Roman" w:hAnsi="Times New Roman"/>
          <w:sz w:val="18"/>
          <w:szCs w:val="18"/>
          <w:color w:val="auto"/>
        </w:rPr>
      </w:pPr>
    </w:p>
    <w:p>
      <w:pPr>
        <w:jc w:val="both"/>
        <w:ind w:left="-7" w:firstLine="7"/>
        <w:spacing w:after="0" w:line="252" w:lineRule="auto"/>
        <w:tabs>
          <w:tab w:leader="none" w:pos="20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xml:space="preserve"> Unless otherwise expressly provided for in an Award Agreement, the Plan and Award 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347980</wp:posOffset>
            </wp:positionV>
            <wp:extent cx="713486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093"/>
          </w:cols>
          <w:pgMar w:left="467" w:top="572" w:right="339" w:bottom="1440" w:gutter="0" w:footer="0" w:header="0"/>
        </w:sectPr>
      </w:pPr>
    </w:p>
    <w:bookmarkStart w:id="177" w:name="page178"/>
    <w:bookmarkEnd w:id="177"/>
    <w:p>
      <w:pPr>
        <w:jc w:val="both"/>
        <w:spacing w:after="0" w:line="249" w:lineRule="auto"/>
        <w:rPr>
          <w:sz w:val="20"/>
          <w:szCs w:val="20"/>
          <w:color w:val="auto"/>
        </w:rPr>
      </w:pPr>
      <w:r>
        <w:rPr>
          <w:rFonts w:ascii="Times New Roman" w:cs="Times New Roman" w:eastAsia="Times New Roman" w:hAnsi="Times New Roman"/>
          <w:sz w:val="18"/>
          <w:szCs w:val="18"/>
          <w:color w:val="auto"/>
        </w:rPr>
        <w:t>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90" w:lineRule="exact"/>
        <w:rPr>
          <w:sz w:val="20"/>
          <w:szCs w:val="20"/>
          <w:color w:val="auto"/>
        </w:rPr>
      </w:pPr>
    </w:p>
    <w:p>
      <w:pPr>
        <w:jc w:val="both"/>
        <w:ind w:firstLine="7"/>
        <w:spacing w:after="0" w:line="250" w:lineRule="auto"/>
        <w:tabs>
          <w:tab w:leader="none" w:pos="26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Clawback/Recovery.</w:t>
      </w:r>
      <w:r>
        <w:rPr>
          <w:rFonts w:ascii="Times New Roman" w:cs="Times New Roman" w:eastAsia="Times New Roman" w:hAnsi="Times New Roman"/>
          <w:sz w:val="18"/>
          <w:szCs w:val="18"/>
          <w:color w:val="auto"/>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186" w:lineRule="exact"/>
        <w:rPr>
          <w:rFonts w:ascii="Times New Roman" w:cs="Times New Roman" w:eastAsia="Times New Roman" w:hAnsi="Times New Roman"/>
          <w:sz w:val="18"/>
          <w:szCs w:val="18"/>
          <w:color w:val="auto"/>
        </w:rPr>
      </w:pPr>
    </w:p>
    <w:p>
      <w:pPr>
        <w:jc w:val="both"/>
        <w:ind w:firstLine="7"/>
        <w:spacing w:after="0" w:line="259" w:lineRule="auto"/>
        <w:tabs>
          <w:tab w:leader="none" w:pos="21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Required Upon Grant of Award.</w:t>
      </w:r>
      <w:r>
        <w:rPr>
          <w:rFonts w:ascii="Times New Roman" w:cs="Times New Roman" w:eastAsia="Times New Roman" w:hAnsi="Times New Roman"/>
          <w:sz w:val="18"/>
          <w:szCs w:val="18"/>
          <w:color w:val="auto"/>
        </w:rPr>
        <w:t xml:space="preserve"> Promptly following the grant of an Award, the Company shall, in accordance with NASDAQ Rule 5635(c), (i) issue a press release disclosing the material terms of the Award, including the recipient(s) of the Award and the number of Shares involved and (ii) provide written notice to NASDAQ of the grant.</w:t>
      </w:r>
    </w:p>
    <w:p>
      <w:pPr>
        <w:spacing w:after="0" w:line="177" w:lineRule="exact"/>
        <w:rPr>
          <w:rFonts w:ascii="Times New Roman" w:cs="Times New Roman" w:eastAsia="Times New Roman" w:hAnsi="Times New Roman"/>
          <w:sz w:val="18"/>
          <w:szCs w:val="18"/>
          <w:color w:val="auto"/>
        </w:rPr>
      </w:pPr>
    </w:p>
    <w:p>
      <w:pPr>
        <w:jc w:val="both"/>
        <w:ind w:firstLine="7"/>
        <w:spacing w:after="0" w:line="249" w:lineRule="auto"/>
        <w:tabs>
          <w:tab w:leader="none" w:pos="32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 Not Required.</w:t>
      </w:r>
      <w:r>
        <w:rPr>
          <w:rFonts w:ascii="Times New Roman" w:cs="Times New Roman" w:eastAsia="Times New Roman" w:hAnsi="Times New Roman"/>
          <w:sz w:val="18"/>
          <w:szCs w:val="18"/>
          <w:color w:val="auto"/>
        </w:rPr>
        <w:t xml:space="preserve"> It is expressly intended that approval of the Company’s stockholders not be required as a condition of the effectiveness of the Plan, and the Plan’s provisions shall be interpreted in a manner consistent with such intent for all purposes. Specifically, NASDAQ Rule 5635(c) generally requires stockholder approval for equity compensation plans adopted by companies whose securities are listed on the NASDAQ Stock Market that provide for the delivery of equity securities to any employees, directors or other service providers of such companies as compensation for services. NASDAQ Rule 5635(c)(4) provides an exemption in certain circumstances for employment inducement awards. Notwithstanding anything to the contrary herein, in accordance with NASDAQ Rule 5635(c)(4), Awards may only be granted as material inducements to Eligible Individuals being hired or rehired as Employees, as applicable, and must be approved by (i) the Board, acting through a majority of the Company’s Independent Directors or (ii) the independent Compensation Committee of the Board. Accordingly, pursuant to NASDAQ Rule 5635(c)(4), the issuance of Awards and the Shares issuable upon exercise or vesting of such Awards pursuant to the Plan is not subject to the approval of the Company’s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Adjustments upon Changes in Common Stock; Other Corporate Events.</w:t>
      </w:r>
    </w:p>
    <w:p>
      <w:pPr>
        <w:spacing w:after="0" w:line="221" w:lineRule="exact"/>
        <w:rPr>
          <w:sz w:val="20"/>
          <w:szCs w:val="20"/>
          <w:color w:val="auto"/>
        </w:rPr>
      </w:pPr>
    </w:p>
    <w:p>
      <w:pPr>
        <w:jc w:val="both"/>
        <w:ind w:firstLine="7"/>
        <w:spacing w:after="0" w:line="259" w:lineRule="auto"/>
        <w:tabs>
          <w:tab w:leader="none" w:pos="25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Adjustments. In the event of a Capitalization Adjustment, the Board will appropriately and proportionately adjust: (i) the class(es) and maximum number of securities subject to the Plan pursuant to Section 3(a) and (ii) the class(es) and number of securities and price per share of stock subject to outstanding Stock Awards. The Board will make such adjustments, and its determination will be final, binding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343535</wp:posOffset>
            </wp:positionV>
            <wp:extent cx="71348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00"/>
          </w:cols>
          <w:pgMar w:left="460" w:top="572" w:right="339" w:bottom="1440" w:gutter="0" w:footer="0" w:header="0"/>
        </w:sectPr>
      </w:pPr>
    </w:p>
    <w:bookmarkStart w:id="178" w:name="page179"/>
    <w:bookmarkEnd w:id="178"/>
    <w:p>
      <w:pPr>
        <w:jc w:val="both"/>
        <w:ind w:left="-7" w:firstLine="7"/>
        <w:spacing w:after="0" w:line="250" w:lineRule="auto"/>
        <w:tabs>
          <w:tab w:leader="none" w:pos="2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xml:space="preserve"> Except as otherwise provided in the Stock Award Agreement, in the event of a dissolution or 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provided, however,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86" w:lineRule="exact"/>
        <w:rPr>
          <w:rFonts w:ascii="Times New Roman" w:cs="Times New Roman" w:eastAsia="Times New Roman" w:hAnsi="Times New Roman"/>
          <w:sz w:val="18"/>
          <w:szCs w:val="18"/>
          <w:color w:val="auto"/>
        </w:rPr>
      </w:pPr>
    </w:p>
    <w:p>
      <w:pPr>
        <w:jc w:val="both"/>
        <w:ind w:left="-7" w:firstLine="7"/>
        <w:spacing w:after="0" w:line="252" w:lineRule="auto"/>
        <w:tabs>
          <w:tab w:leader="none" w:pos="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xml:space="preserve"> The following provisions will apply to Stock Awards in the event of a Corporate Transaction unless otherwise provided in the instrument evidencing the Stock Award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will take one or more of the following actions with respect to Stock Awards, contingent upon the closing or completion of the Corporate Transaction:</w:t>
      </w:r>
    </w:p>
    <w:p>
      <w:pPr>
        <w:spacing w:after="0" w:line="185" w:lineRule="exact"/>
        <w:rPr>
          <w:rFonts w:ascii="Times New Roman" w:cs="Times New Roman" w:eastAsia="Times New Roman" w:hAnsi="Times New Roman"/>
          <w:sz w:val="18"/>
          <w:szCs w:val="18"/>
          <w:color w:val="auto"/>
        </w:rPr>
      </w:pPr>
    </w:p>
    <w:p>
      <w:pPr>
        <w:jc w:val="both"/>
        <w:ind w:left="153" w:right="160" w:firstLine="6"/>
        <w:spacing w:after="0" w:line="259" w:lineRule="auto"/>
        <w:tabs>
          <w:tab w:leader="none" w:pos="36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177" w:lineRule="exact"/>
        <w:rPr>
          <w:rFonts w:ascii="Times New Roman" w:cs="Times New Roman" w:eastAsia="Times New Roman" w:hAnsi="Times New Roman"/>
          <w:sz w:val="18"/>
          <w:szCs w:val="18"/>
          <w:color w:val="auto"/>
        </w:rPr>
      </w:pPr>
    </w:p>
    <w:p>
      <w:pPr>
        <w:ind w:left="153" w:right="160" w:firstLine="6"/>
        <w:spacing w:after="0" w:line="274" w:lineRule="auto"/>
        <w:tabs>
          <w:tab w:leader="none" w:pos="41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63" w:lineRule="exact"/>
        <w:rPr>
          <w:rFonts w:ascii="Times New Roman" w:cs="Times New Roman" w:eastAsia="Times New Roman" w:hAnsi="Times New Roman"/>
          <w:sz w:val="18"/>
          <w:szCs w:val="18"/>
          <w:color w:val="auto"/>
        </w:rPr>
      </w:pPr>
    </w:p>
    <w:p>
      <w:pPr>
        <w:jc w:val="both"/>
        <w:ind w:left="153" w:right="160" w:firstLine="6"/>
        <w:spacing w:after="0" w:line="255" w:lineRule="auto"/>
        <w:tabs>
          <w:tab w:leader="none" w:pos="47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in whole or in part, of the Stock Award (and, if applicable, the time at which the Stock Award may be exercised) to a date prior to the effective time of such Corporate Transaction as the Board will determine (or, if the Board will not determine such a date, to the date that is five days prior to the effective date of the Corporate Transaction), with such Stock Award terminating if not exercised (if applicable) at or prior to the effective time of the Corporate Transaction;</w:t>
      </w:r>
    </w:p>
    <w:p>
      <w:pPr>
        <w:spacing w:after="0" w:line="180" w:lineRule="exact"/>
        <w:rPr>
          <w:rFonts w:ascii="Times New Roman" w:cs="Times New Roman" w:eastAsia="Times New Roman" w:hAnsi="Times New Roman"/>
          <w:sz w:val="18"/>
          <w:szCs w:val="18"/>
          <w:color w:val="auto"/>
        </w:rPr>
      </w:pPr>
    </w:p>
    <w:p>
      <w:pPr>
        <w:ind w:left="453" w:hanging="294"/>
        <w:spacing w:after="0"/>
        <w:tabs>
          <w:tab w:leader="none" w:pos="45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lapse, in whole or in part, of any reacquisition or repurchase rights held by the Company with respect to the Stock Award;</w:t>
      </w:r>
    </w:p>
    <w:p>
      <w:pPr>
        <w:spacing w:after="0" w:line="217" w:lineRule="exact"/>
        <w:rPr>
          <w:rFonts w:ascii="Times New Roman" w:cs="Times New Roman" w:eastAsia="Times New Roman" w:hAnsi="Times New Roman"/>
          <w:sz w:val="18"/>
          <w:szCs w:val="18"/>
          <w:color w:val="auto"/>
        </w:rPr>
      </w:pPr>
    </w:p>
    <w:p>
      <w:pPr>
        <w:ind w:left="153" w:right="160" w:firstLine="6"/>
        <w:spacing w:after="0" w:line="274" w:lineRule="auto"/>
        <w:tabs>
          <w:tab w:leader="none" w:pos="42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163" w:lineRule="exact"/>
        <w:rPr>
          <w:rFonts w:ascii="Times New Roman" w:cs="Times New Roman" w:eastAsia="Times New Roman" w:hAnsi="Times New Roman"/>
          <w:sz w:val="18"/>
          <w:szCs w:val="18"/>
          <w:color w:val="auto"/>
        </w:rPr>
      </w:pPr>
    </w:p>
    <w:p>
      <w:pPr>
        <w:jc w:val="both"/>
        <w:ind w:left="153" w:right="160" w:firstLine="6"/>
        <w:spacing w:after="0" w:line="259" w:lineRule="auto"/>
        <w:tabs>
          <w:tab w:leader="none" w:pos="45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w:t>
      </w:r>
    </w:p>
    <w:p>
      <w:pPr>
        <w:spacing w:after="0" w:line="178" w:lineRule="exact"/>
        <w:rPr>
          <w:sz w:val="20"/>
          <w:szCs w:val="20"/>
          <w:color w:val="auto"/>
        </w:rPr>
      </w:pPr>
    </w:p>
    <w:p>
      <w:pPr>
        <w:ind w:left="153" w:right="160" w:firstLine="159"/>
        <w:spacing w:after="0" w:line="274" w:lineRule="auto"/>
        <w:rPr>
          <w:sz w:val="20"/>
          <w:szCs w:val="20"/>
          <w:color w:val="auto"/>
        </w:rPr>
      </w:pPr>
      <w:r>
        <w:rPr>
          <w:rFonts w:ascii="Times New Roman" w:cs="Times New Roman" w:eastAsia="Times New Roman" w:hAnsi="Times New Roman"/>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334010</wp:posOffset>
            </wp:positionV>
            <wp:extent cx="71348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093"/>
          </w:cols>
          <w:pgMar w:left="467" w:top="572" w:right="339" w:bottom="1440" w:gutter="0" w:footer="0" w:header="0"/>
        </w:sectPr>
      </w:pPr>
    </w:p>
    <w:bookmarkStart w:id="179" w:name="page180"/>
    <w:bookmarkEnd w:id="179"/>
    <w:p>
      <w:pPr>
        <w:jc w:val="both"/>
        <w:ind w:left="20" w:right="100" w:firstLine="6"/>
        <w:spacing w:after="0" w:line="259" w:lineRule="auto"/>
        <w:tabs>
          <w:tab w:leader="none" w:pos="28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A Stock Award may be subject to additional acceleration of vesting and exercisability upon or after a Change in Control 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7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Plan Term; Earlier Termination or Suspension of the Plan.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Board may suspend or terminate the Plan at any time. No Awards may be granted under the Plan while the Plan is suspended or after it is terminated.</w:t>
      </w:r>
    </w:p>
    <w:p>
      <w:pPr>
        <w:spacing w:after="0" w:line="225" w:lineRule="exact"/>
        <w:rPr>
          <w:sz w:val="20"/>
          <w:szCs w:val="20"/>
          <w:color w:val="auto"/>
        </w:rPr>
      </w:pPr>
    </w:p>
    <w:p>
      <w:pPr>
        <w:ind w:left="260" w:hanging="252"/>
        <w:spacing w:after="0"/>
        <w:tabs>
          <w:tab w:leader="none" w:pos="2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Effective Date of the Plan.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Plan will become effective on the Effective Date.</w:t>
      </w:r>
    </w:p>
    <w:p>
      <w:pPr>
        <w:spacing w:after="0" w:line="213" w:lineRule="exact"/>
        <w:rPr>
          <w:sz w:val="20"/>
          <w:szCs w:val="20"/>
          <w:color w:val="auto"/>
        </w:rPr>
      </w:pPr>
    </w:p>
    <w:p>
      <w:pPr>
        <w:ind w:left="280" w:hanging="272"/>
        <w:spacing w:after="0"/>
        <w:tabs>
          <w:tab w:leader="none" w:pos="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Choice of Law.</w:t>
      </w:r>
    </w:p>
    <w:p>
      <w:pPr>
        <w:spacing w:after="0" w:line="22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law of the State of Delaware will govern all questions concerning the construction, validity and interpretation of the Plan, without regard to that state’ conflict of laws rules.</w:t>
      </w:r>
    </w:p>
    <w:p>
      <w:pPr>
        <w:spacing w:after="0" w:line="159" w:lineRule="exact"/>
        <w:rPr>
          <w:sz w:val="20"/>
          <w:szCs w:val="20"/>
          <w:color w:val="auto"/>
        </w:rPr>
      </w:pPr>
    </w:p>
    <w:p>
      <w:pPr>
        <w:ind w:left="280" w:hanging="272"/>
        <w:spacing w:after="0"/>
        <w:tabs>
          <w:tab w:leader="none" w:pos="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Definitions.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13" w:lineRule="exact"/>
        <w:rPr>
          <w:sz w:val="20"/>
          <w:szCs w:val="20"/>
          <w:color w:val="auto"/>
        </w:rPr>
      </w:pPr>
    </w:p>
    <w:p>
      <w:pPr>
        <w:jc w:val="both"/>
        <w:ind w:left="340" w:right="420" w:firstLine="4"/>
        <w:spacing w:after="0" w:line="262" w:lineRule="auto"/>
        <w:tabs>
          <w:tab w:leader="none" w:pos="59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“Affiliate” </w:t>
      </w:r>
      <w:r>
        <w:rPr>
          <w:rFonts w:ascii="Times New Roman" w:cs="Times New Roman" w:eastAsia="Times New Roman" w:hAnsi="Times New Roman"/>
          <w:sz w:val="18"/>
          <w:szCs w:val="18"/>
          <w:color w:val="auto"/>
        </w:rPr>
        <w:t>means, at the time of determination, any “parent” or “subsidiary” of the Company as such terms are defined in Rule 405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Act. The Board will have the authority to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color w:val="auto"/>
        </w:rPr>
      </w:pPr>
    </w:p>
    <w:p>
      <w:pPr>
        <w:ind w:left="580" w:hanging="254"/>
        <w:spacing w:after="0"/>
        <w:tabs>
          <w:tab w:leader="none" w:pos="5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“Award” </w:t>
      </w:r>
      <w:r>
        <w:rPr>
          <w:rFonts w:ascii="Times New Roman" w:cs="Times New Roman" w:eastAsia="Times New Roman" w:hAnsi="Times New Roman"/>
          <w:sz w:val="18"/>
          <w:szCs w:val="18"/>
          <w:color w:val="auto"/>
        </w:rPr>
        <w:t>means a Stock Award or a Performance Cash Award.</w:t>
      </w:r>
    </w:p>
    <w:p>
      <w:pPr>
        <w:spacing w:after="0" w:line="217" w:lineRule="exact"/>
        <w:rPr>
          <w:rFonts w:ascii="Times New Roman" w:cs="Times New Roman" w:eastAsia="Times New Roman" w:hAnsi="Times New Roman"/>
          <w:sz w:val="18"/>
          <w:szCs w:val="18"/>
          <w:color w:val="auto"/>
        </w:rPr>
      </w:pPr>
    </w:p>
    <w:p>
      <w:pPr>
        <w:ind w:firstLine="326"/>
        <w:spacing w:after="0" w:line="278" w:lineRule="auto"/>
        <w:tabs>
          <w:tab w:leader="none" w:pos="55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“Award Agreement” </w:t>
      </w:r>
      <w:r>
        <w:rPr>
          <w:rFonts w:ascii="Times New Roman" w:cs="Times New Roman" w:eastAsia="Times New Roman" w:hAnsi="Times New Roman"/>
          <w:sz w:val="18"/>
          <w:szCs w:val="18"/>
          <w:color w:val="auto"/>
        </w:rPr>
        <w:t>means a written or electronic agreement between the Company and a Participant evidencing the terms and conditions of an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Award Agreement will be subject to the terms and conditions of the Plan.</w:t>
      </w:r>
    </w:p>
    <w:p>
      <w:pPr>
        <w:spacing w:after="0" w:line="156" w:lineRule="exact"/>
        <w:rPr>
          <w:rFonts w:ascii="Times New Roman" w:cs="Times New Roman" w:eastAsia="Times New Roman" w:hAnsi="Times New Roman"/>
          <w:sz w:val="18"/>
          <w:szCs w:val="18"/>
          <w:color w:val="auto"/>
        </w:rPr>
      </w:pPr>
    </w:p>
    <w:p>
      <w:pPr>
        <w:ind w:left="580" w:hanging="254"/>
        <w:spacing w:after="0"/>
        <w:tabs>
          <w:tab w:leader="none" w:pos="5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17"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 Stock” </w:t>
      </w:r>
      <w:r>
        <w:rPr>
          <w:rFonts w:ascii="Times New Roman" w:cs="Times New Roman" w:eastAsia="Times New Roman" w:hAnsi="Times New Roman"/>
          <w:sz w:val="18"/>
          <w:szCs w:val="18"/>
          <w:color w:val="auto"/>
        </w:rPr>
        <w:t>means each and every class of common stock of the Company, regardless of the number of votes per share.</w:t>
      </w:r>
    </w:p>
    <w:p>
      <w:pPr>
        <w:spacing w:after="0" w:line="217" w:lineRule="exact"/>
        <w:rPr>
          <w:rFonts w:ascii="Times New Roman" w:cs="Times New Roman" w:eastAsia="Times New Roman" w:hAnsi="Times New Roman"/>
          <w:sz w:val="18"/>
          <w:szCs w:val="18"/>
          <w:color w:val="auto"/>
        </w:rPr>
      </w:pPr>
    </w:p>
    <w:p>
      <w:pPr>
        <w:ind w:left="560" w:hanging="216"/>
        <w:spacing w:after="0"/>
        <w:tabs>
          <w:tab w:leader="none" w:pos="5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“Capitalization Adjustment” </w:t>
      </w:r>
      <w:r>
        <w:rPr>
          <w:rFonts w:ascii="Times New Roman" w:cs="Times New Roman" w:eastAsia="Times New Roman" w:hAnsi="Times New Roman"/>
          <w:sz w:val="18"/>
          <w:szCs w:val="18"/>
          <w:color w:val="auto"/>
        </w:rPr>
        <w:t>means any change that is made in, or other events that occur with respect to, the Common Stock subject to the Plan</w:t>
      </w:r>
    </w:p>
    <w:p>
      <w:pPr>
        <w:spacing w:after="0" w:line="28" w:lineRule="exact"/>
        <w:rPr>
          <w:sz w:val="20"/>
          <w:szCs w:val="20"/>
          <w:color w:val="auto"/>
        </w:rPr>
      </w:pPr>
    </w:p>
    <w:p>
      <w:pPr>
        <w:jc w:val="both"/>
        <w:ind w:left="340" w:right="420"/>
        <w:spacing w:after="0" w:line="246" w:lineRule="auto"/>
        <w:rPr>
          <w:sz w:val="20"/>
          <w:szCs w:val="20"/>
          <w:color w:val="auto"/>
        </w:rPr>
      </w:pPr>
      <w:r>
        <w:rPr>
          <w:rFonts w:ascii="Times New Roman" w:cs="Times New Roman" w:eastAsia="Times New Roman" w:hAnsi="Times New Roman"/>
          <w:sz w:val="18"/>
          <w:szCs w:val="18"/>
          <w:color w:val="auto"/>
        </w:rPr>
        <w:t>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8" w:lineRule="exact"/>
        <w:rPr>
          <w:sz w:val="20"/>
          <w:szCs w:val="20"/>
          <w:color w:val="auto"/>
        </w:rPr>
      </w:pPr>
    </w:p>
    <w:p>
      <w:pPr>
        <w:ind w:right="20" w:firstLine="326"/>
        <w:spacing w:after="0" w:line="278" w:lineRule="auto"/>
        <w:tabs>
          <w:tab w:leader="none" w:pos="56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will have the meaning ascribed to such term in any written agreement between the Participant and the Company defining such term and, in 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absence of such agreement, such term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332105</wp:posOffset>
            </wp:positionV>
            <wp:extent cx="71348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60"/>
          </w:cols>
          <w:pgMar w:left="300" w:top="572" w:right="239" w:bottom="1440" w:gutter="0" w:footer="0" w:header="0"/>
        </w:sectPr>
      </w:pPr>
    </w:p>
    <w:bookmarkStart w:id="180" w:name="page181"/>
    <w:bookmarkEnd w:id="180"/>
    <w:p>
      <w:pPr>
        <w:jc w:val="both"/>
        <w:spacing w:after="0" w:line="249" w:lineRule="auto"/>
        <w:rPr>
          <w:sz w:val="20"/>
          <w:szCs w:val="20"/>
          <w:color w:val="auto"/>
        </w:rPr>
      </w:pPr>
      <w:r>
        <w:rPr>
          <w:rFonts w:ascii="Times New Roman" w:cs="Times New Roman" w:eastAsia="Times New Roman" w:hAnsi="Times New Roman"/>
          <w:sz w:val="18"/>
          <w:szCs w:val="18"/>
          <w:color w:val="auto"/>
        </w:rPr>
        <w:t>mean, with respect to a Participant, the occurrence of any of the following events that has a material negative impact on the business or reputation of the Company: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90" w:lineRule="exact"/>
        <w:rPr>
          <w:sz w:val="20"/>
          <w:szCs w:val="20"/>
          <w:color w:val="auto"/>
        </w:rPr>
      </w:pPr>
    </w:p>
    <w:p>
      <w:pPr>
        <w:ind w:left="420" w:hanging="254"/>
        <w:spacing w:after="0"/>
        <w:tabs>
          <w:tab w:leader="none" w:pos="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the occurrence, in a single transaction or in a series of related transactions, of any one or more of the following events:</w:t>
      </w:r>
    </w:p>
    <w:p>
      <w:pPr>
        <w:spacing w:after="0" w:line="217" w:lineRule="exact"/>
        <w:rPr>
          <w:rFonts w:ascii="Times New Roman" w:cs="Times New Roman" w:eastAsia="Times New Roman" w:hAnsi="Times New Roman"/>
          <w:sz w:val="18"/>
          <w:szCs w:val="18"/>
          <w:color w:val="auto"/>
        </w:rPr>
      </w:pPr>
    </w:p>
    <w:p>
      <w:pPr>
        <w:jc w:val="both"/>
        <w:ind w:left="320" w:right="320" w:firstLine="164"/>
        <w:spacing w:after="0" w:line="248" w:lineRule="auto"/>
        <w:tabs>
          <w:tab w:leader="none" w:pos="72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89" w:lineRule="exact"/>
        <w:rPr>
          <w:rFonts w:ascii="Times New Roman" w:cs="Times New Roman" w:eastAsia="Times New Roman" w:hAnsi="Times New Roman"/>
          <w:sz w:val="18"/>
          <w:szCs w:val="18"/>
          <w:color w:val="auto"/>
        </w:rPr>
      </w:pPr>
    </w:p>
    <w:p>
      <w:pPr>
        <w:jc w:val="both"/>
        <w:ind w:left="320" w:right="320" w:firstLine="164"/>
        <w:spacing w:after="0" w:line="249" w:lineRule="auto"/>
        <w:tabs>
          <w:tab w:leader="none" w:pos="7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provided, however, that a merger,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spacing w:after="0" w:line="190" w:lineRule="exact"/>
        <w:rPr>
          <w:rFonts w:ascii="Times New Roman" w:cs="Times New Roman" w:eastAsia="Times New Roman" w:hAnsi="Times New Roman"/>
          <w:sz w:val="18"/>
          <w:szCs w:val="18"/>
          <w:color w:val="auto"/>
        </w:rPr>
      </w:pPr>
    </w:p>
    <w:p>
      <w:pPr>
        <w:jc w:val="both"/>
        <w:ind w:left="320" w:right="320" w:firstLine="164"/>
        <w:spacing w:after="0" w:line="255" w:lineRule="auto"/>
        <w:tabs>
          <w:tab w:leader="none" w:pos="79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344805</wp:posOffset>
            </wp:positionV>
            <wp:extent cx="713486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00"/>
          </w:cols>
          <w:pgMar w:left="460" w:top="572" w:right="339" w:bottom="1440" w:gutter="0" w:footer="0" w:header="0"/>
        </w:sectPr>
      </w:pPr>
    </w:p>
    <w:bookmarkStart w:id="181" w:name="page182"/>
    <w:bookmarkEnd w:id="181"/>
    <w:p>
      <w:pPr>
        <w:jc w:val="both"/>
        <w:ind w:left="460" w:right="320"/>
        <w:spacing w:after="0" w:line="255" w:lineRule="auto"/>
        <w:rPr>
          <w:sz w:val="20"/>
          <w:szCs w:val="20"/>
          <w:color w:val="auto"/>
        </w:rPr>
      </w:pPr>
      <w:r>
        <w:rPr>
          <w:rFonts w:ascii="Times New Roman" w:cs="Times New Roman" w:eastAsia="Times New Roman" w:hAnsi="Times New Roman"/>
          <w:sz w:val="18"/>
          <w:szCs w:val="18"/>
          <w:color w:val="auto"/>
        </w:rPr>
        <w:t>proportions as their Ownership of the outstanding voting securities of the Company immediately prior to such sale, lease, license or other disposition; provided, however,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 or</w:t>
      </w:r>
    </w:p>
    <w:p>
      <w:pPr>
        <w:spacing w:after="0" w:line="176" w:lineRule="exact"/>
        <w:rPr>
          <w:sz w:val="20"/>
          <w:szCs w:val="20"/>
          <w:color w:val="auto"/>
        </w:rPr>
      </w:pPr>
    </w:p>
    <w:p>
      <w:pPr>
        <w:jc w:val="both"/>
        <w:ind w:left="460" w:right="320" w:firstLine="164"/>
        <w:spacing w:after="0" w:line="256" w:lineRule="auto"/>
        <w:tabs>
          <w:tab w:leader="none" w:pos="92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Notwithstanding the foregoing definition or any other provision of this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provided, however, that if no definition of Change in Control or any analogous term is set forth in such an individual written agreement, the foregoing definition will apply.</w:t>
      </w:r>
    </w:p>
    <w:p>
      <w:pPr>
        <w:spacing w:after="0" w:line="181" w:lineRule="exact"/>
        <w:rPr>
          <w:sz w:val="20"/>
          <w:szCs w:val="20"/>
          <w:color w:val="auto"/>
        </w:rPr>
      </w:pPr>
    </w:p>
    <w:p>
      <w:pPr>
        <w:ind w:left="360" w:hanging="213"/>
        <w:spacing w:after="0"/>
        <w:tabs>
          <w:tab w:leader="none" w:pos="3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“Code” </w:t>
      </w:r>
      <w:r>
        <w:rPr>
          <w:rFonts w:ascii="Times New Roman" w:cs="Times New Roman" w:eastAsia="Times New Roman" w:hAnsi="Times New Roman"/>
          <w:sz w:val="18"/>
          <w:szCs w:val="18"/>
          <w:color w:val="auto"/>
        </w:rPr>
        <w:t>means the Internal Revenue Code of 1986, as amended, including any applicable regulations and guidance thereunder.</w:t>
      </w:r>
    </w:p>
    <w:p>
      <w:pPr>
        <w:spacing w:after="0" w:line="217" w:lineRule="exact"/>
        <w:rPr>
          <w:rFonts w:ascii="Times New Roman" w:cs="Times New Roman" w:eastAsia="Times New Roman" w:hAnsi="Times New Roman"/>
          <w:sz w:val="18"/>
          <w:szCs w:val="18"/>
          <w:color w:val="auto"/>
        </w:rPr>
      </w:pPr>
    </w:p>
    <w:p>
      <w:pPr>
        <w:ind w:left="360" w:hanging="213"/>
        <w:spacing w:after="0"/>
        <w:tabs>
          <w:tab w:leader="none" w:pos="3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“Committee” </w:t>
      </w:r>
      <w:r>
        <w:rPr>
          <w:rFonts w:ascii="Times New Roman" w:cs="Times New Roman" w:eastAsia="Times New Roman" w:hAnsi="Times New Roman"/>
          <w:sz w:val="18"/>
          <w:szCs w:val="18"/>
          <w:color w:val="auto"/>
        </w:rPr>
        <w:t>means a committee of one or more Directors to whom authority has been delegated by the Board in accordance with Section 2(c).</w:t>
      </w:r>
    </w:p>
    <w:p>
      <w:pPr>
        <w:spacing w:after="0" w:line="217" w:lineRule="exact"/>
        <w:rPr>
          <w:rFonts w:ascii="Times New Roman" w:cs="Times New Roman" w:eastAsia="Times New Roman" w:hAnsi="Times New Roman"/>
          <w:sz w:val="18"/>
          <w:szCs w:val="18"/>
          <w:color w:val="auto"/>
        </w:rPr>
      </w:pPr>
    </w:p>
    <w:p>
      <w:pPr>
        <w:ind w:left="400" w:hanging="253"/>
        <w:spacing w:after="0"/>
        <w:tabs>
          <w:tab w:leader="none" w:pos="4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means, the common stock of the Company.</w:t>
      </w:r>
    </w:p>
    <w:p>
      <w:pPr>
        <w:spacing w:after="0" w:line="217" w:lineRule="exact"/>
        <w:rPr>
          <w:rFonts w:ascii="Times New Roman" w:cs="Times New Roman" w:eastAsia="Times New Roman" w:hAnsi="Times New Roman"/>
          <w:sz w:val="18"/>
          <w:szCs w:val="18"/>
          <w:color w:val="auto"/>
        </w:rPr>
      </w:pPr>
    </w:p>
    <w:p>
      <w:pPr>
        <w:ind w:left="360" w:hanging="213"/>
        <w:spacing w:after="0"/>
        <w:tabs>
          <w:tab w:leader="none" w:pos="3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“Company” </w:t>
      </w:r>
      <w:r>
        <w:rPr>
          <w:rFonts w:ascii="Times New Roman" w:cs="Times New Roman" w:eastAsia="Times New Roman" w:hAnsi="Times New Roman"/>
          <w:sz w:val="18"/>
          <w:szCs w:val="18"/>
          <w:color w:val="auto"/>
        </w:rPr>
        <w:t>means Zevra Therapeutics, Inc., a Delaware corporation.</w:t>
      </w:r>
    </w:p>
    <w:p>
      <w:pPr>
        <w:spacing w:after="0" w:line="217" w:lineRule="exact"/>
        <w:rPr>
          <w:rFonts w:ascii="Times New Roman" w:cs="Times New Roman" w:eastAsia="Times New Roman" w:hAnsi="Times New Roman"/>
          <w:sz w:val="18"/>
          <w:szCs w:val="18"/>
          <w:color w:val="auto"/>
        </w:rPr>
      </w:pPr>
    </w:p>
    <w:p>
      <w:pPr>
        <w:jc w:val="both"/>
        <w:ind w:left="140" w:firstLine="7"/>
        <w:spacing w:after="0" w:line="254" w:lineRule="auto"/>
        <w:tabs>
          <w:tab w:leader="none" w:pos="43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“Consultant” </w:t>
      </w:r>
      <w:r>
        <w:rPr>
          <w:rFonts w:ascii="Times New Roman" w:cs="Times New Roman" w:eastAsia="Times New Roman" w:hAnsi="Times New Roman"/>
          <w:sz w:val="18"/>
          <w:szCs w:val="18"/>
          <w:color w:val="auto"/>
        </w:rPr>
        <w:t>means any person, including an advisor, who is (i) engaged by the Company or an Affiliate to render consulting or advisory services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6" w:lineRule="exact"/>
        <w:rPr>
          <w:rFonts w:ascii="Times New Roman" w:cs="Times New Roman" w:eastAsia="Times New Roman" w:hAnsi="Times New Roman"/>
          <w:sz w:val="18"/>
          <w:szCs w:val="18"/>
          <w:color w:val="auto"/>
        </w:rPr>
      </w:pPr>
    </w:p>
    <w:p>
      <w:pPr>
        <w:jc w:val="both"/>
        <w:ind w:left="140" w:firstLine="7"/>
        <w:spacing w:after="0" w:line="250" w:lineRule="auto"/>
        <w:tabs>
          <w:tab w:leader="none" w:pos="40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“Continuous Service” </w:t>
      </w:r>
      <w:r>
        <w:rPr>
          <w:rFonts w:ascii="Times New Roman" w:cs="Times New Roman" w:eastAsia="Times New Roman" w:hAnsi="Times New Roman"/>
          <w:sz w:val="18"/>
          <w:szCs w:val="18"/>
          <w:color w:val="auto"/>
        </w:rPr>
        <w:t>means that the Participant’s service with the Company or an Affiliate, whether as an Employee, Director or Consultant, is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349250</wp:posOffset>
            </wp:positionV>
            <wp:extent cx="71348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82" w:name="page183"/>
    <w:bookmarkEnd w:id="182"/>
    <w:p>
      <w:pPr>
        <w:jc w:val="both"/>
        <w:ind w:left="134" w:right="100"/>
        <w:spacing w:after="0" w:line="255" w:lineRule="auto"/>
        <w:rPr>
          <w:sz w:val="20"/>
          <w:szCs w:val="20"/>
          <w:color w:val="auto"/>
        </w:rPr>
      </w:pPr>
      <w:r>
        <w:rPr>
          <w:rFonts w:ascii="Times New Roman" w:cs="Times New Roman" w:eastAsia="Times New Roman" w:hAnsi="Times New Roman"/>
          <w:sz w:val="18"/>
          <w:szCs w:val="18"/>
          <w:color w:val="auto"/>
        </w:rPr>
        <w:t>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176" w:lineRule="exact"/>
        <w:rPr>
          <w:sz w:val="20"/>
          <w:szCs w:val="20"/>
          <w:color w:val="auto"/>
        </w:rPr>
      </w:pPr>
    </w:p>
    <w:p>
      <w:pPr>
        <w:ind w:left="134" w:right="100" w:firstLine="7"/>
        <w:spacing w:after="0" w:line="278" w:lineRule="auto"/>
        <w:tabs>
          <w:tab w:leader="none" w:pos="39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“Corporate Transaction” </w:t>
      </w:r>
      <w:r>
        <w:rPr>
          <w:rFonts w:ascii="Times New Roman" w:cs="Times New Roman" w:eastAsia="Times New Roman" w:hAnsi="Times New Roman"/>
          <w:sz w:val="18"/>
          <w:szCs w:val="18"/>
          <w:color w:val="auto"/>
        </w:rPr>
        <w:t>means the consummation, in a single transaction or in a series of related transactions, of any one or more of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w:t>
      </w:r>
    </w:p>
    <w:p>
      <w:pPr>
        <w:spacing w:after="0" w:line="160" w:lineRule="exact"/>
        <w:rPr>
          <w:rFonts w:ascii="Times New Roman" w:cs="Times New Roman" w:eastAsia="Times New Roman" w:hAnsi="Times New Roman"/>
          <w:sz w:val="18"/>
          <w:szCs w:val="18"/>
          <w:color w:val="auto"/>
        </w:rPr>
      </w:pPr>
    </w:p>
    <w:p>
      <w:pPr>
        <w:ind w:left="294" w:right="260" w:firstLine="165"/>
        <w:spacing w:after="0" w:line="274" w:lineRule="auto"/>
        <w:tabs>
          <w:tab w:leader="none" w:pos="672"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63" w:lineRule="exact"/>
        <w:rPr>
          <w:rFonts w:ascii="Times New Roman" w:cs="Times New Roman" w:eastAsia="Times New Roman" w:hAnsi="Times New Roman"/>
          <w:sz w:val="18"/>
          <w:szCs w:val="18"/>
          <w:color w:val="auto"/>
        </w:rPr>
      </w:pPr>
    </w:p>
    <w:p>
      <w:pPr>
        <w:ind w:left="714" w:hanging="255"/>
        <w:spacing w:after="0"/>
        <w:tabs>
          <w:tab w:leader="none" w:pos="714"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17" w:lineRule="exact"/>
        <w:rPr>
          <w:rFonts w:ascii="Times New Roman" w:cs="Times New Roman" w:eastAsia="Times New Roman" w:hAnsi="Times New Roman"/>
          <w:sz w:val="18"/>
          <w:szCs w:val="18"/>
          <w:color w:val="auto"/>
        </w:rPr>
      </w:pPr>
    </w:p>
    <w:p>
      <w:pPr>
        <w:ind w:left="774" w:hanging="315"/>
        <w:spacing w:after="0"/>
        <w:tabs>
          <w:tab w:leader="none" w:pos="774"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17" w:lineRule="exact"/>
        <w:rPr>
          <w:rFonts w:ascii="Times New Roman" w:cs="Times New Roman" w:eastAsia="Times New Roman" w:hAnsi="Times New Roman"/>
          <w:sz w:val="18"/>
          <w:szCs w:val="18"/>
          <w:color w:val="auto"/>
        </w:rPr>
      </w:pPr>
    </w:p>
    <w:p>
      <w:pPr>
        <w:jc w:val="both"/>
        <w:ind w:left="294" w:right="260" w:firstLine="165"/>
        <w:spacing w:after="0" w:line="259" w:lineRule="auto"/>
        <w:tabs>
          <w:tab w:leader="none" w:pos="781"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3" w:lineRule="exact"/>
        <w:rPr>
          <w:rFonts w:ascii="Times New Roman" w:cs="Times New Roman" w:eastAsia="Times New Roman" w:hAnsi="Times New Roman"/>
          <w:sz w:val="18"/>
          <w:szCs w:val="18"/>
          <w:color w:val="auto"/>
        </w:rPr>
      </w:pPr>
    </w:p>
    <w:p>
      <w:pPr>
        <w:ind w:left="394" w:hanging="253"/>
        <w:spacing w:after="0"/>
        <w:tabs>
          <w:tab w:leader="none" w:pos="39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“Director” </w:t>
      </w:r>
      <w:r>
        <w:rPr>
          <w:rFonts w:ascii="Times New Roman" w:cs="Times New Roman" w:eastAsia="Times New Roman" w:hAnsi="Times New Roman"/>
          <w:sz w:val="18"/>
          <w:szCs w:val="18"/>
          <w:color w:val="auto"/>
        </w:rPr>
        <w:t>means a member of the Board.</w:t>
      </w:r>
    </w:p>
    <w:p>
      <w:pPr>
        <w:spacing w:after="0" w:line="217" w:lineRule="exact"/>
        <w:rPr>
          <w:rFonts w:ascii="Times New Roman" w:cs="Times New Roman" w:eastAsia="Times New Roman" w:hAnsi="Times New Roman"/>
          <w:sz w:val="18"/>
          <w:szCs w:val="18"/>
          <w:color w:val="auto"/>
        </w:rPr>
      </w:pPr>
    </w:p>
    <w:p>
      <w:pPr>
        <w:jc w:val="both"/>
        <w:ind w:left="-6" w:right="100" w:firstLine="6"/>
        <w:spacing w:after="0" w:line="256" w:lineRule="auto"/>
        <w:tabs>
          <w:tab w:leader="none" w:pos="24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“Disability” </w:t>
      </w:r>
      <w:r>
        <w:rPr>
          <w:rFonts w:ascii="Times New Roman" w:cs="Times New Roman" w:eastAsia="Times New Roman" w:hAnsi="Times New Roman"/>
          <w:sz w:val="18"/>
          <w:szCs w:val="18"/>
          <w:color w:val="auto"/>
        </w:rPr>
        <w:t>means, with respect to a Participant, the inability of such Participant to engage in any substantial gainful activity by reason of any medically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color w:val="auto"/>
        </w:rPr>
      </w:pPr>
    </w:p>
    <w:p>
      <w:pPr>
        <w:ind w:left="354" w:hanging="213"/>
        <w:spacing w:after="0"/>
        <w:tabs>
          <w:tab w:leader="none" w:pos="35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“Effective Date” </w:t>
      </w:r>
      <w:r>
        <w:rPr>
          <w:rFonts w:ascii="Times New Roman" w:cs="Times New Roman" w:eastAsia="Times New Roman" w:hAnsi="Times New Roman"/>
          <w:sz w:val="18"/>
          <w:szCs w:val="18"/>
          <w:color w:val="auto"/>
        </w:rPr>
        <w:t>means the effective date of this Plan document which is the date the Board approved the Plan.</w:t>
      </w:r>
    </w:p>
    <w:p>
      <w:pPr>
        <w:spacing w:after="0" w:line="217" w:lineRule="exact"/>
        <w:rPr>
          <w:sz w:val="20"/>
          <w:szCs w:val="20"/>
          <w:color w:val="auto"/>
        </w:rPr>
      </w:pPr>
    </w:p>
    <w:p>
      <w:pPr>
        <w:jc w:val="both"/>
        <w:ind w:left="-6" w:right="100" w:firstLine="6"/>
        <w:spacing w:after="0" w:line="262" w:lineRule="auto"/>
        <w:tabs>
          <w:tab w:leader="none" w:pos="25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“Eligible Individual” </w:t>
      </w:r>
      <w:r>
        <w:rPr>
          <w:rFonts w:ascii="Times New Roman" w:cs="Times New Roman" w:eastAsia="Times New Roman" w:hAnsi="Times New Roman"/>
          <w:sz w:val="18"/>
          <w:szCs w:val="18"/>
          <w:color w:val="auto"/>
        </w:rPr>
        <w:t>means any individual who was not previously an Employee or Director hired as a new Employee or rehired as an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a bona fide period of interruption of employment if such person is granted an Award as a material inducement to his or her entering into employment with the Company or a Subsidiary (within the meaning of the NASDAQ Rule 5635(c)(4)).</w:t>
      </w:r>
    </w:p>
    <w:p>
      <w:pPr>
        <w:spacing w:after="0" w:line="170" w:lineRule="exact"/>
        <w:rPr>
          <w:rFonts w:ascii="Times New Roman" w:cs="Times New Roman" w:eastAsia="Times New Roman" w:hAnsi="Times New Roman"/>
          <w:sz w:val="18"/>
          <w:szCs w:val="18"/>
          <w:color w:val="auto"/>
        </w:rPr>
      </w:pPr>
    </w:p>
    <w:p>
      <w:pPr>
        <w:ind w:left="-26" w:firstLine="167"/>
        <w:spacing w:after="0" w:line="278" w:lineRule="auto"/>
        <w:tabs>
          <w:tab w:leader="none" w:pos="34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“Employee” </w:t>
      </w:r>
      <w:r>
        <w:rPr>
          <w:rFonts w:ascii="Times New Roman" w:cs="Times New Roman" w:eastAsia="Times New Roman" w:hAnsi="Times New Roman"/>
          <w:sz w:val="18"/>
          <w:szCs w:val="18"/>
          <w:color w:val="auto"/>
        </w:rPr>
        <w:t>means any person employed by the Company or an Affiliate. However, service solely as a Director, or payment of a fee for such services, wil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cause a Director to be considered an “Employee” for purposes of the Plan.</w:t>
      </w:r>
    </w:p>
    <w:p>
      <w:pPr>
        <w:spacing w:after="0" w:line="156" w:lineRule="exact"/>
        <w:rPr>
          <w:rFonts w:ascii="Times New Roman" w:cs="Times New Roman" w:eastAsia="Times New Roman" w:hAnsi="Times New Roman"/>
          <w:sz w:val="18"/>
          <w:szCs w:val="18"/>
          <w:color w:val="auto"/>
        </w:rPr>
      </w:pPr>
    </w:p>
    <w:p>
      <w:pPr>
        <w:ind w:left="394" w:hanging="253"/>
        <w:spacing w:after="0"/>
        <w:tabs>
          <w:tab w:leader="none" w:pos="39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“Entity” </w:t>
      </w:r>
      <w:r>
        <w:rPr>
          <w:rFonts w:ascii="Times New Roman" w:cs="Times New Roman" w:eastAsia="Times New Roman" w:hAnsi="Times New Roman"/>
          <w:sz w:val="18"/>
          <w:szCs w:val="18"/>
          <w:color w:val="auto"/>
        </w:rPr>
        <w:t>means a corporation, partnership, limited liability company or other entity.</w:t>
      </w:r>
    </w:p>
    <w:p>
      <w:pPr>
        <w:spacing w:after="0" w:line="217" w:lineRule="exact"/>
        <w:rPr>
          <w:rFonts w:ascii="Times New Roman" w:cs="Times New Roman" w:eastAsia="Times New Roman" w:hAnsi="Times New Roman"/>
          <w:sz w:val="18"/>
          <w:szCs w:val="18"/>
          <w:color w:val="auto"/>
        </w:rPr>
      </w:pPr>
    </w:p>
    <w:p>
      <w:pPr>
        <w:ind w:left="394" w:hanging="253"/>
        <w:spacing w:after="0"/>
        <w:tabs>
          <w:tab w:leader="none" w:pos="39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71348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34"/>
          </w:cols>
          <w:pgMar w:left="326" w:top="572" w:right="239" w:bottom="1440" w:gutter="0" w:footer="0" w:header="0"/>
        </w:sectPr>
      </w:pPr>
    </w:p>
    <w:bookmarkStart w:id="183" w:name="page184"/>
    <w:bookmarkEnd w:id="183"/>
    <w:p>
      <w:pPr>
        <w:jc w:val="both"/>
        <w:ind w:left="-147" w:right="100" w:firstLine="165"/>
        <w:spacing w:after="0" w:line="251" w:lineRule="auto"/>
        <w:tabs>
          <w:tab w:leader="none" w:pos="30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“Exchange Act Person” </w:t>
      </w:r>
      <w:r>
        <w:rPr>
          <w:rFonts w:ascii="Times New Roman" w:cs="Times New Roman" w:eastAsia="Times New Roman" w:hAnsi="Times New Roman"/>
          <w:sz w:val="18"/>
          <w:szCs w:val="18"/>
          <w:color w:val="auto"/>
        </w:rPr>
        <w:t>means any natural person, Entity or “group” (within the meaning of Section 13(d) or 14(d) of the Exchange Act), except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0"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Market Value” </w:t>
      </w:r>
      <w:r>
        <w:rPr>
          <w:rFonts w:ascii="Times New Roman" w:cs="Times New Roman" w:eastAsia="Times New Roman" w:hAnsi="Times New Roman"/>
          <w:sz w:val="18"/>
          <w:szCs w:val="18"/>
          <w:color w:val="auto"/>
        </w:rPr>
        <w:t>means, as of any date, the value of the Common Stock determined as follows:</w:t>
      </w:r>
    </w:p>
    <w:p>
      <w:pPr>
        <w:spacing w:after="0" w:line="221" w:lineRule="exact"/>
        <w:rPr>
          <w:rFonts w:ascii="Times New Roman" w:cs="Times New Roman" w:eastAsia="Times New Roman" w:hAnsi="Times New Roman"/>
          <w:sz w:val="18"/>
          <w:szCs w:val="18"/>
          <w:color w:val="auto"/>
        </w:rPr>
      </w:pPr>
    </w:p>
    <w:p>
      <w:pPr>
        <w:ind w:left="153" w:right="260" w:firstLine="165"/>
        <w:spacing w:after="0" w:line="282" w:lineRule="auto"/>
        <w:tabs>
          <w:tab w:leader="none" w:pos="522" w:val="left"/>
        </w:tabs>
        <w:numPr>
          <w:ilvl w:val="2"/>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Common Stock is listed on any established stock exchange or traded on any established market, the Fair Market Value of a share of Common Stock will be, unless otherwise determined by the Board, </w:t>
      </w:r>
      <w:r>
        <w:rPr>
          <w:rFonts w:ascii="Times New Roman" w:cs="Times New Roman" w:eastAsia="Times New Roman" w:hAnsi="Times New Roman"/>
          <w:sz w:val="17"/>
          <w:szCs w:val="17"/>
          <w:b w:val="1"/>
          <w:bCs w:val="1"/>
          <w:u w:val="single" w:color="auto"/>
          <w:color w:val="auto"/>
        </w:rPr>
        <w:t>the closing sales price</w:t>
      </w:r>
      <w:r>
        <w:rPr>
          <w:rFonts w:ascii="Times New Roman" w:cs="Times New Roman" w:eastAsia="Times New Roman" w:hAnsi="Times New Roman"/>
          <w:sz w:val="17"/>
          <w:szCs w:val="17"/>
          <w:color w:val="auto"/>
        </w:rPr>
        <w:t xml:space="preserve"> for such stock as quoted on such exchange or market (or the exchange or market with the greatest volume of trading in the Common Stock) </w:t>
      </w:r>
      <w:r>
        <w:rPr>
          <w:rFonts w:ascii="Times New Roman" w:cs="Times New Roman" w:eastAsia="Times New Roman" w:hAnsi="Times New Roman"/>
          <w:sz w:val="17"/>
          <w:szCs w:val="17"/>
          <w:b w:val="1"/>
          <w:bCs w:val="1"/>
          <w:u w:val="single" w:color="auto"/>
          <w:color w:val="auto"/>
        </w:rPr>
        <w:t>on the date of determination</w:t>
      </w:r>
      <w:r>
        <w:rPr>
          <w:rFonts w:ascii="Times New Roman" w:cs="Times New Roman" w:eastAsia="Times New Roman" w:hAnsi="Times New Roman"/>
          <w:sz w:val="17"/>
          <w:szCs w:val="17"/>
          <w:color w:val="auto"/>
        </w:rPr>
        <w:t>, as reported in a source the Board deems reliable.</w:t>
      </w:r>
    </w:p>
    <w:p>
      <w:pPr>
        <w:spacing w:after="0" w:line="158" w:lineRule="exact"/>
        <w:rPr>
          <w:rFonts w:ascii="Times New Roman" w:cs="Times New Roman" w:eastAsia="Times New Roman" w:hAnsi="Times New Roman"/>
          <w:sz w:val="17"/>
          <w:szCs w:val="17"/>
          <w:color w:val="auto"/>
        </w:rPr>
      </w:pPr>
    </w:p>
    <w:p>
      <w:pPr>
        <w:ind w:left="573" w:hanging="255"/>
        <w:spacing w:after="0"/>
        <w:tabs>
          <w:tab w:leader="none" w:pos="573"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Board, if there is no closing sales price for the Common Stock on the date of determination, then the Fair</w:t>
      </w:r>
    </w:p>
    <w:p>
      <w:pPr>
        <w:spacing w:after="0" w:line="24" w:lineRule="exact"/>
        <w:rPr>
          <w:sz w:val="20"/>
          <w:szCs w:val="20"/>
          <w:color w:val="auto"/>
        </w:rPr>
      </w:pPr>
    </w:p>
    <w:p>
      <w:pPr>
        <w:ind w:left="153"/>
        <w:spacing w:after="0"/>
        <w:rPr>
          <w:sz w:val="20"/>
          <w:szCs w:val="20"/>
          <w:color w:val="auto"/>
        </w:rPr>
      </w:pPr>
      <w:r>
        <w:rPr>
          <w:rFonts w:ascii="Times New Roman" w:cs="Times New Roman" w:eastAsia="Times New Roman" w:hAnsi="Times New Roman"/>
          <w:sz w:val="18"/>
          <w:szCs w:val="18"/>
          <w:color w:val="auto"/>
        </w:rPr>
        <w:t>Market Value will be the closing selling price on the last preceding date for which such quotation exists.</w:t>
      </w:r>
    </w:p>
    <w:p>
      <w:pPr>
        <w:spacing w:after="0" w:line="198" w:lineRule="exact"/>
        <w:rPr>
          <w:sz w:val="20"/>
          <w:szCs w:val="20"/>
          <w:color w:val="auto"/>
        </w:rPr>
      </w:pPr>
    </w:p>
    <w:p>
      <w:pPr>
        <w:ind w:left="153" w:right="340" w:firstLine="165"/>
        <w:spacing w:after="0" w:line="274" w:lineRule="auto"/>
        <w:tabs>
          <w:tab w:leader="none" w:pos="62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and in a manner that complies with Sections 409A and 422 of the Code.</w:t>
      </w:r>
    </w:p>
    <w:p>
      <w:pPr>
        <w:spacing w:after="0" w:line="159"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“Incentive Stock Option” </w:t>
      </w:r>
      <w:r>
        <w:rPr>
          <w:rFonts w:ascii="Times New Roman" w:cs="Times New Roman" w:eastAsia="Times New Roman" w:hAnsi="Times New Roman"/>
          <w:sz w:val="18"/>
          <w:szCs w:val="18"/>
          <w:color w:val="auto"/>
        </w:rPr>
        <w:t>means an option intended to qualify as an “incentive stock option” within the meaning of Section 422 of the Code.</w:t>
      </w:r>
    </w:p>
    <w:p>
      <w:pPr>
        <w:spacing w:after="0" w:line="217" w:lineRule="exact"/>
        <w:rPr>
          <w:rFonts w:ascii="Times New Roman" w:cs="Times New Roman" w:eastAsia="Times New Roman" w:hAnsi="Times New Roman"/>
          <w:sz w:val="18"/>
          <w:szCs w:val="18"/>
          <w:color w:val="auto"/>
        </w:rPr>
      </w:pPr>
    </w:p>
    <w:p>
      <w:pPr>
        <w:ind w:left="-167" w:firstLine="167"/>
        <w:spacing w:after="0" w:line="278" w:lineRule="auto"/>
        <w:tabs>
          <w:tab w:leader="none" w:pos="23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“Independent Director” </w:t>
      </w:r>
      <w:r>
        <w:rPr>
          <w:rFonts w:ascii="Times New Roman" w:cs="Times New Roman" w:eastAsia="Times New Roman" w:hAnsi="Times New Roman"/>
          <w:sz w:val="18"/>
          <w:szCs w:val="18"/>
          <w:color w:val="auto"/>
        </w:rPr>
        <w:t>means a Director who qualifies as “independent” within the meaning of NASDAQ Rule 5635(c)(4), or any successor rule, as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rule may be amended from time to time.</w:t>
      </w:r>
    </w:p>
    <w:p>
      <w:pPr>
        <w:spacing w:after="0" w:line="156" w:lineRule="exact"/>
        <w:rPr>
          <w:sz w:val="20"/>
          <w:szCs w:val="20"/>
          <w:color w:val="auto"/>
        </w:rPr>
      </w:pPr>
    </w:p>
    <w:p>
      <w:pPr>
        <w:ind w:left="-167" w:right="120" w:firstLine="167"/>
        <w:spacing w:after="0" w:line="278" w:lineRule="auto"/>
        <w:tabs>
          <w:tab w:leader="none" w:pos="31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“NASDAQ Rule 5635(c)(4)” </w:t>
      </w:r>
      <w:r>
        <w:rPr>
          <w:rFonts w:ascii="Times New Roman" w:cs="Times New Roman" w:eastAsia="Times New Roman" w:hAnsi="Times New Roman"/>
          <w:sz w:val="18"/>
          <w:szCs w:val="18"/>
          <w:color w:val="auto"/>
        </w:rPr>
        <w:t>means NASDAQ Rule 5635(c)(4), or any successor rule, and all guidance and other interpretative authority thereunder,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rule, guidance and other authority may be amended from time to time.</w:t>
      </w:r>
    </w:p>
    <w:p>
      <w:pPr>
        <w:spacing w:after="0" w:line="156" w:lineRule="exact"/>
        <w:rPr>
          <w:rFonts w:ascii="Times New Roman" w:cs="Times New Roman" w:eastAsia="Times New Roman" w:hAnsi="Times New Roman"/>
          <w:sz w:val="18"/>
          <w:szCs w:val="18"/>
          <w:color w:val="auto"/>
        </w:rPr>
      </w:pPr>
    </w:p>
    <w:p>
      <w:pPr>
        <w:ind w:left="-167" w:right="80" w:firstLine="167"/>
        <w:spacing w:after="0" w:line="252" w:lineRule="auto"/>
        <w:tabs>
          <w:tab w:leader="none" w:pos="33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“Non-Employee Director” </w:t>
      </w:r>
      <w:r>
        <w:rPr>
          <w:rFonts w:ascii="Times New Roman" w:cs="Times New Roman" w:eastAsia="Times New Roman" w:hAnsi="Times New Roman"/>
          <w:sz w:val="18"/>
          <w:szCs w:val="18"/>
          <w:color w:val="auto"/>
        </w:rPr>
        <w:t>means a Director who either (i) is not a current employee or officer of the Company or an Affiliate, does not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(“Regulation S-K”)),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9"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“Nonstatutory Stock Option” </w:t>
      </w:r>
      <w:r>
        <w:rPr>
          <w:rFonts w:ascii="Times New Roman" w:cs="Times New Roman" w:eastAsia="Times New Roman" w:hAnsi="Times New Roman"/>
          <w:sz w:val="18"/>
          <w:szCs w:val="18"/>
          <w:color w:val="auto"/>
        </w:rPr>
        <w:t>means any Option granted pursuant to Section 5 of the Plan that does not qualify as an 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370840</wp:posOffset>
            </wp:positionV>
            <wp:extent cx="713486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93"/>
          </w:cols>
          <w:pgMar w:left="467" w:top="568" w:right="239" w:bottom="1440" w:gutter="0" w:footer="0" w:header="0"/>
        </w:sectPr>
      </w:pPr>
    </w:p>
    <w:bookmarkStart w:id="184" w:name="page185"/>
    <w:bookmarkEnd w:id="184"/>
    <w:p>
      <w:pPr>
        <w:ind w:left="474" w:hanging="333"/>
        <w:spacing w:after="0"/>
        <w:tabs>
          <w:tab w:leader="none" w:pos="47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“Officer” </w:t>
      </w:r>
      <w:r>
        <w:rPr>
          <w:rFonts w:ascii="Times New Roman" w:cs="Times New Roman" w:eastAsia="Times New Roman" w:hAnsi="Times New Roman"/>
          <w:sz w:val="18"/>
          <w:szCs w:val="18"/>
          <w:color w:val="auto"/>
        </w:rPr>
        <w:t>means a person who is an officer of the Company within the meaning of Section 16 of the Exchange Act.</w:t>
      </w:r>
    </w:p>
    <w:p>
      <w:pPr>
        <w:spacing w:after="0" w:line="217" w:lineRule="exact"/>
        <w:rPr>
          <w:rFonts w:ascii="Times New Roman" w:cs="Times New Roman" w:eastAsia="Times New Roman" w:hAnsi="Times New Roman"/>
          <w:sz w:val="18"/>
          <w:szCs w:val="18"/>
          <w:color w:val="auto"/>
        </w:rPr>
      </w:pPr>
    </w:p>
    <w:p>
      <w:pPr>
        <w:ind w:left="454" w:hanging="313"/>
        <w:spacing w:after="0"/>
        <w:tabs>
          <w:tab w:leader="none" w:pos="45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 </w:t>
      </w:r>
      <w:r>
        <w:rPr>
          <w:rFonts w:ascii="Times New Roman" w:cs="Times New Roman" w:eastAsia="Times New Roman" w:hAnsi="Times New Roman"/>
          <w:sz w:val="18"/>
          <w:szCs w:val="18"/>
          <w:color w:val="auto"/>
        </w:rPr>
        <w:t>means a Nonstatutory Stock Option to purchase shares of Common Stock granted pursuant to the Plan.</w:t>
      </w:r>
    </w:p>
    <w:p>
      <w:pPr>
        <w:spacing w:after="0" w:line="217" w:lineRule="exact"/>
        <w:rPr>
          <w:rFonts w:ascii="Times New Roman" w:cs="Times New Roman" w:eastAsia="Times New Roman" w:hAnsi="Times New Roman"/>
          <w:sz w:val="18"/>
          <w:szCs w:val="18"/>
          <w:color w:val="auto"/>
        </w:rPr>
      </w:pPr>
    </w:p>
    <w:p>
      <w:pPr>
        <w:ind w:left="-26" w:right="20" w:firstLine="167"/>
        <w:spacing w:after="0" w:line="278" w:lineRule="auto"/>
        <w:tabs>
          <w:tab w:leader="none" w:pos="40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 Agreement” </w:t>
      </w:r>
      <w:r>
        <w:rPr>
          <w:rFonts w:ascii="Times New Roman" w:cs="Times New Roman" w:eastAsia="Times New Roman" w:hAnsi="Times New Roman"/>
          <w:sz w:val="18"/>
          <w:szCs w:val="18"/>
          <w:color w:val="auto"/>
        </w:rPr>
        <w:t>means a written agreement between the Company and an Optionholder evidencing the terms and conditions of an Option grant. Eac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Agreement will be subject to the terms and conditions of the Plan.</w:t>
      </w:r>
    </w:p>
    <w:p>
      <w:pPr>
        <w:spacing w:after="0" w:line="156" w:lineRule="exact"/>
        <w:rPr>
          <w:rFonts w:ascii="Times New Roman" w:cs="Times New Roman" w:eastAsia="Times New Roman" w:hAnsi="Times New Roman"/>
          <w:sz w:val="18"/>
          <w:szCs w:val="18"/>
          <w:color w:val="auto"/>
        </w:rPr>
      </w:pPr>
    </w:p>
    <w:p>
      <w:pPr>
        <w:ind w:left="474" w:hanging="333"/>
        <w:spacing w:after="0"/>
        <w:tabs>
          <w:tab w:leader="none" w:pos="474"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“Optionholder” </w:t>
      </w:r>
      <w:r>
        <w:rPr>
          <w:rFonts w:ascii="Times New Roman" w:cs="Times New Roman" w:eastAsia="Times New Roman" w:hAnsi="Times New Roman"/>
          <w:sz w:val="17"/>
          <w:szCs w:val="17"/>
          <w:color w:val="auto"/>
        </w:rPr>
        <w:t>means a person to whom an Option is granted pursuant to the Plan or, if applicable, such other person who holds an outstanding Option.</w:t>
      </w:r>
    </w:p>
    <w:p>
      <w:pPr>
        <w:spacing w:after="0" w:line="228" w:lineRule="exact"/>
        <w:rPr>
          <w:rFonts w:ascii="Times New Roman" w:cs="Times New Roman" w:eastAsia="Times New Roman" w:hAnsi="Times New Roman"/>
          <w:sz w:val="17"/>
          <w:szCs w:val="17"/>
          <w:color w:val="auto"/>
        </w:rPr>
      </w:pPr>
    </w:p>
    <w:p>
      <w:pPr>
        <w:ind w:left="-26" w:firstLine="167"/>
        <w:spacing w:after="0" w:line="278" w:lineRule="auto"/>
        <w:tabs>
          <w:tab w:leader="none" w:pos="47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Stock Award” </w:t>
      </w:r>
      <w:r>
        <w:rPr>
          <w:rFonts w:ascii="Times New Roman" w:cs="Times New Roman" w:eastAsia="Times New Roman" w:hAnsi="Times New Roman"/>
          <w:sz w:val="18"/>
          <w:szCs w:val="18"/>
          <w:color w:val="auto"/>
        </w:rPr>
        <w:t>means an award based in whole or in part by reference to the Common Stock which is granted pursuant to the terms and condition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Section 6(d).</w:t>
      </w:r>
    </w:p>
    <w:p>
      <w:pPr>
        <w:spacing w:after="0" w:line="156" w:lineRule="exact"/>
        <w:rPr>
          <w:rFonts w:ascii="Times New Roman" w:cs="Times New Roman" w:eastAsia="Times New Roman" w:hAnsi="Times New Roman"/>
          <w:sz w:val="18"/>
          <w:szCs w:val="18"/>
          <w:color w:val="auto"/>
        </w:rPr>
      </w:pPr>
    </w:p>
    <w:p>
      <w:pPr>
        <w:ind w:left="-26" w:right="420" w:firstLine="167"/>
        <w:spacing w:after="0" w:line="278" w:lineRule="auto"/>
        <w:tabs>
          <w:tab w:leader="none" w:pos="39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Stock Award Agreement” </w:t>
      </w:r>
      <w:r>
        <w:rPr>
          <w:rFonts w:ascii="Times New Roman" w:cs="Times New Roman" w:eastAsia="Times New Roman" w:hAnsi="Times New Roman"/>
          <w:sz w:val="18"/>
          <w:szCs w:val="18"/>
          <w:color w:val="auto"/>
        </w:rPr>
        <w:t>means a written agreement between the Company and a holder of an Other Stock Award evidencing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an Other Stock Award grant. Each Other Stock Award Agreement will be subject to the terms and conditions of the Plan.</w:t>
      </w:r>
    </w:p>
    <w:p>
      <w:pPr>
        <w:spacing w:after="0" w:line="156" w:lineRule="exact"/>
        <w:rPr>
          <w:sz w:val="20"/>
          <w:szCs w:val="20"/>
          <w:color w:val="auto"/>
        </w:rPr>
      </w:pPr>
    </w:p>
    <w:p>
      <w:pPr>
        <w:jc w:val="both"/>
        <w:ind w:left="154" w:right="240" w:firstLine="5"/>
        <w:spacing w:after="0" w:line="262" w:lineRule="auto"/>
        <w:tabs>
          <w:tab w:leader="none" w:pos="41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“Own,” “Owned,” “Owner,” “Ownership” </w:t>
      </w:r>
      <w:r>
        <w:rPr>
          <w:rFonts w:ascii="Times New Roman" w:cs="Times New Roman" w:eastAsia="Times New Roman" w:hAnsi="Times New Roman"/>
          <w:sz w:val="18"/>
          <w:szCs w:val="18"/>
          <w:color w:val="auto"/>
        </w:rPr>
        <w:t>means a person or Entity will be deemed to “Own,” to have “Owned,” to be the “Owner” of, or to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sz w:val="20"/>
          <w:szCs w:val="20"/>
          <w:color w:val="auto"/>
        </w:rPr>
      </w:pPr>
    </w:p>
    <w:p>
      <w:pPr>
        <w:ind w:left="-26" w:right="20" w:firstLine="167"/>
        <w:spacing w:after="0" w:line="278" w:lineRule="auto"/>
        <w:tabs>
          <w:tab w:leader="none" w:pos="49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“Participant” </w:t>
      </w:r>
      <w:r>
        <w:rPr>
          <w:rFonts w:ascii="Times New Roman" w:cs="Times New Roman" w:eastAsia="Times New Roman" w:hAnsi="Times New Roman"/>
          <w:sz w:val="18"/>
          <w:szCs w:val="18"/>
          <w:color w:val="auto"/>
        </w:rPr>
        <w:t>means an Eligible Individual to whom an Award is granted pursuant to the Plan or, if applicable, such other person who holds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Stock Award.</w:t>
      </w:r>
    </w:p>
    <w:p>
      <w:pPr>
        <w:spacing w:after="0" w:line="156" w:lineRule="exact"/>
        <w:rPr>
          <w:rFonts w:ascii="Times New Roman" w:cs="Times New Roman" w:eastAsia="Times New Roman" w:hAnsi="Times New Roman"/>
          <w:sz w:val="18"/>
          <w:szCs w:val="18"/>
          <w:color w:val="auto"/>
        </w:rPr>
      </w:pPr>
    </w:p>
    <w:p>
      <w:pPr>
        <w:ind w:left="394" w:hanging="253"/>
        <w:spacing w:after="0"/>
        <w:tabs>
          <w:tab w:leader="none" w:pos="39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“Performance Cash Award” </w:t>
      </w:r>
      <w:r>
        <w:rPr>
          <w:rFonts w:ascii="Times New Roman" w:cs="Times New Roman" w:eastAsia="Times New Roman" w:hAnsi="Times New Roman"/>
          <w:sz w:val="18"/>
          <w:szCs w:val="18"/>
          <w:color w:val="auto"/>
        </w:rPr>
        <w:t>means an award of cash granted pursuant to the terms and conditions of Section 6(c)(ii).</w:t>
      </w:r>
    </w:p>
    <w:p>
      <w:pPr>
        <w:spacing w:after="0" w:line="217" w:lineRule="exact"/>
        <w:rPr>
          <w:rFonts w:ascii="Times New Roman" w:cs="Times New Roman" w:eastAsia="Times New Roman" w:hAnsi="Times New Roman"/>
          <w:sz w:val="18"/>
          <w:szCs w:val="18"/>
          <w:color w:val="auto"/>
        </w:rPr>
      </w:pPr>
    </w:p>
    <w:p>
      <w:pPr>
        <w:jc w:val="both"/>
        <w:ind w:left="-6" w:right="80" w:firstLine="165"/>
        <w:spacing w:after="0" w:line="262" w:lineRule="auto"/>
        <w:tabs>
          <w:tab w:leader="none" w:pos="616"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“Performance Criteria” </w:t>
      </w:r>
      <w:r>
        <w:rPr>
          <w:rFonts w:ascii="Times New Roman" w:cs="Times New Roman" w:eastAsia="Times New Roman" w:hAnsi="Times New Roman"/>
          <w:sz w:val="17"/>
          <w:szCs w:val="17"/>
          <w:color w:val="auto"/>
        </w:rPr>
        <w:t>means the one or more criteria that the Board will select for purposes of establishing the Performance Goals for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Performance Period. The Performance Criteria that will be used to establish such Performance Goals may be based on any one of, or combination of, the following as determined by the Board: (i) earnings (including earnings per share and net earnings); (ii) earnings before interest, taxes and depreciation; (iii) earnings before interest, taxes, depreciation and amortization; (iv) earnings before interest, taxes, depreciation, amortization and legal settlements; (v) earnings before interest, taxes, depreciation, amortization, legal settlements and other income (expense); (vi) earnings before interest, taxes, depreciation, amortization, legal settlements, other income (expense) and stock-based compensation; (vii) earnings before interest, taxes, depreciation, amortization, legal settlements, other income (expense), stock-based compensation and changes in deferred revenue; (viii) total stockholder return; (ix) return on equity or average stockholder’s equity; (x) return on assets, investment, or capital employed; (xi) stock price; (xii) margin (including gross margin); (xiii) income (before or after taxes); (xiv) operating income; (xv) operating income after taxes; (xvi) pre-tax profit; (xvii) operating cash flow; (xviii) sales or revenue targets; (xix) increases in revenue or product revenue; (xx) expenses and cost reduction goals; (xxi) improvement in or attainment of working capital levels; (xxii) economic value added (or an equivalent metric); (xxiii) market share; (xxiv) cash flow; (xxv) cash flow per share; (xxvi) share price performance; (xxvii) debt reduction;</w:t>
      </w:r>
    </w:p>
    <w:p>
      <w:pPr>
        <w:spacing w:after="0" w:line="7" w:lineRule="exact"/>
        <w:rPr>
          <w:rFonts w:ascii="Times New Roman" w:cs="Times New Roman" w:eastAsia="Times New Roman" w:hAnsi="Times New Roman"/>
          <w:sz w:val="17"/>
          <w:szCs w:val="17"/>
          <w:color w:val="auto"/>
        </w:rPr>
      </w:pPr>
    </w:p>
    <w:p>
      <w:pPr>
        <w:ind w:left="-6" w:right="80" w:firstLine="6"/>
        <w:spacing w:after="0" w:line="251" w:lineRule="auto"/>
        <w:tabs>
          <w:tab w:leader="none" w:pos="58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or completion of projects or processes; (xxix) customer satisfaction; (xxx) stockholders’ equity; (xxxi) capital expenditures; (xxxii) debt levels; (xxxiii) operating profit or net operating profit; (xxxiv) workforce diversity; (xxxv) growth of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713486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14"/>
          </w:cols>
          <w:pgMar w:left="326" w:top="568" w:right="259" w:bottom="1440" w:gutter="0" w:footer="0" w:header="0"/>
        </w:sectPr>
      </w:pPr>
    </w:p>
    <w:bookmarkStart w:id="185" w:name="page186"/>
    <w:bookmarkEnd w:id="185"/>
    <w:p>
      <w:pPr>
        <w:jc w:val="both"/>
        <w:spacing w:after="0" w:line="263" w:lineRule="auto"/>
        <w:rPr>
          <w:sz w:val="20"/>
          <w:szCs w:val="20"/>
          <w:color w:val="auto"/>
        </w:rPr>
      </w:pPr>
      <w:r>
        <w:rPr>
          <w:rFonts w:ascii="Times New Roman" w:cs="Times New Roman" w:eastAsia="Times New Roman" w:hAnsi="Times New Roman"/>
          <w:sz w:val="17"/>
          <w:szCs w:val="17"/>
          <w:color w:val="auto"/>
        </w:rPr>
        <w:t>or operating income; (xxxvi) billings; (xxxvii) bookings; (xxxviii) the number of customers, including but not limited to customers users; (xxxix) employee retention; (xl) pre-clinical development related compound goals; (xli) financing; (xlii) regulatory milestones, including approval of a compound; (xliii) stockholder liquidity; (xliv) corporate governance and compliance; (xlv) product commercialization; (xlvi) intellectual property; (xlvii) personnel matters; (xlviii) progress of internal research or clinical programs; (xlix) progress of partnered programs; (l) implementation or completion of projects and processes; (li) partner satisfaction; (lii) budget management; (liii) clinical achievements; (liv) completing phases of a clinical study (including the treatment phase); (lv) announcing or presenting preliminary or final data from clinical studies; in each case, whether on particular timelines or generally; (lvi) timely completion of clinical trials; (lvii) submission of INDs and NDAs and other regulatory achievements; (lviii) partner or collaborator achievements; (lix) internal controls, including those related to the Sarbanes-Oxley Act of 2002; (lx) research progress, including the development of programs; (lxi) investor relations, analysts and communication; (lxii) manufacturing achievements (including obtaining particular yields from manufacturing runs and other measurable objectives related to process development activities); (lxiii) strategic partnerships or transactions (including in-licensing and out-licensing of intellectual property; (lxiv) establishing relationships with commercial entities with respect to the marketing, distribution and sale of the Company’s products (including with group purchasing organizations, distributors and other vendors); (lxv) supply chain achievements (including establishing relationships with manufacturers or suppliers of active pharmaceutical ingredients and other component materials and manufacturers of the Company’s products); (lxvi) co-development, co-marketing, profit sharing, joint venture or other similar arrangements; and (lxvii) and other measures of performance selected by the Board.</w:t>
      </w:r>
    </w:p>
    <w:p>
      <w:pPr>
        <w:spacing w:after="0" w:line="177" w:lineRule="exact"/>
        <w:rPr>
          <w:sz w:val="20"/>
          <w:szCs w:val="20"/>
          <w:color w:val="auto"/>
        </w:rPr>
      </w:pPr>
    </w:p>
    <w:p>
      <w:pPr>
        <w:jc w:val="both"/>
        <w:ind w:firstLine="7"/>
        <w:spacing w:after="0" w:line="247" w:lineRule="auto"/>
        <w:tabs>
          <w:tab w:leader="none" w:pos="35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“Performance Goals” </w:t>
      </w:r>
      <w:r>
        <w:rPr>
          <w:rFonts w:ascii="Times New Roman" w:cs="Times New Roman" w:eastAsia="Times New Roman" w:hAnsi="Times New Roman"/>
          <w:sz w:val="18"/>
          <w:szCs w:val="18"/>
          <w:color w:val="auto"/>
        </w:rPr>
        <w:t>means, for a Performance Period, the one or more goals established by the Board for the Performance Period based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“extraordinary items”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(12) to exclude the effects of the timing of acceptance for review and/or approval of submissions to the Food and Drug Administration or any other regulatory body and (13) to exclude the effect of any other unusual, nonrecurring gain or loss or other extraordinary item.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354330</wp:posOffset>
            </wp:positionV>
            <wp:extent cx="71348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00"/>
          </w:cols>
          <w:pgMar w:left="460" w:top="572" w:right="339" w:bottom="1440" w:gutter="0" w:footer="0" w:header="0"/>
        </w:sectPr>
      </w:pPr>
    </w:p>
    <w:bookmarkStart w:id="186" w:name="page187"/>
    <w:bookmarkEnd w:id="186"/>
    <w:p>
      <w:pPr>
        <w:jc w:val="both"/>
        <w:ind w:left="-26" w:firstLine="167"/>
        <w:spacing w:after="0" w:line="262" w:lineRule="auto"/>
        <w:tabs>
          <w:tab w:leader="none" w:pos="47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“Performance Period” </w:t>
      </w:r>
      <w:r>
        <w:rPr>
          <w:rFonts w:ascii="Times New Roman" w:cs="Times New Roman" w:eastAsia="Times New Roman" w:hAnsi="Times New Roman"/>
          <w:sz w:val="18"/>
          <w:szCs w:val="18"/>
          <w:color w:val="auto"/>
        </w:rPr>
        <w:t>means the period of time selected by the Board over which the attainment of one or more Performance Goals will be measured fo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purpose of determining a Participant’s right to and the payment of a Stock Award or a Performance Cash Award. Performance Periods may be of varying and overlapping duration, at the sole discretion of the Board.</w:t>
      </w:r>
    </w:p>
    <w:p>
      <w:pPr>
        <w:spacing w:after="0" w:line="170" w:lineRule="exact"/>
        <w:rPr>
          <w:rFonts w:ascii="Times New Roman" w:cs="Times New Roman" w:eastAsia="Times New Roman" w:hAnsi="Times New Roman"/>
          <w:sz w:val="18"/>
          <w:szCs w:val="18"/>
          <w:color w:val="auto"/>
        </w:rPr>
      </w:pPr>
    </w:p>
    <w:p>
      <w:pPr>
        <w:ind w:left="474" w:hanging="333"/>
        <w:spacing w:after="0"/>
        <w:tabs>
          <w:tab w:leader="none" w:pos="47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“Performance Stock Award” </w:t>
      </w:r>
      <w:r>
        <w:rPr>
          <w:rFonts w:ascii="Times New Roman" w:cs="Times New Roman" w:eastAsia="Times New Roman" w:hAnsi="Times New Roman"/>
          <w:sz w:val="18"/>
          <w:szCs w:val="18"/>
          <w:color w:val="auto"/>
        </w:rPr>
        <w:t>means a Stock Award granted under the terms and conditions of Section 6(c)(i).</w:t>
      </w:r>
    </w:p>
    <w:p>
      <w:pPr>
        <w:spacing w:after="0" w:line="217" w:lineRule="exact"/>
        <w:rPr>
          <w:rFonts w:ascii="Times New Roman" w:cs="Times New Roman" w:eastAsia="Times New Roman" w:hAnsi="Times New Roman"/>
          <w:sz w:val="18"/>
          <w:szCs w:val="18"/>
          <w:color w:val="auto"/>
        </w:rPr>
      </w:pPr>
    </w:p>
    <w:p>
      <w:pPr>
        <w:ind w:left="474" w:hanging="333"/>
        <w:spacing w:after="0"/>
        <w:tabs>
          <w:tab w:leader="none" w:pos="47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“Plan” </w:t>
      </w:r>
      <w:r>
        <w:rPr>
          <w:rFonts w:ascii="Times New Roman" w:cs="Times New Roman" w:eastAsia="Times New Roman" w:hAnsi="Times New Roman"/>
          <w:sz w:val="18"/>
          <w:szCs w:val="18"/>
          <w:color w:val="auto"/>
        </w:rPr>
        <w:t>means this 2023 Employment Inducement Award Plan, as it may be amended and/or restated from time to time.</w:t>
      </w:r>
    </w:p>
    <w:p>
      <w:pPr>
        <w:spacing w:after="0" w:line="217" w:lineRule="exact"/>
        <w:rPr>
          <w:rFonts w:ascii="Times New Roman" w:cs="Times New Roman" w:eastAsia="Times New Roman" w:hAnsi="Times New Roman"/>
          <w:sz w:val="18"/>
          <w:szCs w:val="18"/>
          <w:color w:val="auto"/>
        </w:rPr>
      </w:pPr>
    </w:p>
    <w:p>
      <w:pPr>
        <w:ind w:left="414" w:hanging="273"/>
        <w:spacing w:after="0"/>
        <w:tabs>
          <w:tab w:leader="none" w:pos="41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“Restricted Stock Award” </w:t>
      </w:r>
      <w:r>
        <w:rPr>
          <w:rFonts w:ascii="Times New Roman" w:cs="Times New Roman" w:eastAsia="Times New Roman" w:hAnsi="Times New Roman"/>
          <w:sz w:val="18"/>
          <w:szCs w:val="18"/>
          <w:color w:val="auto"/>
        </w:rPr>
        <w:t>means an award of shares of Common Stock which is granted pursuant to the terms and conditions of Section 6(a).</w:t>
      </w:r>
    </w:p>
    <w:p>
      <w:pPr>
        <w:spacing w:after="0" w:line="217" w:lineRule="exact"/>
        <w:rPr>
          <w:rFonts w:ascii="Times New Roman" w:cs="Times New Roman" w:eastAsia="Times New Roman" w:hAnsi="Times New Roman"/>
          <w:sz w:val="18"/>
          <w:szCs w:val="18"/>
          <w:color w:val="auto"/>
        </w:rPr>
      </w:pPr>
    </w:p>
    <w:p>
      <w:pPr>
        <w:ind w:left="-6" w:right="120" w:firstLine="6"/>
        <w:spacing w:after="0" w:line="278" w:lineRule="auto"/>
        <w:tabs>
          <w:tab w:leader="none" w:pos="2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“Restricted Stock Award Agreement” </w:t>
      </w:r>
      <w:r>
        <w:rPr>
          <w:rFonts w:ascii="Times New Roman" w:cs="Times New Roman" w:eastAsia="Times New Roman" w:hAnsi="Times New Roman"/>
          <w:sz w:val="18"/>
          <w:szCs w:val="18"/>
          <w:color w:val="auto"/>
        </w:rPr>
        <w:t>means a written agreement between the Company and a holder of a Restricted Stock Award evidencing the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conditions of a Restricted Stock Award grant. Each Restricted Stock Award Agreement will be subject to the terms and conditions of the Plan.</w:t>
      </w:r>
    </w:p>
    <w:p>
      <w:pPr>
        <w:spacing w:after="0" w:line="156" w:lineRule="exact"/>
        <w:rPr>
          <w:rFonts w:ascii="Times New Roman" w:cs="Times New Roman" w:eastAsia="Times New Roman" w:hAnsi="Times New Roman"/>
          <w:sz w:val="18"/>
          <w:szCs w:val="18"/>
          <w:color w:val="auto"/>
        </w:rPr>
      </w:pPr>
    </w:p>
    <w:p>
      <w:pPr>
        <w:ind w:left="254" w:hanging="254"/>
        <w:spacing w:after="0"/>
        <w:tabs>
          <w:tab w:leader="none" w:pos="25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“Restricted Stock Unit Award” </w:t>
      </w:r>
      <w:r>
        <w:rPr>
          <w:rFonts w:ascii="Times New Roman" w:cs="Times New Roman" w:eastAsia="Times New Roman" w:hAnsi="Times New Roman"/>
          <w:sz w:val="18"/>
          <w:szCs w:val="18"/>
          <w:color w:val="auto"/>
        </w:rPr>
        <w:t>means a right to receive shares of Common Stock which is granted pursuant to the terms and conditions of Section 6(b).</w:t>
      </w:r>
    </w:p>
    <w:p>
      <w:pPr>
        <w:spacing w:after="0" w:line="217" w:lineRule="exact"/>
        <w:rPr>
          <w:rFonts w:ascii="Times New Roman" w:cs="Times New Roman" w:eastAsia="Times New Roman" w:hAnsi="Times New Roman"/>
          <w:sz w:val="18"/>
          <w:szCs w:val="18"/>
          <w:color w:val="auto"/>
        </w:rPr>
      </w:pPr>
    </w:p>
    <w:p>
      <w:pPr>
        <w:jc w:val="both"/>
        <w:ind w:left="-6" w:right="100" w:firstLine="6"/>
        <w:spacing w:after="0" w:line="262" w:lineRule="auto"/>
        <w:tabs>
          <w:tab w:leader="none" w:pos="33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“Restricted Stock Unit Award Agreement” </w:t>
      </w:r>
      <w:r>
        <w:rPr>
          <w:rFonts w:ascii="Times New Roman" w:cs="Times New Roman" w:eastAsia="Times New Roman" w:hAnsi="Times New Roman"/>
          <w:sz w:val="18"/>
          <w:szCs w:val="18"/>
          <w:color w:val="auto"/>
        </w:rPr>
        <w:t>means a written agreement between the Company and a holder of a Restricted Stock Unit Award evidencing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terms and conditions of a Restricted Stock Unit Award grant. Each Restricted Stock Unit Award Agreement will be subject to the terms and conditions of the Plan.</w:t>
      </w:r>
    </w:p>
    <w:p>
      <w:pPr>
        <w:spacing w:after="0" w:line="170" w:lineRule="exact"/>
        <w:rPr>
          <w:rFonts w:ascii="Times New Roman" w:cs="Times New Roman" w:eastAsia="Times New Roman" w:hAnsi="Times New Roman"/>
          <w:sz w:val="18"/>
          <w:szCs w:val="18"/>
          <w:color w:val="auto"/>
        </w:rPr>
      </w:pPr>
    </w:p>
    <w:p>
      <w:pPr>
        <w:ind w:left="334" w:hanging="334"/>
        <w:spacing w:after="0"/>
        <w:tabs>
          <w:tab w:leader="none" w:pos="33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“Rule 16b-3” </w:t>
      </w:r>
      <w:r>
        <w:rPr>
          <w:rFonts w:ascii="Times New Roman" w:cs="Times New Roman" w:eastAsia="Times New Roman" w:hAnsi="Times New Roman"/>
          <w:sz w:val="18"/>
          <w:szCs w:val="18"/>
          <w:color w:val="auto"/>
        </w:rPr>
        <w:t>means Rule 16b-3 promulgated under the Exchange Act or any successor to Rule 16b-3, as in effect from time to time.</w:t>
      </w:r>
    </w:p>
    <w:p>
      <w:pPr>
        <w:spacing w:after="0" w:line="217" w:lineRule="exact"/>
        <w:rPr>
          <w:rFonts w:ascii="Times New Roman" w:cs="Times New Roman" w:eastAsia="Times New Roman" w:hAnsi="Times New Roman"/>
          <w:sz w:val="18"/>
          <w:szCs w:val="18"/>
          <w:color w:val="auto"/>
        </w:rPr>
      </w:pPr>
    </w:p>
    <w:p>
      <w:pPr>
        <w:ind w:left="414" w:hanging="414"/>
        <w:spacing w:after="0"/>
        <w:tabs>
          <w:tab w:leader="none" w:pos="41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217" w:lineRule="exact"/>
        <w:rPr>
          <w:rFonts w:ascii="Times New Roman" w:cs="Times New Roman" w:eastAsia="Times New Roman" w:hAnsi="Times New Roman"/>
          <w:sz w:val="18"/>
          <w:szCs w:val="18"/>
          <w:color w:val="auto"/>
        </w:rPr>
      </w:pPr>
    </w:p>
    <w:p>
      <w:pPr>
        <w:ind w:left="-66" w:firstLine="66"/>
        <w:spacing w:after="0" w:line="278" w:lineRule="auto"/>
        <w:tabs>
          <w:tab w:leader="none" w:pos="33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 Appreciation Right” </w:t>
      </w:r>
      <w:r>
        <w:rPr>
          <w:rFonts w:ascii="Times New Roman" w:cs="Times New Roman" w:eastAsia="Times New Roman" w:hAnsi="Times New Roman"/>
          <w:sz w:val="18"/>
          <w:szCs w:val="18"/>
          <w:color w:val="auto"/>
        </w:rPr>
        <w:t>or “SAR” means a right to receive the appreciation on Common Stock that is granted pursuant to the terms and conditions 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ection 5.</w:t>
      </w:r>
    </w:p>
    <w:p>
      <w:pPr>
        <w:spacing w:after="0" w:line="156" w:lineRule="exact"/>
        <w:rPr>
          <w:rFonts w:ascii="Times New Roman" w:cs="Times New Roman" w:eastAsia="Times New Roman" w:hAnsi="Times New Roman"/>
          <w:sz w:val="18"/>
          <w:szCs w:val="18"/>
          <w:color w:val="auto"/>
        </w:rPr>
      </w:pPr>
    </w:p>
    <w:p>
      <w:pPr>
        <w:ind w:left="-6" w:right="100" w:firstLine="6"/>
        <w:spacing w:after="0" w:line="309" w:lineRule="auto"/>
        <w:tabs>
          <w:tab w:leader="none" w:pos="346"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“Stock Appreciation Right Agreement” </w:t>
      </w:r>
      <w:r>
        <w:rPr>
          <w:rFonts w:ascii="Times New Roman" w:cs="Times New Roman" w:eastAsia="Times New Roman" w:hAnsi="Times New Roman"/>
          <w:sz w:val="17"/>
          <w:szCs w:val="17"/>
          <w:color w:val="auto"/>
        </w:rPr>
        <w:t>means a written agreement between the Company and a holder of a Stock Appreciation Right evidencing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terms and conditions of a Stock Appreciation Right grant. Each Stock Appreciation Right Agreement will be subject to the terms and conditions of the Plan.</w:t>
      </w:r>
    </w:p>
    <w:p>
      <w:pPr>
        <w:spacing w:after="0" w:line="132" w:lineRule="exact"/>
        <w:rPr>
          <w:rFonts w:ascii="Times New Roman" w:cs="Times New Roman" w:eastAsia="Times New Roman" w:hAnsi="Times New Roman"/>
          <w:sz w:val="17"/>
          <w:szCs w:val="17"/>
          <w:color w:val="auto"/>
        </w:rPr>
      </w:pPr>
    </w:p>
    <w:p>
      <w:pPr>
        <w:ind w:left="-6" w:right="100" w:firstLine="6"/>
        <w:spacing w:after="0" w:line="278" w:lineRule="auto"/>
        <w:tabs>
          <w:tab w:leader="none" w:pos="31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 Award” </w:t>
      </w:r>
      <w:r>
        <w:rPr>
          <w:rFonts w:ascii="Times New Roman" w:cs="Times New Roman" w:eastAsia="Times New Roman" w:hAnsi="Times New Roman"/>
          <w:sz w:val="18"/>
          <w:szCs w:val="18"/>
          <w:color w:val="auto"/>
        </w:rPr>
        <w:t>means any right to receive Common Stock granted under the Plan, including a Nonstatutory Stock Option, a Restricted Stock Award,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Unit Award, a Stock Appreciation Right, a Performance Stock Award or any Other Stock Award.</w:t>
      </w:r>
    </w:p>
    <w:p>
      <w:pPr>
        <w:spacing w:after="0" w:line="156" w:lineRule="exact"/>
        <w:rPr>
          <w:sz w:val="20"/>
          <w:szCs w:val="20"/>
          <w:color w:val="auto"/>
        </w:rPr>
      </w:pPr>
    </w:p>
    <w:p>
      <w:pPr>
        <w:ind w:left="-66" w:right="40" w:firstLine="66"/>
        <w:spacing w:after="0" w:line="278" w:lineRule="auto"/>
        <w:tabs>
          <w:tab w:leader="none" w:pos="41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 Award Agreement” </w:t>
      </w:r>
      <w:r>
        <w:rPr>
          <w:rFonts w:ascii="Times New Roman" w:cs="Times New Roman" w:eastAsia="Times New Roman" w:hAnsi="Times New Roman"/>
          <w:sz w:val="18"/>
          <w:szCs w:val="18"/>
          <w:color w:val="auto"/>
        </w:rPr>
        <w:t>means a written agreement between the Company and a Participant evidencing the terms and conditions of a Stock Awar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rant. Each Stock Award Agreement will be subject to the terms and conditions of the Plan.</w:t>
      </w:r>
    </w:p>
    <w:p>
      <w:pPr>
        <w:spacing w:after="0" w:line="156" w:lineRule="exact"/>
        <w:rPr>
          <w:rFonts w:ascii="Times New Roman" w:cs="Times New Roman" w:eastAsia="Times New Roman" w:hAnsi="Times New Roman"/>
          <w:sz w:val="18"/>
          <w:szCs w:val="18"/>
          <w:color w:val="auto"/>
        </w:rPr>
      </w:pPr>
    </w:p>
    <w:p>
      <w:pPr>
        <w:jc w:val="both"/>
        <w:ind w:left="-6" w:right="100" w:firstLine="6"/>
        <w:spacing w:after="0" w:line="254" w:lineRule="auto"/>
        <w:tabs>
          <w:tab w:leader="none" w:pos="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“Subsidiary” </w:t>
      </w:r>
      <w:r>
        <w:rPr>
          <w:rFonts w:ascii="Times New Roman" w:cs="Times New Roman" w:eastAsia="Times New Roman" w:hAnsi="Times New Roman"/>
          <w:sz w:val="18"/>
          <w:szCs w:val="18"/>
          <w:color w:val="auto"/>
        </w:rPr>
        <w:t>means, with respect to the Company, (i) any corporation of which more than 50% of the outstanding capital stock having ordinary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480060</wp:posOffset>
            </wp:positionV>
            <wp:extent cx="71348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34"/>
          </w:cols>
          <w:pgMar w:left="326" w:top="568" w:right="239" w:bottom="1440" w:gutter="0" w:footer="0" w:header="0"/>
        </w:sectPr>
      </w:pPr>
    </w:p>
    <w:bookmarkStart w:id="187" w:name="page188"/>
    <w:bookmarkEnd w:id="18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(2023 EMPLOYMENT INDUCEMENT AWARD PLAN)</w:t>
      </w:r>
    </w:p>
    <w:p>
      <w:pPr>
        <w:spacing w:after="0" w:line="194" w:lineRule="exact"/>
        <w:rPr>
          <w:sz w:val="20"/>
          <w:szCs w:val="20"/>
          <w:color w:val="auto"/>
        </w:rPr>
      </w:pPr>
    </w:p>
    <w:p>
      <w:pPr>
        <w:ind w:left="140"/>
        <w:spacing w:after="0" w:line="254" w:lineRule="auto"/>
        <w:rPr>
          <w:sz w:val="20"/>
          <w:szCs w:val="20"/>
          <w:color w:val="auto"/>
        </w:rPr>
      </w:pPr>
      <w:r>
        <w:rPr>
          <w:rFonts w:ascii="Times New Roman" w:cs="Times New Roman" w:eastAsia="Times New Roman" w:hAnsi="Times New Roman"/>
          <w:sz w:val="18"/>
          <w:szCs w:val="18"/>
          <w:color w:val="auto"/>
        </w:rPr>
        <w:t>.Zevra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2023 Employment Inducement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Optionholder an option to purchase the number of shares of the Company’s Common Stock set forth below. This option is subject to all of the terms and conditions as set forth in this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notice and the Plan, the terms of the Plan will control.</w:t>
      </w:r>
    </w:p>
    <w:p>
      <w:pPr>
        <w:spacing w:after="0" w:line="29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Optionholder:</w:t>
      </w:r>
      <w:r>
        <w:rPr>
          <w:rFonts w:ascii="Times New Roman" w:cs="Times New Roman" w:eastAsia="Times New Roman" w:hAnsi="Times New Roman"/>
          <w:sz w:val="29"/>
          <w:szCs w:val="29"/>
          <w:u w:val="single" w:color="auto"/>
          <w:color w:val="auto"/>
          <w:vertAlign w:val="superscript"/>
        </w:rPr>
        <w:t>[1]</w:t>
      </w:r>
    </w:p>
    <w:p>
      <w:pPr>
        <w:ind w:left="1800"/>
        <w:spacing w:after="0"/>
        <w:rPr>
          <w:sz w:val="20"/>
          <w:szCs w:val="20"/>
          <w:color w:val="auto"/>
        </w:rPr>
      </w:pPr>
      <w:r>
        <w:rPr>
          <w:rFonts w:ascii="Times New Roman" w:cs="Times New Roman" w:eastAsia="Times New Roman" w:hAnsi="Times New Roman"/>
          <w:sz w:val="18"/>
          <w:szCs w:val="18"/>
          <w:color w:val="auto"/>
        </w:rPr>
        <w:t>Date of Grant:</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Number of Shares Subject to Option:</w:t>
      </w:r>
    </w:p>
    <w:p>
      <w:pPr>
        <w:spacing w:after="0" w:line="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Expiration Date:</w:t>
      </w:r>
    </w:p>
    <w:p>
      <w:pPr>
        <w:sectPr>
          <w:pgSz w:w="11900" w:h="16838" w:orient="portrait"/>
          <w:cols w:equalWidth="0" w:num="1">
            <w:col w:w="11220"/>
          </w:cols>
          <w:pgMar w:left="320" w:top="570" w:right="3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Type of Grant: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Nonstatutory Stock Option</w:t>
      </w:r>
    </w:p>
    <w:p>
      <w:pPr>
        <w:spacing w:after="0" w:line="200" w:lineRule="exact"/>
        <w:rPr>
          <w:sz w:val="20"/>
          <w:szCs w:val="20"/>
          <w:color w:val="auto"/>
        </w:rPr>
      </w:pPr>
    </w:p>
    <w:p>
      <w:pPr>
        <w:sectPr>
          <w:pgSz w:w="11900" w:h="16838" w:orient="portrait"/>
          <w:cols w:equalWidth="0" w:num="2">
            <w:col w:w="1320" w:space="720"/>
            <w:col w:w="9180"/>
          </w:cols>
          <w:pgMar w:left="320" w:top="570" w:right="35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Exercise Schedule: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Same as Vesting Schedule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Early Exercise Permitted</w:t>
      </w:r>
    </w:p>
    <w:p>
      <w:pPr>
        <w:spacing w:after="0" w:line="200" w:lineRule="exact"/>
        <w:rPr>
          <w:sz w:val="20"/>
          <w:szCs w:val="20"/>
          <w:color w:val="auto"/>
        </w:rPr>
      </w:pPr>
    </w:p>
    <w:p>
      <w:pPr>
        <w:sectPr>
          <w:pgSz w:w="11900" w:h="16838" w:orient="portrait"/>
          <w:cols w:equalWidth="0" w:num="5">
            <w:col w:w="1420" w:space="620"/>
            <w:col w:w="160" w:space="40"/>
            <w:col w:w="4660" w:space="720"/>
            <w:col w:w="160" w:space="40"/>
            <w:col w:w="3400"/>
          </w:cols>
          <w:pgMar w:left="320" w:top="570" w:right="35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determined by the Board of Directors]</w:t>
      </w:r>
    </w:p>
    <w:p>
      <w:pPr>
        <w:spacing w:after="0" w:line="200" w:lineRule="exact"/>
        <w:rPr>
          <w:sz w:val="20"/>
          <w:szCs w:val="20"/>
          <w:color w:val="auto"/>
        </w:rPr>
      </w:pPr>
    </w:p>
    <w:p>
      <w:pPr>
        <w:sectPr>
          <w:pgSz w:w="11900" w:h="16838" w:orient="portrait"/>
          <w:cols w:equalWidth="0" w:num="2">
            <w:col w:w="1340" w:space="700"/>
            <w:col w:w="9180"/>
          </w:cols>
          <w:pgMar w:left="320" w:top="570" w:right="35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one or a combination of the following items (described in the Option Agreement):</w:t>
      </w:r>
    </w:p>
    <w:p>
      <w:pPr>
        <w:spacing w:after="0" w:line="199" w:lineRule="exact"/>
        <w:rPr>
          <w:sz w:val="20"/>
          <w:szCs w:val="20"/>
          <w:color w:val="auto"/>
        </w:rPr>
      </w:pPr>
    </w:p>
    <w:p>
      <w:pPr>
        <w:sectPr>
          <w:pgSz w:w="11900" w:h="16838" w:orient="portrait"/>
          <w:cols w:equalWidth="0" w:num="2">
            <w:col w:w="1320" w:space="720"/>
            <w:col w:w="9180"/>
          </w:cols>
          <w:pgMar w:left="320" w:top="570" w:right="359" w:bottom="1440" w:gutter="0" w:footer="0" w:header="0"/>
          <w:type w:val="continuous"/>
        </w:sectPr>
      </w:pPr>
    </w:p>
    <w:p>
      <w:pPr>
        <w:ind w:left="20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By cash, check, bank draft or money order payable to the Company</w:t>
      </w:r>
    </w:p>
    <w:p>
      <w:pPr>
        <w:sectPr>
          <w:pgSz w:w="11900" w:h="16838" w:orient="portrait"/>
          <w:cols w:equalWidth="0" w:num="1">
            <w:col w:w="11220"/>
          </w:cols>
          <w:pgMar w:left="320" w:top="570" w:right="359" w:bottom="1440" w:gutter="0" w:footer="0" w:header="0"/>
          <w:type w:val="continuous"/>
        </w:sectPr>
      </w:pPr>
    </w:p>
    <w:p>
      <w:pPr>
        <w:spacing w:after="0" w:line="70" w:lineRule="exact"/>
        <w:rPr>
          <w:sz w:val="20"/>
          <w:szCs w:val="20"/>
          <w:color w:val="auto"/>
        </w:rPr>
      </w:pPr>
    </w:p>
    <w:p>
      <w:pPr>
        <w:ind w:left="20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 Regulation T Program if the shares are publicly traded</w:t>
      </w:r>
    </w:p>
    <w:p>
      <w:pPr>
        <w:ind w:left="2040"/>
        <w:spacing w:after="0" w:line="206"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By delivery of already-owned shares if the shares are publicly traded</w:t>
      </w:r>
    </w:p>
    <w:p>
      <w:pPr>
        <w:ind w:left="20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Subject to the Company’s consent at the time of exercise, by a “net exercise” arrangement</w:t>
      </w:r>
    </w:p>
    <w:p>
      <w:pPr>
        <w:spacing w:after="0" w:line="202" w:lineRule="exact"/>
        <w:rPr>
          <w:sz w:val="20"/>
          <w:szCs w:val="20"/>
          <w:color w:val="auto"/>
        </w:rPr>
      </w:pPr>
    </w:p>
    <w:p>
      <w:pPr>
        <w:ind w:left="140" w:right="8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Additional Terms/Acknowledgements: </w:t>
      </w:r>
      <w:r>
        <w:rPr>
          <w:rFonts w:ascii="Times New Roman" w:cs="Times New Roman" w:eastAsia="Times New Roman" w:hAnsi="Times New Roman"/>
          <w:sz w:val="18"/>
          <w:szCs w:val="18"/>
          <w:color w:val="auto"/>
        </w:rPr>
        <w:t>Optionholder acknowledges receipt of, and understands and agrees to, this Stock Option Grant Notice,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 options previously granted and delivered to Optionholder, (ii) any compensation recovery policy that is adopted by the Company or is otherwise required by applicable law and (iii) any written employment or severance arrangement that would provide for vesting acceleration of this option upon the terms and conditions set forth therein. By accepting this option, Optionholder consents to receive such documents by electronic delivery and to participate in the Plan through an on-line or electronic system established and maintained by the Company or another third party designated by the Company.</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369570</wp:posOffset>
            </wp:positionV>
            <wp:extent cx="71348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570" w:right="359" w:bottom="144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color w:val="auto"/>
        </w:rPr>
        <w:t>ZEVRA THERAPEUTICS,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OPTIONHOLDER:</w:t>
      </w:r>
    </w:p>
    <w:p>
      <w:pPr>
        <w:spacing w:after="0" w:line="200" w:lineRule="exact"/>
        <w:rPr>
          <w:sz w:val="20"/>
          <w:szCs w:val="20"/>
          <w:color w:val="auto"/>
        </w:rPr>
      </w:pPr>
    </w:p>
    <w:p>
      <w:pPr>
        <w:sectPr>
          <w:pgSz w:w="11900" w:h="16838" w:orient="portrait"/>
          <w:cols w:equalWidth="0" w:num="2">
            <w:col w:w="6320" w:space="720"/>
            <w:col w:w="3240"/>
          </w:cols>
          <w:pgMar w:left="320" w:top="782" w:right="129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ectPr>
          <w:pgSz w:w="11900" w:h="16838" w:orient="portrait"/>
          <w:cols w:equalWidth="0" w:num="1">
            <w:col w:w="10280"/>
          </w:cols>
          <w:pgMar w:left="320" w:top="782" w:right="1299" w:bottom="1440" w:gutter="0" w:footer="0" w:header="0"/>
          <w:type w:val="continuous"/>
        </w:sectPr>
      </w:pPr>
    </w:p>
    <w:p>
      <w:pPr>
        <w:spacing w:after="0" w:line="3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00" w:lineRule="exact"/>
        <w:rPr>
          <w:sz w:val="20"/>
          <w:szCs w:val="20"/>
          <w:color w:val="auto"/>
        </w:rPr>
      </w:pPr>
    </w:p>
    <w:p>
      <w:pPr>
        <w:sectPr>
          <w:pgSz w:w="11900" w:h="16838" w:orient="portrait"/>
          <w:cols w:equalWidth="0" w:num="2">
            <w:col w:w="8880" w:space="720"/>
            <w:col w:w="680"/>
          </w:cols>
          <w:pgMar w:left="320" w:top="782" w:right="129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sectPr>
          <w:pgSz w:w="11900" w:h="16838" w:orient="portrait"/>
          <w:cols w:equalWidth="0" w:num="2">
            <w:col w:w="6320" w:space="720"/>
            <w:col w:w="3240"/>
          </w:cols>
          <w:pgMar w:left="320" w:top="782" w:right="12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ectPr>
          <w:pgSz w:w="11900" w:h="16838" w:orient="portrait"/>
          <w:cols w:equalWidth="0" w:num="1">
            <w:col w:w="10280"/>
          </w:cols>
          <w:pgMar w:left="320" w:top="782" w:right="1299" w:bottom="1440" w:gutter="0" w:footer="0" w:header="0"/>
          <w:type w:val="continuous"/>
        </w:sectPr>
      </w:pP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ATTACHMENTS</w:t>
      </w:r>
      <w:r>
        <w:rPr>
          <w:rFonts w:ascii="Times New Roman" w:cs="Times New Roman" w:eastAsia="Times New Roman" w:hAnsi="Times New Roman"/>
          <w:sz w:val="17"/>
          <w:szCs w:val="17"/>
          <w:color w:val="auto"/>
        </w:rPr>
        <w:t>: Option Agreement, 2023 Employment Inducement Award Plan and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348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856615</wp:posOffset>
            </wp:positionV>
            <wp:extent cx="71348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280"/>
          </w:cols>
          <w:pgMar w:left="320" w:top="782" w:right="1299" w:bottom="1440" w:gutter="0" w:footer="0" w:header="0"/>
          <w:type w:val="continuous"/>
        </w:sectPr>
      </w:pPr>
    </w:p>
    <w:bookmarkStart w:id="189" w:name="page190"/>
    <w:bookmarkEnd w:id="1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2023 Employment Inducement Award Plan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w:t>
      </w:r>
    </w:p>
    <w:p>
      <w:pPr>
        <w:spacing w:after="0" w:line="194"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7"/>
          <w:szCs w:val="17"/>
          <w:color w:val="auto"/>
        </w:rPr>
        <w:t>Pursuant to your Stock Option Grant Notice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and this Option Agreement, Zevra Therapeutics,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you an option under its 2023 Employment Inducement Award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Times New Roman" w:cs="Times New Roman" w:eastAsia="Times New Roman" w:hAnsi="Times New Roman"/>
          <w:sz w:val="17"/>
          <w:szCs w:val="17"/>
          <w:b w:val="1"/>
          <w:bCs w:val="1"/>
          <w:i w:val="1"/>
          <w:iCs w:val="1"/>
          <w:color w:val="auto"/>
        </w:rPr>
        <w:t>Date of Grant</w:t>
      </w:r>
      <w:r>
        <w:rPr>
          <w:rFonts w:ascii="Times New Roman" w:cs="Times New Roman" w:eastAsia="Times New Roman" w:hAnsi="Times New Roman"/>
          <w:sz w:val="17"/>
          <w:szCs w:val="17"/>
          <w:color w:val="auto"/>
        </w:rPr>
        <w:t>”). If there is any conflict between the terms in this Option Agreement and the Plan, the terms of the Plan will control.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Capitalized terms not explicitly defined in this Option Agreement or in the Grant Notice but defined in the Plan will have the same definitions as in the Plan.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your option, in addition to those set forth in the Grant Notice and the Plan, are as follows:</w:t>
      </w:r>
    </w:p>
    <w:p>
      <w:pPr>
        <w:spacing w:after="0" w:line="215" w:lineRule="exact"/>
        <w:rPr>
          <w:sz w:val="20"/>
          <w:szCs w:val="20"/>
          <w:color w:val="auto"/>
        </w:rPr>
      </w:pPr>
    </w:p>
    <w:p>
      <w:pPr>
        <w:ind w:right="40" w:firstLine="7"/>
        <w:spacing w:after="0" w:line="276" w:lineRule="auto"/>
        <w:tabs>
          <w:tab w:leader="none" w:pos="177"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Subject to the provisions contained herein, your option will vest as provided in your Grant Notice. Vesting will cease upon the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Continuous Service.</w:t>
      </w:r>
    </w:p>
    <w:p>
      <w:pPr>
        <w:spacing w:after="0" w:line="159" w:lineRule="exact"/>
        <w:rPr>
          <w:rFonts w:ascii="Times New Roman" w:cs="Times New Roman" w:eastAsia="Times New Roman" w:hAnsi="Times New Roman"/>
          <w:sz w:val="18"/>
          <w:szCs w:val="18"/>
          <w:b w:val="1"/>
          <w:bCs w:val="1"/>
          <w:color w:val="auto"/>
        </w:rPr>
      </w:pPr>
    </w:p>
    <w:p>
      <w:pPr>
        <w:ind w:firstLine="7"/>
        <w:spacing w:after="0" w:line="276" w:lineRule="auto"/>
        <w:tabs>
          <w:tab w:leader="none" w:pos="177"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OF SHARES AND EXERCISE PRICE. </w:t>
      </w:r>
      <w:r>
        <w:rPr>
          <w:rFonts w:ascii="Times New Roman" w:cs="Times New Roman" w:eastAsia="Times New Roman" w:hAnsi="Times New Roman"/>
          <w:sz w:val="18"/>
          <w:szCs w:val="18"/>
          <w:color w:val="auto"/>
        </w:rPr>
        <w:t>The number of shares of Common Stock subject to your option and your exercise price per share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Grant Notice will be adjusted for Capitalization Adjustments.</w:t>
      </w:r>
    </w:p>
    <w:p>
      <w:pPr>
        <w:spacing w:after="0" w:line="159" w:lineRule="exact"/>
        <w:rPr>
          <w:rFonts w:ascii="Times New Roman" w:cs="Times New Roman" w:eastAsia="Times New Roman" w:hAnsi="Times New Roman"/>
          <w:sz w:val="18"/>
          <w:szCs w:val="18"/>
          <w:b w:val="1"/>
          <w:bCs w:val="1"/>
          <w:color w:val="auto"/>
        </w:rPr>
      </w:pPr>
    </w:p>
    <w:p>
      <w:pPr>
        <w:ind w:right="20" w:firstLine="7"/>
        <w:spacing w:after="0" w:line="269" w:lineRule="auto"/>
        <w:tabs>
          <w:tab w:leader="none" w:pos="177"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EXERCISE RESTRICTION FOR NON-EXEMPT EMPLOYEES. </w:t>
      </w:r>
      <w:r>
        <w:rPr>
          <w:rFonts w:ascii="Times New Roman" w:cs="Times New Roman" w:eastAsia="Times New Roman" w:hAnsi="Times New Roman"/>
          <w:sz w:val="17"/>
          <w:szCs w:val="17"/>
          <w:color w:val="auto"/>
        </w:rPr>
        <w:t>If you are an Employee eligible for overtime compensation under the Fair Labor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Standards Act of 1938, as amended (that is, a “</w:t>
      </w:r>
      <w:r>
        <w:rPr>
          <w:rFonts w:ascii="Times New Roman" w:cs="Times New Roman" w:eastAsia="Times New Roman" w:hAnsi="Times New Roman"/>
          <w:sz w:val="17"/>
          <w:szCs w:val="17"/>
          <w:b w:val="1"/>
          <w:bCs w:val="1"/>
          <w:i w:val="1"/>
          <w:iCs w:val="1"/>
          <w:color w:val="auto"/>
        </w:rPr>
        <w:t>Non-Exempt Employee</w:t>
      </w:r>
      <w:r>
        <w:rPr>
          <w:rFonts w:ascii="Times New Roman" w:cs="Times New Roman" w:eastAsia="Times New Roman" w:hAnsi="Times New Roman"/>
          <w:sz w:val="17"/>
          <w:szCs w:val="17"/>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69" w:lineRule="exact"/>
        <w:rPr>
          <w:rFonts w:ascii="Times New Roman" w:cs="Times New Roman" w:eastAsia="Times New Roman" w:hAnsi="Times New Roman"/>
          <w:sz w:val="17"/>
          <w:szCs w:val="17"/>
          <w:b w:val="1"/>
          <w:bCs w:val="1"/>
          <w:color w:val="auto"/>
        </w:rPr>
      </w:pPr>
    </w:p>
    <w:p>
      <w:pPr>
        <w:ind w:left="180" w:hanging="173"/>
        <w:spacing w:after="0"/>
        <w:tabs>
          <w:tab w:leader="none" w:pos="1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PRIOR TO VESTING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EARLY EXERCISE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prior to vesting.</w:t>
      </w:r>
    </w:p>
    <w:p>
      <w:pPr>
        <w:spacing w:after="0" w:line="217" w:lineRule="exact"/>
        <w:rPr>
          <w:rFonts w:ascii="Times New Roman" w:cs="Times New Roman" w:eastAsia="Times New Roman" w:hAnsi="Times New Roman"/>
          <w:sz w:val="18"/>
          <w:szCs w:val="18"/>
          <w:b w:val="1"/>
          <w:bCs w:val="1"/>
          <w:color w:val="auto"/>
        </w:rPr>
      </w:pPr>
    </w:p>
    <w:p>
      <w:pPr>
        <w:jc w:val="both"/>
        <w:ind w:right="280" w:firstLine="7"/>
        <w:spacing w:after="0" w:line="261" w:lineRule="auto"/>
        <w:tabs>
          <w:tab w:leader="none" w:pos="177"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METHOD OF PAYMENT. </w:t>
      </w:r>
      <w:r>
        <w:rPr>
          <w:rFonts w:ascii="Times New Roman" w:cs="Times New Roman" w:eastAsia="Times New Roman" w:hAnsi="Times New Roman"/>
          <w:sz w:val="18"/>
          <w:szCs w:val="18"/>
          <w:color w:val="auto"/>
        </w:rPr>
        <w:t>You must pay the full amount of the exercise price for the shares you wish to exercise. You may pay the exercise price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cash or by check, bank draft or money order payable to the Company or in any other manner </w:t>
      </w:r>
      <w:r>
        <w:rPr>
          <w:rFonts w:ascii="Times New Roman" w:cs="Times New Roman" w:eastAsia="Times New Roman" w:hAnsi="Times New Roman"/>
          <w:sz w:val="18"/>
          <w:szCs w:val="18"/>
          <w:b w:val="1"/>
          <w:bCs w:val="1"/>
          <w:i w:val="1"/>
          <w:iCs w:val="1"/>
          <w:color w:val="auto"/>
        </w:rPr>
        <w:t>permitted by your Grant Notice,</w:t>
      </w:r>
      <w:r>
        <w:rPr>
          <w:rFonts w:ascii="Times New Roman" w:cs="Times New Roman" w:eastAsia="Times New Roman" w:hAnsi="Times New Roman"/>
          <w:sz w:val="18"/>
          <w:szCs w:val="18"/>
          <w:color w:val="auto"/>
        </w:rPr>
        <w:t xml:space="preserve"> which may include one or more of the following:</w:t>
      </w:r>
    </w:p>
    <w:p>
      <w:pPr>
        <w:spacing w:after="0" w:line="175" w:lineRule="exact"/>
        <w:rPr>
          <w:sz w:val="20"/>
          <w:szCs w:val="20"/>
          <w:color w:val="auto"/>
        </w:rPr>
      </w:pPr>
    </w:p>
    <w:p>
      <w:pPr>
        <w:ind w:right="160" w:firstLine="7"/>
        <w:spacing w:after="0" w:line="255" w:lineRule="auto"/>
        <w:tabs>
          <w:tab w:leader="none" w:pos="25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80" w:lineRule="exact"/>
        <w:rPr>
          <w:rFonts w:ascii="Times New Roman" w:cs="Times New Roman" w:eastAsia="Times New Roman" w:hAnsi="Times New Roman"/>
          <w:sz w:val="18"/>
          <w:szCs w:val="18"/>
          <w:b w:val="1"/>
          <w:bCs w:val="1"/>
          <w:color w:val="auto"/>
        </w:rPr>
      </w:pPr>
    </w:p>
    <w:p>
      <w:pPr>
        <w:ind w:left="260" w:hanging="253"/>
        <w:spacing w:after="0"/>
        <w:tabs>
          <w:tab w:leader="none" w:pos="2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that at the time of exercise the Common Stock is publicly traded, by delivery to the Company (either by actual delivery or attestation) of</w:t>
      </w:r>
    </w:p>
    <w:p>
      <w:pPr>
        <w:spacing w:after="0" w:line="24" w:lineRule="exact"/>
        <w:rPr>
          <w:rFonts w:ascii="Times New Roman" w:cs="Times New Roman" w:eastAsia="Times New Roman" w:hAnsi="Times New Roman"/>
          <w:sz w:val="18"/>
          <w:szCs w:val="18"/>
          <w:b w:val="1"/>
          <w:bCs w:val="1"/>
          <w:color w:val="auto"/>
        </w:rPr>
      </w:pPr>
    </w:p>
    <w:p>
      <w:pPr>
        <w:ind w:right="40"/>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w:t>
      </w:r>
    </w:p>
    <w:p>
      <w:pPr>
        <w:spacing w:after="0" w:line="187" w:lineRule="exact"/>
        <w:rPr>
          <w:sz w:val="20"/>
          <w:szCs w:val="20"/>
          <w:color w:val="auto"/>
        </w:rPr>
      </w:pPr>
    </w:p>
    <w:p>
      <w:pPr>
        <w:ind w:right="620"/>
        <w:spacing w:after="0" w:line="274" w:lineRule="auto"/>
        <w:rPr>
          <w:sz w:val="20"/>
          <w:szCs w:val="20"/>
          <w:color w:val="auto"/>
        </w:rPr>
      </w:pPr>
      <w:r>
        <w:rPr>
          <w:rFonts w:ascii="Times New Roman" w:cs="Times New Roman" w:eastAsia="Times New Roman" w:hAnsi="Times New Roman"/>
          <w:sz w:val="18"/>
          <w:szCs w:val="18"/>
          <w:color w:val="auto"/>
        </w:rPr>
        <w:t>in a form approved by the Company. You may not exercise your option by delivery to the Company of Common Stock if doing so would violate the provisions of any law, regulation or agreement restricting the redemption of the Company’s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334010</wp:posOffset>
            </wp:positionV>
            <wp:extent cx="71348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080"/>
          </w:cols>
          <w:pgMar w:left="460" w:top="570" w:right="359" w:bottom="1440" w:gutter="0" w:footer="0" w:header="0"/>
        </w:sectPr>
      </w:pPr>
    </w:p>
    <w:bookmarkStart w:id="190" w:name="page191"/>
    <w:bookmarkEnd w:id="190"/>
    <w:p>
      <w:pPr>
        <w:ind w:right="20" w:firstLine="7"/>
        <w:spacing w:after="0" w:line="251" w:lineRule="auto"/>
        <w:tabs>
          <w:tab w:leader="none" w:pos="2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183" w:lineRule="exact"/>
        <w:rPr>
          <w:sz w:val="20"/>
          <w:szCs w:val="20"/>
          <w:color w:val="auto"/>
        </w:rPr>
      </w:pPr>
    </w:p>
    <w:p>
      <w:pPr>
        <w:ind w:left="180" w:hanging="173"/>
        <w:spacing w:after="0"/>
        <w:tabs>
          <w:tab w:leader="none" w:pos="18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You may exercise your option only for whole shares of Common Stock.</w:t>
      </w:r>
    </w:p>
    <w:p>
      <w:pPr>
        <w:spacing w:after="0" w:line="217" w:lineRule="exact"/>
        <w:rPr>
          <w:rFonts w:ascii="Times New Roman" w:cs="Times New Roman" w:eastAsia="Times New Roman" w:hAnsi="Times New Roman"/>
          <w:sz w:val="18"/>
          <w:szCs w:val="18"/>
          <w:b w:val="1"/>
          <w:bCs w:val="1"/>
          <w:color w:val="auto"/>
        </w:rPr>
      </w:pPr>
    </w:p>
    <w:p>
      <w:pPr>
        <w:ind w:firstLine="7"/>
        <w:spacing w:after="0" w:line="253" w:lineRule="auto"/>
        <w:tabs>
          <w:tab w:leader="none" w:pos="177"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In no event may you exercise your option unless the shares of Common Stock issuable upon exercise are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81" w:lineRule="exact"/>
        <w:rPr>
          <w:rFonts w:ascii="Times New Roman" w:cs="Times New Roman" w:eastAsia="Times New Roman" w:hAnsi="Times New Roman"/>
          <w:sz w:val="18"/>
          <w:szCs w:val="18"/>
          <w:b w:val="1"/>
          <w:bCs w:val="1"/>
          <w:color w:val="auto"/>
        </w:rPr>
      </w:pPr>
    </w:p>
    <w:p>
      <w:pPr>
        <w:ind w:firstLine="7"/>
        <w:spacing w:after="0" w:line="276" w:lineRule="auto"/>
        <w:tabs>
          <w:tab w:leader="none" w:pos="177"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You may not exercise your option before the Date of Grant or after the expiration of the option’s term. The term of your option expires,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Section 5(h) of the Plan, upon the earliest of the following:</w:t>
      </w:r>
    </w:p>
    <w:p>
      <w:pPr>
        <w:spacing w:after="0" w:line="162" w:lineRule="exact"/>
        <w:rPr>
          <w:sz w:val="20"/>
          <w:szCs w:val="20"/>
          <w:color w:val="auto"/>
        </w:rPr>
      </w:pPr>
    </w:p>
    <w:p>
      <w:pPr>
        <w:ind w:left="260" w:hanging="253"/>
        <w:spacing w:after="0"/>
        <w:tabs>
          <w:tab w:leader="none" w:pos="2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217" w:lineRule="exact"/>
        <w:rPr>
          <w:rFonts w:ascii="Times New Roman" w:cs="Times New Roman" w:eastAsia="Times New Roman" w:hAnsi="Times New Roman"/>
          <w:sz w:val="18"/>
          <w:szCs w:val="18"/>
          <w:b w:val="1"/>
          <w:bCs w:val="1"/>
          <w:color w:val="auto"/>
        </w:rPr>
      </w:pPr>
    </w:p>
    <w:p>
      <w:pPr>
        <w:ind w:firstLine="7"/>
        <w:spacing w:after="0" w:line="263" w:lineRule="auto"/>
        <w:tabs>
          <w:tab w:leader="none" w:pos="260"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three (3) months after the termination of your Continuous Service for any reason other than Cause, your Disability or your death (except as otherwise provided in Section 8(d) below);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(3) months after the termination of your Continuous Service;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if during any part of such three (3) month period, the sale of any Common Stock received upon exercise of your option would violate the Company’s insider trading policy, then your option will not expire until the earlier of the Expiration Date or until it has been exercisable for an aggregate period of three (3) months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w:t>
      </w:r>
    </w:p>
    <w:p>
      <w:pPr>
        <w:spacing w:after="0" w:line="1" w:lineRule="exact"/>
        <w:rPr>
          <w:rFonts w:ascii="Times New Roman" w:cs="Times New Roman" w:eastAsia="Times New Roman" w:hAnsi="Times New Roman"/>
          <w:sz w:val="17"/>
          <w:szCs w:val="17"/>
          <w:b w:val="1"/>
          <w:bCs w:val="1"/>
          <w:color w:val="auto"/>
        </w:rPr>
      </w:pPr>
    </w:p>
    <w:p>
      <w:pPr>
        <w:jc w:val="both"/>
        <w:ind w:right="140"/>
        <w:spacing w:after="0" w:line="24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186" w:lineRule="exact"/>
        <w:rPr>
          <w:rFonts w:ascii="Times New Roman" w:cs="Times New Roman" w:eastAsia="Times New Roman" w:hAnsi="Times New Roman"/>
          <w:sz w:val="17"/>
          <w:szCs w:val="17"/>
          <w:b w:val="1"/>
          <w:bCs w:val="1"/>
          <w:color w:val="auto"/>
        </w:rPr>
      </w:pPr>
    </w:p>
    <w:p>
      <w:pPr>
        <w:ind w:left="240" w:hanging="233"/>
        <w:spacing w:after="0"/>
        <w:tabs>
          <w:tab w:leader="none" w:pos="2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twelve (12) months after the termination of your Continuous Service due to your Disability (except as otherwise provided in Section 8(d)) below;</w:t>
      </w:r>
    </w:p>
    <w:p>
      <w:pPr>
        <w:spacing w:after="0" w:line="217" w:lineRule="exact"/>
        <w:rPr>
          <w:rFonts w:ascii="Times New Roman" w:cs="Times New Roman" w:eastAsia="Times New Roman" w:hAnsi="Times New Roman"/>
          <w:sz w:val="18"/>
          <w:szCs w:val="18"/>
          <w:b w:val="1"/>
          <w:bCs w:val="1"/>
          <w:color w:val="auto"/>
        </w:rPr>
      </w:pPr>
    </w:p>
    <w:p>
      <w:pPr>
        <w:ind w:right="620" w:firstLine="7"/>
        <w:spacing w:after="0" w:line="274" w:lineRule="auto"/>
        <w:tabs>
          <w:tab w:leader="none" w:pos="2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eighteen (18) months after your death if you die either during your Continuous Service or within three (3) months after your Continuous Service terminates for any reason other than Cause;</w:t>
      </w:r>
    </w:p>
    <w:p>
      <w:pPr>
        <w:spacing w:after="0" w:line="163" w:lineRule="exact"/>
        <w:rPr>
          <w:rFonts w:ascii="Times New Roman" w:cs="Times New Roman" w:eastAsia="Times New Roman" w:hAnsi="Times New Roman"/>
          <w:sz w:val="18"/>
          <w:szCs w:val="18"/>
          <w:b w:val="1"/>
          <w:bCs w:val="1"/>
          <w:color w:val="auto"/>
        </w:rPr>
      </w:pPr>
    </w:p>
    <w:p>
      <w:pPr>
        <w:ind w:left="240" w:hanging="233"/>
        <w:spacing w:after="0"/>
        <w:tabs>
          <w:tab w:leader="none" w:pos="2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17" w:lineRule="exact"/>
        <w:rPr>
          <w:rFonts w:ascii="Times New Roman" w:cs="Times New Roman" w:eastAsia="Times New Roman" w:hAnsi="Times New Roman"/>
          <w:sz w:val="18"/>
          <w:szCs w:val="18"/>
          <w:b w:val="1"/>
          <w:bCs w:val="1"/>
          <w:color w:val="auto"/>
        </w:rPr>
      </w:pPr>
    </w:p>
    <w:p>
      <w:pPr>
        <w:ind w:left="220" w:hanging="213"/>
        <w:spacing w:after="0"/>
        <w:tabs>
          <w:tab w:leader="none" w:pos="2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tenth (10th) anniversary of the Date of Grant.</w:t>
      </w:r>
    </w:p>
    <w:p>
      <w:pPr>
        <w:spacing w:after="0" w:line="215" w:lineRule="exact"/>
        <w:rPr>
          <w:sz w:val="20"/>
          <w:szCs w:val="20"/>
          <w:color w:val="auto"/>
        </w:rPr>
      </w:pPr>
    </w:p>
    <w:p>
      <w:pPr>
        <w:ind w:left="180" w:hanging="173"/>
        <w:spacing w:after="0"/>
        <w:tabs>
          <w:tab w:leader="none" w:pos="1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1"/>
          <w:szCs w:val="11"/>
          <w:b w:val="1"/>
          <w:bCs w:val="1"/>
          <w:color w:val="auto"/>
        </w:rPr>
        <w:t>xercise</w:t>
      </w:r>
    </w:p>
    <w:p>
      <w:pPr>
        <w:spacing w:after="0" w:line="219" w:lineRule="exact"/>
        <w:rPr>
          <w:sz w:val="20"/>
          <w:szCs w:val="20"/>
          <w:color w:val="auto"/>
        </w:rPr>
      </w:pPr>
    </w:p>
    <w:p>
      <w:pPr>
        <w:ind w:right="120" w:firstLine="7"/>
        <w:spacing w:after="0" w:line="259" w:lineRule="auto"/>
        <w:tabs>
          <w:tab w:leader="none" w:pos="25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343535</wp:posOffset>
            </wp:positionV>
            <wp:extent cx="71348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080"/>
          </w:cols>
          <w:pgMar w:left="460" w:top="572" w:right="359" w:bottom="1440" w:gutter="0" w:footer="0" w:header="0"/>
        </w:sectPr>
      </w:pPr>
    </w:p>
    <w:bookmarkStart w:id="191" w:name="page192"/>
    <w:bookmarkEnd w:id="191"/>
    <w:p>
      <w:pPr>
        <w:ind w:right="600"/>
        <w:spacing w:after="0" w:line="274" w:lineRule="auto"/>
        <w:rPr>
          <w:sz w:val="20"/>
          <w:szCs w:val="20"/>
          <w:color w:val="auto"/>
        </w:rPr>
      </w:pPr>
      <w:r>
        <w:rPr>
          <w:rFonts w:ascii="Times New Roman" w:cs="Times New Roman" w:eastAsia="Times New Roman" w:hAnsi="Times New Roman"/>
          <w:sz w:val="18"/>
          <w:szCs w:val="18"/>
          <w:color w:val="auto"/>
        </w:rPr>
        <w:t>exercise price and any applicable withholding taxes to the Company’s Secretary, stock plan administrator, or such other person as the Company may designate, together with such additional documents as the Company may then require.</w:t>
      </w:r>
    </w:p>
    <w:p>
      <w:pPr>
        <w:spacing w:after="0" w:line="163" w:lineRule="exact"/>
        <w:rPr>
          <w:sz w:val="20"/>
          <w:szCs w:val="20"/>
          <w:color w:val="auto"/>
        </w:rPr>
      </w:pPr>
    </w:p>
    <w:p>
      <w:pPr>
        <w:ind w:right="40" w:firstLine="7"/>
        <w:spacing w:after="0" w:line="255" w:lineRule="auto"/>
        <w:tabs>
          <w:tab w:leader="none" w:pos="2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180" w:lineRule="exact"/>
        <w:rPr>
          <w:rFonts w:ascii="Times New Roman" w:cs="Times New Roman" w:eastAsia="Times New Roman" w:hAnsi="Times New Roman"/>
          <w:sz w:val="18"/>
          <w:szCs w:val="18"/>
          <w:b w:val="1"/>
          <w:bCs w:val="1"/>
          <w:color w:val="auto"/>
        </w:rPr>
      </w:pPr>
    </w:p>
    <w:p>
      <w:pPr>
        <w:ind w:firstLine="7"/>
        <w:spacing w:after="0" w:line="248" w:lineRule="auto"/>
        <w:tabs>
          <w:tab w:leader="none" w:pos="2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your option you agree that you will not sell, dispose of, transfer, make any short sale of, grant any option for the purchase of, or enter into any hedging or similar transaction with the same economic effect as a sale,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2711 or NYSE Member Rule 472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9(c). The underwriters of the Company’s stock are intended third party beneficiaries of this Section 9(c) and will have the right, power and authority to enforce the provisions hereof as though they were a party hereto.</w:t>
      </w:r>
    </w:p>
    <w:p>
      <w:pPr>
        <w:spacing w:after="0" w:line="189" w:lineRule="exact"/>
        <w:rPr>
          <w:sz w:val="20"/>
          <w:szCs w:val="20"/>
          <w:color w:val="auto"/>
        </w:rPr>
      </w:pPr>
    </w:p>
    <w:p>
      <w:pPr>
        <w:ind w:right="260" w:firstLine="7"/>
        <w:spacing w:after="0" w:line="276" w:lineRule="auto"/>
        <w:tabs>
          <w:tab w:leader="none" w:pos="265"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Except as otherwise provided in this Section 10, your option is not transferable, except by will or by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 is exercisable during your life only by you.</w:t>
      </w:r>
    </w:p>
    <w:p>
      <w:pPr>
        <w:spacing w:after="0" w:line="160" w:lineRule="exact"/>
        <w:rPr>
          <w:sz w:val="20"/>
          <w:szCs w:val="20"/>
          <w:color w:val="auto"/>
        </w:rPr>
      </w:pPr>
    </w:p>
    <w:p>
      <w:pPr>
        <w:ind w:right="40" w:firstLine="7"/>
        <w:spacing w:after="0" w:line="261" w:lineRule="auto"/>
        <w:tabs>
          <w:tab w:leader="none" w:pos="25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Trusts. </w:t>
      </w:r>
      <w:r>
        <w:rPr>
          <w:rFonts w:ascii="Times New Roman" w:cs="Times New Roman" w:eastAsia="Times New Roman" w:hAnsi="Times New Roman"/>
          <w:sz w:val="18"/>
          <w:szCs w:val="18"/>
          <w:color w:val="auto"/>
        </w:rPr>
        <w:t>Upon receiving written permission from the Board or its duly authorized designee, you may transfer your option to a trust if you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to be the sole beneficial owner (determined under Section 671 of the Code and applicable state law) while the option is held in the trust. You and the trustee must enter into transfer and other agreements required by the Company.</w:t>
      </w:r>
    </w:p>
    <w:p>
      <w:pPr>
        <w:spacing w:after="0" w:line="172" w:lineRule="exact"/>
        <w:rPr>
          <w:rFonts w:ascii="Times New Roman" w:cs="Times New Roman" w:eastAsia="Times New Roman" w:hAnsi="Times New Roman"/>
          <w:sz w:val="18"/>
          <w:szCs w:val="18"/>
          <w:b w:val="1"/>
          <w:bCs w:val="1"/>
          <w:color w:val="auto"/>
        </w:rPr>
      </w:pPr>
    </w:p>
    <w:p>
      <w:pPr>
        <w:ind w:right="40" w:firstLine="7"/>
        <w:spacing w:after="0" w:line="253" w:lineRule="auto"/>
        <w:tabs>
          <w:tab w:leader="none" w:pos="2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Upon receiving written permission from the Board or its duly authorized designee, and provided that you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transferee enter into transfer and other agreements required by the Company, you may transfer your option pursuant to the terms of a domestic relations order or official marital settlement agreement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w:t>
      </w:r>
    </w:p>
    <w:p>
      <w:pPr>
        <w:spacing w:after="0" w:line="181" w:lineRule="exact"/>
        <w:rPr>
          <w:rFonts w:ascii="Times New Roman" w:cs="Times New Roman" w:eastAsia="Times New Roman" w:hAnsi="Times New Roman"/>
          <w:sz w:val="18"/>
          <w:szCs w:val="18"/>
          <w:b w:val="1"/>
          <w:bCs w:val="1"/>
          <w:color w:val="auto"/>
        </w:rPr>
      </w:pPr>
    </w:p>
    <w:p>
      <w:pPr>
        <w:ind w:right="120" w:firstLine="7"/>
        <w:spacing w:after="0" w:line="253" w:lineRule="auto"/>
        <w:tabs>
          <w:tab w:leader="none" w:pos="24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Upon receiving written permission from the Board or its duly authorized designee, you may, by delivering written notice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81" w:lineRule="exact"/>
        <w:rPr>
          <w:sz w:val="20"/>
          <w:szCs w:val="20"/>
          <w:color w:val="auto"/>
        </w:rPr>
      </w:pPr>
    </w:p>
    <w:p>
      <w:pPr>
        <w:jc w:val="both"/>
        <w:ind w:firstLine="7"/>
        <w:spacing w:after="0" w:line="256" w:lineRule="auto"/>
        <w:tabs>
          <w:tab w:leader="none" w:pos="255"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OPTION NOT A SERVICE CONTRACT. </w:t>
      </w:r>
      <w:r>
        <w:rPr>
          <w:rFonts w:ascii="Times New Roman" w:cs="Times New Roman" w:eastAsia="Times New Roman" w:hAnsi="Times New Roman"/>
          <w:sz w:val="18"/>
          <w:szCs w:val="18"/>
          <w:color w:val="auto"/>
        </w:rPr>
        <w:t>Your option is not an employment or service contract, and nothing in your option will be deemed to create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76" w:lineRule="exact"/>
        <w:rPr>
          <w:rFonts w:ascii="Times New Roman" w:cs="Times New Roman" w:eastAsia="Times New Roman" w:hAnsi="Times New Roman"/>
          <w:sz w:val="18"/>
          <w:szCs w:val="18"/>
          <w:b w:val="1"/>
          <w:bCs w:val="1"/>
          <w:color w:val="auto"/>
        </w:rPr>
      </w:pPr>
    </w:p>
    <w:p>
      <w:pPr>
        <w:ind w:left="280" w:hanging="273"/>
        <w:spacing w:after="0"/>
        <w:tabs>
          <w:tab w:leader="none" w:pos="28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1"/>
          <w:szCs w:val="11"/>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1"/>
          <w:szCs w:val="11"/>
          <w:b w:val="1"/>
          <w:bCs w:val="1"/>
          <w:color w:val="auto"/>
        </w:rPr>
        <w:t>bligations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234950</wp:posOffset>
            </wp:positionV>
            <wp:extent cx="7134860"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080"/>
          </w:cols>
          <w:pgMar w:left="460" w:top="784" w:right="359" w:bottom="1440" w:gutter="0" w:footer="0" w:header="0"/>
        </w:sectPr>
      </w:pPr>
    </w:p>
    <w:bookmarkStart w:id="192" w:name="page193"/>
    <w:bookmarkEnd w:id="192"/>
    <w:p>
      <w:pPr>
        <w:ind w:left="-7" w:right="100" w:firstLine="7"/>
        <w:spacing w:after="0" w:line="252" w:lineRule="auto"/>
        <w:tabs>
          <w:tab w:leader="none" w:pos="243"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5" w:lineRule="exact"/>
        <w:rPr>
          <w:rFonts w:ascii="Times New Roman" w:cs="Times New Roman" w:eastAsia="Times New Roman" w:hAnsi="Times New Roman"/>
          <w:sz w:val="18"/>
          <w:szCs w:val="18"/>
          <w:b w:val="1"/>
          <w:bCs w:val="1"/>
          <w:color w:val="auto"/>
        </w:rPr>
      </w:pPr>
    </w:p>
    <w:p>
      <w:pPr>
        <w:ind w:left="-7" w:right="20" w:firstLine="7"/>
        <w:spacing w:after="0" w:line="265" w:lineRule="auto"/>
        <w:tabs>
          <w:tab w:leader="none" w:pos="253" w:val="left"/>
        </w:tabs>
        <w:numPr>
          <w:ilvl w:val="0"/>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73" w:lineRule="exact"/>
        <w:rPr>
          <w:rFonts w:ascii="Times New Roman" w:cs="Times New Roman" w:eastAsia="Times New Roman" w:hAnsi="Times New Roman"/>
          <w:sz w:val="17"/>
          <w:szCs w:val="17"/>
          <w:b w:val="1"/>
          <w:bCs w:val="1"/>
          <w:color w:val="auto"/>
        </w:rPr>
      </w:pPr>
    </w:p>
    <w:p>
      <w:pPr>
        <w:ind w:left="-7" w:right="80" w:firstLine="7"/>
        <w:spacing w:after="0" w:line="282" w:lineRule="auto"/>
        <w:tabs>
          <w:tab w:leader="none" w:pos="233" w:val="left"/>
        </w:tabs>
        <w:numPr>
          <w:ilvl w:val="0"/>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57" w:lineRule="exact"/>
        <w:rPr>
          <w:sz w:val="20"/>
          <w:szCs w:val="20"/>
          <w:color w:val="auto"/>
        </w:rPr>
      </w:pPr>
    </w:p>
    <w:p>
      <w:pPr>
        <w:ind w:left="-7" w:firstLine="7"/>
        <w:spacing w:after="0" w:line="253" w:lineRule="auto"/>
        <w:tabs>
          <w:tab w:leader="none" w:pos="258"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CONSEQUENCES. </w:t>
      </w:r>
      <w:r>
        <w:rPr>
          <w:rFonts w:ascii="Times New Roman" w:cs="Times New Roman" w:eastAsia="Times New Roman" w:hAnsi="Times New Roman"/>
          <w:sz w:val="18"/>
          <w:szCs w:val="18"/>
          <w:color w:val="auto"/>
        </w:rPr>
        <w:t>You hereby agree that the Company does not have a duty to design or administer the Plan or its other compensation programs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spacing w:after="0" w:line="181" w:lineRule="exact"/>
        <w:rPr>
          <w:rFonts w:ascii="Times New Roman" w:cs="Times New Roman" w:eastAsia="Times New Roman" w:hAnsi="Times New Roman"/>
          <w:sz w:val="18"/>
          <w:szCs w:val="18"/>
          <w:b w:val="1"/>
          <w:bCs w:val="1"/>
          <w:color w:val="auto"/>
        </w:rPr>
      </w:pPr>
    </w:p>
    <w:p>
      <w:pPr>
        <w:ind w:left="-7" w:right="120" w:firstLine="7"/>
        <w:spacing w:after="0" w:line="251" w:lineRule="auto"/>
        <w:tabs>
          <w:tab w:leader="none" w:pos="258"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notices provided for in your option or the Plan will be given in writing (including electronically) and will be deemed effectively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85" w:lineRule="exact"/>
        <w:rPr>
          <w:rFonts w:ascii="Times New Roman" w:cs="Times New Roman" w:eastAsia="Times New Roman" w:hAnsi="Times New Roman"/>
          <w:sz w:val="18"/>
          <w:szCs w:val="18"/>
          <w:b w:val="1"/>
          <w:bCs w:val="1"/>
          <w:color w:val="auto"/>
        </w:rPr>
      </w:pPr>
    </w:p>
    <w:p>
      <w:pPr>
        <w:ind w:left="-7" w:right="20" w:firstLine="7"/>
        <w:spacing w:after="0" w:line="251" w:lineRule="auto"/>
        <w:tabs>
          <w:tab w:leader="none" w:pos="258"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Your option is subject to all the provisions of the Plan, the provisions of which are hereby made a part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85" w:lineRule="exact"/>
        <w:rPr>
          <w:rFonts w:ascii="Times New Roman" w:cs="Times New Roman" w:eastAsia="Times New Roman" w:hAnsi="Times New Roman"/>
          <w:sz w:val="18"/>
          <w:szCs w:val="18"/>
          <w:b w:val="1"/>
          <w:bCs w:val="1"/>
          <w:color w:val="auto"/>
        </w:rPr>
      </w:pPr>
    </w:p>
    <w:p>
      <w:pPr>
        <w:ind w:left="-7" w:right="60" w:firstLine="7"/>
        <w:spacing w:after="0" w:line="276" w:lineRule="auto"/>
        <w:tabs>
          <w:tab w:leader="none" w:pos="258"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DOCUMENTS. </w:t>
      </w:r>
      <w:r>
        <w:rPr>
          <w:rFonts w:ascii="Times New Roman" w:cs="Times New Roman" w:eastAsia="Times New Roman" w:hAnsi="Times New Roman"/>
          <w:sz w:val="18"/>
          <w:szCs w:val="18"/>
          <w:color w:val="auto"/>
        </w:rPr>
        <w:t>You hereby acknowledge receipt of and the right to receive a document providing the information required by Rule 428(b)(1)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under the Securities Act, which includes the Plan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198755</wp:posOffset>
            </wp:positionV>
            <wp:extent cx="71348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093"/>
          </w:cols>
          <w:pgMar w:left="467" w:top="572" w:right="339" w:bottom="1440" w:gutter="0" w:footer="0" w:header="0"/>
        </w:sectPr>
      </w:pPr>
    </w:p>
    <w:bookmarkStart w:id="193" w:name="page194"/>
    <w:bookmarkEnd w:id="193"/>
    <w:p>
      <w:pPr>
        <w:ind w:right="320"/>
        <w:spacing w:after="0" w:line="274" w:lineRule="auto"/>
        <w:rPr>
          <w:sz w:val="20"/>
          <w:szCs w:val="20"/>
          <w:color w:val="auto"/>
        </w:rPr>
      </w:pPr>
      <w:r>
        <w:rPr>
          <w:rFonts w:ascii="Times New Roman" w:cs="Times New Roman" w:eastAsia="Times New Roman" w:hAnsi="Times New Roman"/>
          <w:sz w:val="18"/>
          <w:szCs w:val="18"/>
          <w:color w:val="auto"/>
        </w:rPr>
        <w:t>In addition, you acknowledge receipt of the Company’s policy permitting certain individuals to sell shares only during certain “window” periods and the Company’s insider trading policy, in effect from time to time.</w:t>
      </w:r>
    </w:p>
    <w:p>
      <w:pPr>
        <w:spacing w:after="0" w:line="161" w:lineRule="exact"/>
        <w:rPr>
          <w:sz w:val="20"/>
          <w:szCs w:val="20"/>
          <w:color w:val="auto"/>
        </w:rPr>
      </w:pPr>
    </w:p>
    <w:p>
      <w:pPr>
        <w:ind w:right="160" w:firstLine="7"/>
        <w:spacing w:after="0" w:line="256" w:lineRule="auto"/>
        <w:tabs>
          <w:tab w:leader="none" w:pos="265"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this option will not be included as compensation, earnings, salaries,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18"/>
          <w:szCs w:val="18"/>
          <w:b w:val="1"/>
          <w:bCs w:val="1"/>
          <w:color w:val="auto"/>
        </w:rPr>
      </w:pPr>
    </w:p>
    <w:p>
      <w:pPr>
        <w:ind w:firstLine="7"/>
        <w:spacing w:after="0" w:line="256" w:lineRule="auto"/>
        <w:tabs>
          <w:tab w:leader="none" w:pos="265"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You will not have voting or any other rights as a stockholder of the Company with respect to the shares to be issued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76" w:lineRule="exact"/>
        <w:rPr>
          <w:rFonts w:ascii="Times New Roman" w:cs="Times New Roman" w:eastAsia="Times New Roman" w:hAnsi="Times New Roman"/>
          <w:sz w:val="18"/>
          <w:szCs w:val="18"/>
          <w:b w:val="1"/>
          <w:bCs w:val="1"/>
          <w:color w:val="auto"/>
        </w:rPr>
      </w:pPr>
    </w:p>
    <w:p>
      <w:pPr>
        <w:jc w:val="both"/>
        <w:ind w:right="140" w:firstLine="7"/>
        <w:spacing w:after="0" w:line="256" w:lineRule="auto"/>
        <w:tabs>
          <w:tab w:leader="none" w:pos="265"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all or any part of this Option Agreement or the Plan is declared by any court or governmental authority to be unlawful or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18"/>
          <w:szCs w:val="18"/>
          <w:b w:val="1"/>
          <w:bCs w:val="1"/>
          <w:color w:val="auto"/>
        </w:rPr>
      </w:pPr>
    </w:p>
    <w:p>
      <w:pPr>
        <w:ind w:left="280" w:hanging="273"/>
        <w:spacing w:after="0"/>
        <w:tabs>
          <w:tab w:leader="none" w:pos="28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1"/>
          <w:szCs w:val="11"/>
          <w:b w:val="1"/>
          <w:bCs w:val="1"/>
          <w:color w:val="auto"/>
        </w:rPr>
        <w:t>iscellaneous</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ind w:right="780" w:firstLine="7"/>
        <w:spacing w:after="0" w:line="274" w:lineRule="auto"/>
        <w:tabs>
          <w:tab w:leader="none" w:pos="25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163" w:lineRule="exact"/>
        <w:rPr>
          <w:rFonts w:ascii="Times New Roman" w:cs="Times New Roman" w:eastAsia="Times New Roman" w:hAnsi="Times New Roman"/>
          <w:sz w:val="18"/>
          <w:szCs w:val="18"/>
          <w:b w:val="1"/>
          <w:bCs w:val="1"/>
          <w:color w:val="auto"/>
        </w:rPr>
      </w:pPr>
    </w:p>
    <w:p>
      <w:pPr>
        <w:ind w:right="20" w:firstLine="7"/>
        <w:spacing w:after="0" w:line="274" w:lineRule="auto"/>
        <w:tabs>
          <w:tab w:leader="none" w:pos="2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agree upon request to execute any further documents or instruments necessary or desirable in the sole determination of the Company to carry out the purposes or intent of your option.</w:t>
      </w:r>
    </w:p>
    <w:p>
      <w:pPr>
        <w:spacing w:after="0" w:line="163" w:lineRule="exact"/>
        <w:rPr>
          <w:rFonts w:ascii="Times New Roman" w:cs="Times New Roman" w:eastAsia="Times New Roman" w:hAnsi="Times New Roman"/>
          <w:sz w:val="18"/>
          <w:szCs w:val="18"/>
          <w:b w:val="1"/>
          <w:bCs w:val="1"/>
          <w:color w:val="auto"/>
        </w:rPr>
      </w:pPr>
    </w:p>
    <w:p>
      <w:pPr>
        <w:ind w:right="40" w:firstLine="7"/>
        <w:spacing w:after="0" w:line="274" w:lineRule="auto"/>
        <w:tabs>
          <w:tab w:leader="none" w:pos="2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63" w:lineRule="exact"/>
        <w:rPr>
          <w:rFonts w:ascii="Times New Roman" w:cs="Times New Roman" w:eastAsia="Times New Roman" w:hAnsi="Times New Roman"/>
          <w:sz w:val="18"/>
          <w:szCs w:val="18"/>
          <w:b w:val="1"/>
          <w:bCs w:val="1"/>
          <w:color w:val="auto"/>
        </w:rPr>
      </w:pPr>
    </w:p>
    <w:p>
      <w:pPr>
        <w:ind w:right="320" w:firstLine="7"/>
        <w:spacing w:after="0" w:line="274" w:lineRule="auto"/>
        <w:tabs>
          <w:tab w:leader="none" w:pos="2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Option Agreement will be subject to all applicable laws, rules, and regulations, and to such approvals by any governmental agencies or national securities exchanges as may be required.</w:t>
      </w:r>
    </w:p>
    <w:p>
      <w:pPr>
        <w:spacing w:after="0" w:line="163" w:lineRule="exact"/>
        <w:rPr>
          <w:rFonts w:ascii="Times New Roman" w:cs="Times New Roman" w:eastAsia="Times New Roman" w:hAnsi="Times New Roman"/>
          <w:sz w:val="18"/>
          <w:szCs w:val="18"/>
          <w:b w:val="1"/>
          <w:bCs w:val="1"/>
          <w:color w:val="auto"/>
        </w:rPr>
      </w:pPr>
    </w:p>
    <w:p>
      <w:pPr>
        <w:ind w:right="100" w:firstLine="7"/>
        <w:spacing w:after="0" w:line="259" w:lineRule="auto"/>
        <w:tabs>
          <w:tab w:leader="none" w:pos="2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76" w:lineRule="exact"/>
        <w:rPr>
          <w:sz w:val="20"/>
          <w:szCs w:val="20"/>
          <w:color w:val="auto"/>
        </w:rPr>
      </w:pPr>
    </w:p>
    <w:p>
      <w:pPr>
        <w:ind w:right="60" w:firstLine="7"/>
        <w:spacing w:after="0" w:line="283" w:lineRule="auto"/>
        <w:tabs>
          <w:tab w:leader="none" w:pos="265"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1"/>
          <w:szCs w:val="11"/>
          <w:b w:val="1"/>
          <w:bCs w:val="1"/>
          <w:color w:val="auto"/>
        </w:rPr>
        <w:t>mployment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1"/>
          <w:szCs w:val="11"/>
          <w:b w:val="1"/>
          <w:bCs w:val="1"/>
          <w:color w:val="auto"/>
        </w:rPr>
        <w:t>nducement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1"/>
          <w:szCs w:val="11"/>
          <w:b w:val="1"/>
          <w:bCs w:val="1"/>
          <w:color w:val="auto"/>
        </w:rPr>
        <w:t>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t>
      </w:r>
      <w:r>
        <w:rPr>
          <w:rFonts w:ascii="Times New Roman" w:cs="Times New Roman" w:eastAsia="Times New Roman" w:hAnsi="Times New Roman"/>
          <w:sz w:val="11"/>
          <w:szCs w:val="11"/>
          <w:color w:val="auto"/>
        </w:rPr>
        <w: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1"/>
          <w:szCs w:val="11"/>
          <w:color w:val="auto"/>
        </w:rPr>
        <w:t>ward is intended to constitute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employment inducement award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1"/>
          <w:szCs w:val="11"/>
          <w:color w:val="auto"/>
        </w:rPr>
        <w:t>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R</w:t>
      </w:r>
      <w:r>
        <w:rPr>
          <w:rFonts w:ascii="Times New Roman" w:cs="Times New Roman" w:eastAsia="Times New Roman" w:hAnsi="Times New Roman"/>
          <w:sz w:val="11"/>
          <w:szCs w:val="11"/>
          <w:color w:val="auto"/>
        </w:rPr>
        <w:t>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5635(</w:t>
      </w:r>
      <w:r>
        <w:rPr>
          <w:rFonts w:ascii="Times New Roman" w:cs="Times New Roman" w:eastAsia="Times New Roman" w:hAnsi="Times New Roman"/>
          <w:sz w:val="11"/>
          <w:szCs w:val="11"/>
          <w:color w:val="auto"/>
        </w:rPr>
        <w:t>c</w:t>
      </w: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1"/>
          <w:szCs w:val="11"/>
          <w:color w:val="auto"/>
        </w:rPr>
        <w:t>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1"/>
          <w:szCs w:val="11"/>
          <w:color w:val="auto"/>
        </w:rPr>
        <w:t xml:space="preserve">exempted from the requirements of shareholder approval of equity compensation plans under </w:t>
      </w:r>
      <w:r>
        <w:rPr>
          <w:rFonts w:ascii="Times New Roman" w:cs="Times New Roman" w:eastAsia="Times New Roman" w:hAnsi="Times New Roman"/>
          <w:sz w:val="17"/>
          <w:szCs w:val="17"/>
          <w:color w:val="auto"/>
        </w:rPr>
        <w:t>NASDAQ R</w:t>
      </w:r>
      <w:r>
        <w:rPr>
          <w:rFonts w:ascii="Times New Roman" w:cs="Times New Roman" w:eastAsia="Times New Roman" w:hAnsi="Times New Roman"/>
          <w:sz w:val="11"/>
          <w:szCs w:val="11"/>
          <w:color w:val="auto"/>
        </w:rPr>
        <w:t xml:space="preserve">ule </w:t>
      </w:r>
      <w:r>
        <w:rPr>
          <w:rFonts w:ascii="Times New Roman" w:cs="Times New Roman" w:eastAsia="Times New Roman" w:hAnsi="Times New Roman"/>
          <w:sz w:val="17"/>
          <w:szCs w:val="17"/>
          <w:color w:val="auto"/>
        </w:rPr>
        <w:t>5635(</w:t>
      </w:r>
      <w:r>
        <w:rPr>
          <w:rFonts w:ascii="Times New Roman" w:cs="Times New Roman" w:eastAsia="Times New Roman" w:hAnsi="Times New Roman"/>
          <w:sz w:val="11"/>
          <w:szCs w:val="11"/>
          <w:color w:val="auto"/>
        </w:rPr>
        <w:t>c</w:t>
      </w:r>
      <w:r>
        <w:rPr>
          <w:rFonts w:ascii="Times New Roman" w:cs="Times New Roman" w:eastAsia="Times New Roman" w:hAnsi="Times New Roman"/>
          <w:sz w:val="17"/>
          <w:szCs w:val="17"/>
          <w:color w:val="auto"/>
        </w:rPr>
        <w:t>)(4). T</w:t>
      </w:r>
      <w:r>
        <w:rPr>
          <w:rFonts w:ascii="Times New Roman" w:cs="Times New Roman" w:eastAsia="Times New Roman" w:hAnsi="Times New Roman"/>
          <w:sz w:val="11"/>
          <w:szCs w:val="11"/>
          <w:color w:val="auto"/>
        </w:rPr>
        <w:t xml:space="preserve">his agreement and the terms and conditions of this </w:t>
      </w:r>
      <w:r>
        <w:rPr>
          <w:rFonts w:ascii="Times New Roman" w:cs="Times New Roman" w:eastAsia="Times New Roman" w:hAnsi="Times New Roman"/>
          <w:sz w:val="17"/>
          <w:szCs w:val="17"/>
          <w:color w:val="auto"/>
        </w:rPr>
        <w:t>A</w:t>
      </w:r>
      <w:r>
        <w:rPr>
          <w:rFonts w:ascii="Times New Roman" w:cs="Times New Roman" w:eastAsia="Times New Roman" w:hAnsi="Times New Roman"/>
          <w:sz w:val="11"/>
          <w:szCs w:val="11"/>
          <w:color w:val="auto"/>
        </w:rPr>
        <w:t>ward will be interpreted consistent with such intent</w:t>
      </w:r>
      <w:r>
        <w:rPr>
          <w:rFonts w:ascii="Times New Roman" w:cs="Times New Roman" w:eastAsia="Times New Roman" w:hAnsi="Times New Roman"/>
          <w:sz w:val="17"/>
          <w:szCs w:val="17"/>
          <w:color w:val="auto"/>
        </w:rPr>
        <w:t>.</w:t>
      </w:r>
    </w:p>
    <w:p>
      <w:pPr>
        <w:spacing w:after="0" w:line="375" w:lineRule="exact"/>
        <w:rPr>
          <w:rFonts w:ascii="Times New Roman" w:cs="Times New Roman" w:eastAsia="Times New Roman" w:hAnsi="Times New Roman"/>
          <w:sz w:val="18"/>
          <w:szCs w:val="18"/>
          <w:b w:val="1"/>
          <w:bCs w:val="1"/>
          <w:color w:val="auto"/>
        </w:rPr>
      </w:pPr>
    </w:p>
    <w:p>
      <w:pPr>
        <w:ind w:left="5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Option Agreement will be deemed to be signed by you upon the signing by you of the Stock Option Grant Notice to which it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233680</wp:posOffset>
            </wp:positionV>
            <wp:extent cx="713486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00"/>
          </w:cols>
          <w:pgMar w:left="460" w:top="572" w:right="339" w:bottom="1440" w:gutter="0" w:footer="0" w:header="0"/>
        </w:sectPr>
      </w:pPr>
    </w:p>
    <w:bookmarkStart w:id="194" w:name="page195"/>
    <w:bookmarkEnd w:id="19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ATTACHMENT III</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Zevra Therapeutics, Inc.</w:t>
      </w:r>
    </w:p>
    <w:p>
      <w:pPr>
        <w:spacing w:after="0" w:line="2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1180 Celebration Blvd, Suite 103</w:t>
      </w:r>
    </w:p>
    <w:p>
      <w:pPr>
        <w:spacing w:after="0" w:line="2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Celebration, FL 34747</w:t>
      </w:r>
    </w:p>
    <w:p>
      <w:pPr>
        <w:spacing w:after="0" w:line="217"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7"/>
          <w:szCs w:val="17"/>
          <w:color w:val="auto"/>
        </w:rPr>
        <w:t>Date of Exercise: [_________]</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3" w:lineRule="exact"/>
        <w:rPr>
          <w:sz w:val="20"/>
          <w:szCs w:val="20"/>
          <w:color w:val="auto"/>
        </w:rPr>
      </w:pPr>
    </w:p>
    <w:p>
      <w:pPr>
        <w:ind w:left="140"/>
        <w:spacing w:after="0" w:line="284" w:lineRule="auto"/>
        <w:rPr>
          <w:sz w:val="20"/>
          <w:szCs w:val="20"/>
          <w:color w:val="auto"/>
        </w:rPr>
      </w:pPr>
      <w:r>
        <w:rPr>
          <w:rFonts w:ascii="Times New Roman" w:cs="Times New Roman" w:eastAsia="Times New Roman" w:hAnsi="Times New Roman"/>
          <w:sz w:val="17"/>
          <w:szCs w:val="17"/>
          <w:color w:val="auto"/>
        </w:rPr>
        <w:t>This constitutes notice to Zevra Therapeutics,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under my stock option described below (the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granted pursuant to the Company’s 2023 Employment Inducement Award Plan (as it may be amended from time to time) as evidenced by the Stock Option Grant Notice and Option Agreement thereunder, that I elect to purchase the below number of shares of Common Stock of the Company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for the price set forth below.</w:t>
      </w:r>
    </w:p>
    <w:p>
      <w:pPr>
        <w:spacing w:after="0" w:line="370" w:lineRule="exact"/>
        <w:rPr>
          <w:sz w:val="20"/>
          <w:szCs w:val="20"/>
          <w:color w:val="auto"/>
        </w:rPr>
      </w:pPr>
    </w:p>
    <w:tbl>
      <w:tblPr>
        <w:tblLayout w:type="fixed"/>
        <w:tblInd w:w="1920" w:type="dxa"/>
        <w:tblCellMar>
          <w:top w:w="0" w:type="dxa"/>
          <w:left w:w="0" w:type="dxa"/>
          <w:bottom w:w="0" w:type="dxa"/>
          <w:right w:w="0" w:type="dxa"/>
        </w:tblCellMar>
      </w:tblPr>
      <w:tr>
        <w:trPr>
          <w:trHeight w:val="231"/>
        </w:trPr>
        <w:tc>
          <w:tcPr>
            <w:tcW w:w="5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Option Grant Date:</w:t>
            </w:r>
          </w:p>
        </w:tc>
        <w:tc>
          <w:tcPr>
            <w:tcW w:w="1740" w:type="dxa"/>
            <w:vAlign w:val="bottom"/>
          </w:tcPr>
          <w:p>
            <w:pPr>
              <w:spacing w:after="0"/>
              <w:rPr>
                <w:sz w:val="20"/>
                <w:szCs w:val="20"/>
                <w:color w:val="auto"/>
              </w:rPr>
            </w:pPr>
          </w:p>
        </w:tc>
      </w:tr>
      <w:tr>
        <w:trPr>
          <w:trHeight w:val="424"/>
        </w:trPr>
        <w:tc>
          <w:tcPr>
            <w:tcW w:w="5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Number of Shares as to which the Option is exercised:</w:t>
            </w:r>
          </w:p>
        </w:tc>
        <w:tc>
          <w:tcPr>
            <w:tcW w:w="1740" w:type="dxa"/>
            <w:vAlign w:val="bottom"/>
          </w:tcPr>
          <w:p>
            <w:pPr>
              <w:spacing w:after="0"/>
              <w:rPr>
                <w:sz w:val="24"/>
                <w:szCs w:val="24"/>
                <w:color w:val="auto"/>
              </w:rPr>
            </w:pPr>
          </w:p>
        </w:tc>
      </w:tr>
      <w:tr>
        <w:trPr>
          <w:trHeight w:val="424"/>
        </w:trPr>
        <w:tc>
          <w:tcPr>
            <w:tcW w:w="5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Certificates to be issued in name of:</w:t>
            </w:r>
          </w:p>
        </w:tc>
        <w:tc>
          <w:tcPr>
            <w:tcW w:w="1740" w:type="dxa"/>
            <w:vAlign w:val="bottom"/>
          </w:tcPr>
          <w:p>
            <w:pPr>
              <w:spacing w:after="0"/>
              <w:rPr>
                <w:sz w:val="24"/>
                <w:szCs w:val="24"/>
                <w:color w:val="auto"/>
              </w:rPr>
            </w:pPr>
          </w:p>
        </w:tc>
      </w:tr>
      <w:tr>
        <w:trPr>
          <w:trHeight w:val="424"/>
        </w:trPr>
        <w:tc>
          <w:tcPr>
            <w:tcW w:w="5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24"/>
        </w:trPr>
        <w:tc>
          <w:tcPr>
            <w:tcW w:w="5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Cash payment delivered herewith:</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7"/>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w w:val="96"/>
              </w:rPr>
              <w:t>[Value of Shares delivered herewith]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1"/>
              </w:rPr>
              <w:t>[1]</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78"/>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4"/>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[Value of Shares pursuant to net exercise]</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12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w w:val="70"/>
              </w:rPr>
              <w:t>:</w:t>
            </w:r>
          </w:p>
        </w:tc>
        <w:tc>
          <w:tcPr>
            <w:tcW w:w="2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4"/>
        </w:trPr>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[Regulation T Program (cashless exercise)]</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2240" w:type="dxa"/>
            <w:vAlign w:val="bottom"/>
          </w:tcPr>
          <w:p>
            <w:pPr>
              <w:jc w:val="right"/>
              <w:ind w:right="2150"/>
              <w:spacing w:after="0"/>
              <w:rPr>
                <w:sz w:val="20"/>
                <w:szCs w:val="20"/>
                <w:color w:val="auto"/>
              </w:rPr>
            </w:pPr>
            <w:r>
              <w:rPr>
                <w:rFonts w:ascii="Times New Roman" w:cs="Times New Roman" w:eastAsia="Times New Roman" w:hAnsi="Times New Roman"/>
                <w:sz w:val="10"/>
                <w:szCs w:val="10"/>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-1068070</wp:posOffset>
            </wp:positionV>
            <wp:extent cx="279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3">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-798830</wp:posOffset>
            </wp:positionV>
            <wp:extent cx="279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4">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-529590</wp:posOffset>
            </wp:positionV>
            <wp:extent cx="279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5">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-260350</wp:posOffset>
            </wp:positionV>
            <wp:extent cx="279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6">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8255</wp:posOffset>
            </wp:positionV>
            <wp:extent cx="279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7">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27" w:lineRule="exact"/>
        <w:rPr>
          <w:sz w:val="20"/>
          <w:szCs w:val="20"/>
          <w:color w:val="auto"/>
        </w:rPr>
      </w:pPr>
    </w:p>
    <w:p>
      <w:pPr>
        <w:jc w:val="both"/>
        <w:ind w:left="140" w:right="20"/>
        <w:spacing w:after="0" w:line="259"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Company’s 2023 Employment Inducement Award Plan (as it may be amended from time to time) and (ii) to provide for the payment by me to the Company (in the manner designated by the Company) of the Company’s withholding obligation, if any, relating to the exercise of the Option.</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368300</wp:posOffset>
            </wp:positionV>
            <wp:extent cx="713486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95" w:name="page196"/>
    <w:bookmarkEnd w:id="19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RESTRICTED STOCK AWARD GRANT NOTICE</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(2023 EMPLOYMENT INDUCEMENT AWARD PLAN)</w:t>
      </w:r>
    </w:p>
    <w:p>
      <w:pPr>
        <w:spacing w:after="0" w:line="194" w:lineRule="exact"/>
        <w:rPr>
          <w:sz w:val="20"/>
          <w:szCs w:val="20"/>
          <w:color w:val="auto"/>
        </w:rPr>
      </w:pPr>
    </w:p>
    <w:p>
      <w:pPr>
        <w:jc w:val="both"/>
        <w:ind w:left="280"/>
        <w:spacing w:after="0" w:line="254" w:lineRule="auto"/>
        <w:rPr>
          <w:sz w:val="20"/>
          <w:szCs w:val="20"/>
          <w:color w:val="auto"/>
        </w:rPr>
      </w:pPr>
      <w:r>
        <w:rPr>
          <w:rFonts w:ascii="Times New Roman" w:cs="Times New Roman" w:eastAsia="Times New Roman" w:hAnsi="Times New Roman"/>
          <w:sz w:val="18"/>
          <w:szCs w:val="18"/>
          <w:color w:val="auto"/>
        </w:rPr>
        <w:t>Zevra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2023 Employment Inducement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awards to Participant the number of shares of the Company’s Common Stock set forth below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This Award is subject to all of the terms and conditions as set forth herein and in the Restricted Stock Award Agreement and the Plan, all of which are attached hereto and incorporated herein in their entirety. Capitalized terms not otherwise defined herein shall have the meanings set forth in the Plan or the Restricted Stock Award Agreement. In the event of any conflict between the terms in the Award and the Plan, the terms of the Plan shall control.</w:t>
      </w:r>
    </w:p>
    <w:p>
      <w:pPr>
        <w:sectPr>
          <w:pgSz w:w="11900" w:h="16838" w:orient="portrait"/>
          <w:cols w:equalWidth="0" w:num="1">
            <w:col w:w="11240"/>
          </w:cols>
          <w:pgMar w:left="320" w:top="570" w:right="33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r>
        <w:rPr>
          <w:rFonts w:ascii="Times New Roman" w:cs="Times New Roman" w:eastAsia="Times New Roman" w:hAnsi="Times New Roman"/>
          <w:sz w:val="14"/>
          <w:szCs w:val="14"/>
          <w:u w:val="single" w:color="auto"/>
          <w:color w:val="auto"/>
        </w:rPr>
        <w:t>[1]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Subject to Award: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-406400</wp:posOffset>
            </wp:positionV>
            <wp:extent cx="30543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9">
                      <a:extLst>
                        <a:ext uri="{28A0092B-C50C-407E-A947-70E740481C1C}"/>
                      </a:extLst>
                    </a:blip>
                    <a:srcRect/>
                    <a:stretch>
                      <a:fillRect/>
                    </a:stretch>
                  </pic:blipFill>
                  <pic:spPr bwMode="auto">
                    <a:xfrm>
                      <a:off x="0" y="0"/>
                      <a:ext cx="30543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-263525</wp:posOffset>
            </wp:positionV>
            <wp:extent cx="30543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0">
                      <a:extLst>
                        <a:ext uri="{28A0092B-C50C-407E-A947-70E740481C1C}"/>
                      </a:extLst>
                    </a:blip>
                    <a:srcRect/>
                    <a:stretch>
                      <a:fillRect/>
                    </a:stretch>
                  </pic:blipFill>
                  <pic:spPr bwMode="auto">
                    <a:xfrm>
                      <a:off x="0" y="0"/>
                      <a:ext cx="30543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30543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1">
                      <a:extLst>
                        <a:ext uri="{28A0092B-C50C-407E-A947-70E740481C1C}"/>
                      </a:extLst>
                    </a:blip>
                    <a:srcRect/>
                    <a:stretch>
                      <a:fillRect/>
                    </a:stretch>
                  </pic:blipFill>
                  <pic:spPr bwMode="auto">
                    <a:xfrm>
                      <a:off x="0" y="0"/>
                      <a:ext cx="30543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22225</wp:posOffset>
            </wp:positionV>
            <wp:extent cx="305435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2">
                      <a:extLst>
                        <a:ext uri="{28A0092B-C50C-407E-A947-70E740481C1C}"/>
                      </a:extLst>
                    </a:blip>
                    <a:srcRect/>
                    <a:stretch>
                      <a:fillRect/>
                    </a:stretch>
                  </pic:blipFill>
                  <pic:spPr bwMode="auto">
                    <a:xfrm>
                      <a:off x="0" y="0"/>
                      <a:ext cx="3054350" cy="2540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3460" w:space="720"/>
            <w:col w:w="7060"/>
          </w:cols>
          <w:pgMar w:left="320" w:top="570" w:right="3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determined by the Board of Directors]</w:t>
      </w:r>
    </w:p>
    <w:p>
      <w:pPr>
        <w:spacing w:after="0" w:line="200" w:lineRule="exact"/>
        <w:rPr>
          <w:sz w:val="20"/>
          <w:szCs w:val="20"/>
          <w:color w:val="auto"/>
        </w:rPr>
      </w:pPr>
    </w:p>
    <w:p>
      <w:pPr>
        <w:sectPr>
          <w:pgSz w:w="11900" w:h="16838" w:orient="portrait"/>
          <w:cols w:equalWidth="0" w:num="2">
            <w:col w:w="3460" w:space="720"/>
            <w:col w:w="7060"/>
          </w:cols>
          <w:pgMar w:left="320" w:top="570" w:right="339" w:bottom="1440" w:gutter="0" w:footer="0" w:header="0"/>
          <w:type w:val="continuous"/>
        </w:sectPr>
      </w:pPr>
    </w:p>
    <w:p>
      <w:pPr>
        <w:spacing w:after="0" w:line="27" w:lineRule="exact"/>
        <w:rPr>
          <w:sz w:val="20"/>
          <w:szCs w:val="20"/>
          <w:color w:val="auto"/>
        </w:rPr>
      </w:pPr>
    </w:p>
    <w:p>
      <w:pPr>
        <w:jc w:val="both"/>
        <w:ind w:left="28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Additional Terms/Acknowledgements: </w:t>
      </w:r>
      <w:r>
        <w:rPr>
          <w:rFonts w:ascii="Times New Roman" w:cs="Times New Roman" w:eastAsia="Times New Roman" w:hAnsi="Times New Roman"/>
          <w:sz w:val="18"/>
          <w:szCs w:val="18"/>
          <w:color w:val="auto"/>
        </w:rPr>
        <w:t>The undersigned Participant acknowledges receipt of, and understands and agrees to, this Restricted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Notice, the Restricted Stock Award Agreement and the Plan. Participant acknowledges and agrees that this Restricted Stock Award Grant Notice and the Restricted Stock Award Agreement may not be modified, amended or revised except as provided therein or in the Plan. Participant further acknowledges that as of the Date of Grant, this Restricted Stock Award Grant Notice, the Restricted Stock Award Agreement and the Plan set forth the entire understanding between Participant and the Company regarding the acquisition of the Common Stock pursuant to the Award specified above and supersede all prior oral and written agreements on that subject with the exception, if applicable, of (i) the written employment agreement, offer letter agreement entered into between the Company and Participant specifying the terms that should govern this specific Award, if any, and (ii) any compensation recovery policy that is adopted by the Company or is otherwise required by applicable law.</w:t>
      </w:r>
    </w:p>
    <w:p>
      <w:pPr>
        <w:spacing w:after="0" w:line="185" w:lineRule="exact"/>
        <w:rPr>
          <w:sz w:val="20"/>
          <w:szCs w:val="20"/>
          <w:color w:val="auto"/>
        </w:rPr>
      </w:pPr>
    </w:p>
    <w:p>
      <w:pPr>
        <w:jc w:val="both"/>
        <w:ind w:left="280"/>
        <w:spacing w:after="0" w:line="274" w:lineRule="auto"/>
        <w:rPr>
          <w:sz w:val="20"/>
          <w:szCs w:val="20"/>
          <w:color w:val="auto"/>
        </w:rPr>
      </w:pPr>
      <w:r>
        <w:rPr>
          <w:rFonts w:ascii="Times New Roman" w:cs="Times New Roman" w:eastAsia="Times New Roman" w:hAnsi="Times New Roman"/>
          <w:sz w:val="18"/>
          <w:szCs w:val="18"/>
          <w:color w:val="auto"/>
        </w:rPr>
        <w:t>Participant consents to receive Plan documents by electronic delivery and to participate in the Plan through an on-line or electronic system established and maintained by the Company or another third party designated by the Company.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ZEVRA THERAPEUTICS,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8"/>
                <w:szCs w:val="18"/>
                <w:b w:val="1"/>
                <w:bCs w:val="1"/>
                <w:color w:val="auto"/>
              </w:rPr>
              <w:t>.</w:t>
            </w: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1"/>
                <w:szCs w:val="11"/>
                <w:b w:val="1"/>
                <w:bCs w:val="1"/>
                <w:color w:val="auto"/>
              </w:rPr>
              <w:t>articipant</w:t>
            </w:r>
            <w:r>
              <w:rPr>
                <w:rFonts w:ascii="Times New Roman" w:cs="Times New Roman" w:eastAsia="Times New Roman" w:hAnsi="Times New Roman"/>
                <w:sz w:val="18"/>
                <w:szCs w:val="18"/>
                <w:b w:val="1"/>
                <w:bCs w:val="1"/>
                <w:color w:val="auto"/>
              </w:rPr>
              <w:t>:</w:t>
            </w:r>
          </w:p>
        </w:tc>
      </w:tr>
      <w:tr>
        <w:trPr>
          <w:trHeight w:val="21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_______________________________________________</w:t>
            </w: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____________________________________________</w:t>
            </w:r>
          </w:p>
        </w:tc>
      </w:tr>
      <w:tr>
        <w:trPr>
          <w:trHeight w:val="212"/>
        </w:trPr>
        <w:tc>
          <w:tcPr>
            <w:tcW w:w="1680" w:type="dxa"/>
            <w:vAlign w:val="bottom"/>
          </w:tcPr>
          <w:p>
            <w:pPr>
              <w:spacing w:after="0"/>
              <w:rPr>
                <w:sz w:val="18"/>
                <w:szCs w:val="18"/>
                <w:color w:val="auto"/>
              </w:rPr>
            </w:pPr>
          </w:p>
        </w:tc>
        <w:tc>
          <w:tcPr>
            <w:tcW w:w="3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Signature</w:t>
            </w:r>
          </w:p>
        </w:tc>
        <w:tc>
          <w:tcPr>
            <w:tcW w:w="5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Signature</w:t>
            </w:r>
          </w:p>
        </w:tc>
      </w:tr>
      <w:tr>
        <w:trPr>
          <w:trHeight w:val="21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_______________________________________________</w:t>
            </w: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Date: _______________________________________</w:t>
            </w:r>
          </w:p>
        </w:tc>
      </w:tr>
      <w:tr>
        <w:trPr>
          <w:trHeight w:val="231"/>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w:t>
            </w:r>
          </w:p>
        </w:tc>
        <w:tc>
          <w:tcPr>
            <w:tcW w:w="5600" w:type="dxa"/>
            <w:vAlign w:val="bottom"/>
          </w:tcPr>
          <w:p>
            <w:pPr>
              <w:spacing w:after="0"/>
              <w:rPr>
                <w:sz w:val="20"/>
                <w:szCs w:val="20"/>
                <w:color w:val="auto"/>
              </w:rPr>
            </w:pPr>
          </w:p>
        </w:tc>
      </w:tr>
      <w:tr>
        <w:trPr>
          <w:trHeight w:val="424"/>
        </w:trPr>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1"/>
                <w:szCs w:val="11"/>
                <w:b w:val="1"/>
                <w:bCs w:val="1"/>
                <w:color w:val="auto"/>
              </w:rPr>
              <w:t>ttachments</w:t>
            </w:r>
            <w:r>
              <w:rPr>
                <w:rFonts w:ascii="Times New Roman" w:cs="Times New Roman" w:eastAsia="Times New Roman" w:hAnsi="Times New Roman"/>
                <w:sz w:val="18"/>
                <w:szCs w:val="18"/>
                <w:color w:val="auto"/>
              </w:rPr>
              <w:t>:</w:t>
            </w:r>
          </w:p>
        </w:tc>
        <w:tc>
          <w:tcPr>
            <w:tcW w:w="396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4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Attachment I:</w:t>
            </w:r>
          </w:p>
        </w:tc>
        <w:tc>
          <w:tcPr>
            <w:tcW w:w="3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Restricted Stock Award Agreement</w:t>
            </w:r>
          </w:p>
        </w:tc>
        <w:tc>
          <w:tcPr>
            <w:tcW w:w="5600" w:type="dxa"/>
            <w:vAlign w:val="bottom"/>
          </w:tcPr>
          <w:p>
            <w:pPr>
              <w:spacing w:after="0"/>
              <w:rPr>
                <w:sz w:val="24"/>
                <w:szCs w:val="24"/>
                <w:color w:val="auto"/>
              </w:rPr>
            </w:pPr>
          </w:p>
        </w:tc>
      </w:tr>
      <w:tr>
        <w:trPr>
          <w:trHeight w:val="4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Attachment II:</w:t>
            </w:r>
          </w:p>
        </w:tc>
        <w:tc>
          <w:tcPr>
            <w:tcW w:w="3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2023 Employment Inducement Award Plan</w:t>
            </w:r>
          </w:p>
        </w:tc>
        <w:tc>
          <w:tcPr>
            <w:tcW w:w="5600" w:type="dxa"/>
            <w:vAlign w:val="bottom"/>
          </w:tcPr>
          <w:p>
            <w:pPr>
              <w:spacing w:after="0"/>
              <w:rPr>
                <w:sz w:val="24"/>
                <w:szCs w:val="24"/>
                <w:color w:val="auto"/>
              </w:rPr>
            </w:pPr>
          </w:p>
        </w:tc>
      </w:tr>
      <w:tr>
        <w:trPr>
          <w:trHeight w:val="562"/>
        </w:trPr>
        <w:tc>
          <w:tcPr>
            <w:tcW w:w="16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0" w:right="339" w:bottom="1440" w:gutter="0" w:footer="0" w:header="0"/>
          <w:type w:val="continuous"/>
        </w:sectPr>
      </w:pPr>
    </w:p>
    <w:bookmarkStart w:id="196" w:name="page197"/>
    <w:bookmarkEnd w:id="196"/>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1"/>
          <w:szCs w:val="11"/>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ZEVRA THERAPEUTICS,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8"/>
          <w:szCs w:val="18"/>
          <w:b w:val="1"/>
          <w:bCs w:val="1"/>
          <w:color w:val="auto"/>
        </w:rPr>
        <w:t>.</w:t>
      </w:r>
    </w:p>
    <w:p>
      <w:pPr>
        <w:spacing w:after="0" w:line="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2023 E</w:t>
      </w:r>
      <w:r>
        <w:rPr>
          <w:rFonts w:ascii="Times New Roman" w:cs="Times New Roman" w:eastAsia="Times New Roman" w:hAnsi="Times New Roman"/>
          <w:sz w:val="11"/>
          <w:szCs w:val="11"/>
          <w:b w:val="1"/>
          <w:bCs w:val="1"/>
          <w:color w:val="auto"/>
        </w:rPr>
        <w:t>mployment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1"/>
          <w:szCs w:val="11"/>
          <w:b w:val="1"/>
          <w:bCs w:val="1"/>
          <w:color w:val="auto"/>
        </w:rPr>
        <w:t>nducement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1"/>
          <w:szCs w:val="11"/>
          <w:b w:val="1"/>
          <w:bCs w:val="1"/>
          <w:color w:val="auto"/>
        </w:rPr>
        <w:t>ward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1"/>
          <w:szCs w:val="11"/>
          <w:b w:val="1"/>
          <w:bCs w:val="1"/>
          <w:color w:val="auto"/>
        </w:rPr>
        <w:t>lan</w:t>
      </w:r>
    </w:p>
    <w:p>
      <w:pPr>
        <w:spacing w:after="0" w:line="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1"/>
          <w:szCs w:val="11"/>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1"/>
          <w:szCs w:val="11"/>
          <w:b w:val="1"/>
          <w:bCs w:val="1"/>
          <w:color w:val="auto"/>
        </w:rPr>
        <w:t>ward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94"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18"/>
          <w:szCs w:val="18"/>
          <w:color w:val="auto"/>
        </w:rPr>
        <w:t>Pursuant to the Restricted Stock Award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Stock Award Agreement (collectively,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and in consideration of your services, Zevra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you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a Restricted Stock Award under its 2023 Employment Inducement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shares of the Company’s Common Stock subject to the Award as indicated in the Grant Notice. Capitalized terms not explicitly defined in this Restricted Stock Award Agreement but defined in the Plan shall have the same definitions as in the Plan. The details of your Award, in addition to those set forth in the Grant Notice and the Plan, are as follows.</w:t>
      </w:r>
    </w:p>
    <w:p>
      <w:pPr>
        <w:spacing w:after="0" w:line="179" w:lineRule="exact"/>
        <w:rPr>
          <w:sz w:val="20"/>
          <w:szCs w:val="20"/>
          <w:color w:val="auto"/>
        </w:rPr>
      </w:pPr>
    </w:p>
    <w:p>
      <w:pPr>
        <w:jc w:val="both"/>
        <w:ind w:firstLine="627"/>
        <w:spacing w:after="0" w:line="261" w:lineRule="auto"/>
        <w:tabs>
          <w:tab w:leader="none" w:pos="813"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shares of Common Stock subject to your Award are fully vested upon issuance. This means that you are not required to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services on behalf of the Company or any of its Affiliates, and no other performance conditions or other contingencies must be satisfied, in order for you to retain the shares.</w:t>
      </w:r>
    </w:p>
    <w:p>
      <w:pPr>
        <w:spacing w:after="0" w:line="172" w:lineRule="exact"/>
        <w:rPr>
          <w:rFonts w:ascii="Times New Roman" w:cs="Times New Roman" w:eastAsia="Times New Roman" w:hAnsi="Times New Roman"/>
          <w:sz w:val="18"/>
          <w:szCs w:val="18"/>
          <w:b w:val="1"/>
          <w:bCs w:val="1"/>
          <w:color w:val="auto"/>
        </w:rPr>
      </w:pPr>
    </w:p>
    <w:p>
      <w:pPr>
        <w:ind w:firstLine="627"/>
        <w:spacing w:after="0" w:line="276" w:lineRule="auto"/>
        <w:tabs>
          <w:tab w:leader="none" w:pos="839"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of Shares. </w:t>
      </w:r>
      <w:r>
        <w:rPr>
          <w:rFonts w:ascii="Times New Roman" w:cs="Times New Roman" w:eastAsia="Times New Roman" w:hAnsi="Times New Roman"/>
          <w:sz w:val="18"/>
          <w:szCs w:val="18"/>
          <w:color w:val="auto"/>
        </w:rPr>
        <w:t>The number of shares subject to your Award may be adjusted from time to time for Capitalization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Plan.</w:t>
      </w:r>
    </w:p>
    <w:p>
      <w:pPr>
        <w:spacing w:after="0" w:line="159" w:lineRule="exact"/>
        <w:rPr>
          <w:rFonts w:ascii="Times New Roman" w:cs="Times New Roman" w:eastAsia="Times New Roman" w:hAnsi="Times New Roman"/>
          <w:sz w:val="18"/>
          <w:szCs w:val="18"/>
          <w:b w:val="1"/>
          <w:bCs w:val="1"/>
          <w:color w:val="auto"/>
        </w:rPr>
      </w:pPr>
    </w:p>
    <w:p>
      <w:pPr>
        <w:jc w:val="both"/>
        <w:ind w:firstLine="627"/>
        <w:spacing w:after="0" w:line="253" w:lineRule="auto"/>
        <w:tabs>
          <w:tab w:leader="none" w:pos="813"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Notwithstanding anything to the contrary contained herein, you may not be issued any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your Award unless the shares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 shares if the Company determines that such receipt would not be in material compliance with such laws and regulations.</w:t>
      </w:r>
    </w:p>
    <w:p>
      <w:pPr>
        <w:spacing w:after="0" w:line="181" w:lineRule="exact"/>
        <w:rPr>
          <w:rFonts w:ascii="Times New Roman" w:cs="Times New Roman" w:eastAsia="Times New Roman" w:hAnsi="Times New Roman"/>
          <w:sz w:val="18"/>
          <w:szCs w:val="18"/>
          <w:b w:val="1"/>
          <w:bCs w:val="1"/>
          <w:color w:val="auto"/>
        </w:rPr>
      </w:pPr>
    </w:p>
    <w:p>
      <w:pPr>
        <w:ind w:left="800" w:hanging="173"/>
        <w:spacing w:after="0"/>
        <w:tabs>
          <w:tab w:leader="none" w:pos="80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Restrictive Legends. </w:t>
      </w:r>
      <w:r>
        <w:rPr>
          <w:rFonts w:ascii="Times New Roman" w:cs="Times New Roman" w:eastAsia="Times New Roman" w:hAnsi="Times New Roman"/>
          <w:sz w:val="18"/>
          <w:szCs w:val="18"/>
          <w:color w:val="auto"/>
        </w:rPr>
        <w:t>The shares issued under your Award shall be endorsed with appropriate legends determined by the Company.</w:t>
      </w:r>
    </w:p>
    <w:p>
      <w:pPr>
        <w:spacing w:after="0" w:line="217" w:lineRule="exact"/>
        <w:rPr>
          <w:rFonts w:ascii="Times New Roman" w:cs="Times New Roman" w:eastAsia="Times New Roman" w:hAnsi="Times New Roman"/>
          <w:sz w:val="18"/>
          <w:szCs w:val="18"/>
          <w:b w:val="1"/>
          <w:bCs w:val="1"/>
          <w:color w:val="auto"/>
        </w:rPr>
      </w:pPr>
    </w:p>
    <w:p>
      <w:pPr>
        <w:jc w:val="both"/>
        <w:ind w:firstLine="627"/>
        <w:spacing w:after="0" w:line="256" w:lineRule="auto"/>
        <w:tabs>
          <w:tab w:leader="none" w:pos="813"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 not a Service Contract. </w:t>
      </w:r>
      <w:r>
        <w:rPr>
          <w:rFonts w:ascii="Times New Roman" w:cs="Times New Roman" w:eastAsia="Times New Roman" w:hAnsi="Times New Roman"/>
          <w:sz w:val="18"/>
          <w:szCs w:val="18"/>
          <w:color w:val="auto"/>
        </w:rPr>
        <w:t>Your Award is not an employment or service contract, and nothing in your Award shall be deemed to create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way whatsoever any obligation on your part to continue in the employ of the Company or an Affiliate, or on the part of the Company or an Affiliate to continue your employment. In addition, nothing in your Award shall obligate the Company or an Affiliate, their respective stockholders, boards of directors, Officers or Employees to continue any relationship that you might have as a Director or Consultant for the Company or an Affiliate.</w:t>
      </w:r>
    </w:p>
    <w:p>
      <w:pPr>
        <w:spacing w:after="0" w:line="176" w:lineRule="exact"/>
        <w:rPr>
          <w:rFonts w:ascii="Times New Roman" w:cs="Times New Roman" w:eastAsia="Times New Roman" w:hAnsi="Times New Roman"/>
          <w:sz w:val="18"/>
          <w:szCs w:val="18"/>
          <w:b w:val="1"/>
          <w:bCs w:val="1"/>
          <w:color w:val="auto"/>
        </w:rPr>
      </w:pPr>
    </w:p>
    <w:p>
      <w:pPr>
        <w:ind w:left="800" w:hanging="173"/>
        <w:spacing w:after="0"/>
        <w:tabs>
          <w:tab w:leader="none" w:pos="80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1"/>
          <w:szCs w:val="11"/>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1"/>
          <w:szCs w:val="11"/>
          <w:b w:val="1"/>
          <w:bCs w:val="1"/>
          <w:color w:val="auto"/>
        </w:rPr>
        <w:t>bligations</w:t>
      </w:r>
      <w:r>
        <w:rPr>
          <w:rFonts w:ascii="Times New Roman" w:cs="Times New Roman" w:eastAsia="Times New Roman" w:hAnsi="Times New Roman"/>
          <w:sz w:val="18"/>
          <w:szCs w:val="18"/>
          <w:b w:val="1"/>
          <w:bCs w:val="1"/>
          <w:color w:val="auto"/>
        </w:rPr>
        <w:t>.</w:t>
      </w:r>
    </w:p>
    <w:p>
      <w:pPr>
        <w:spacing w:after="0" w:line="219" w:lineRule="exact"/>
        <w:rPr>
          <w:rFonts w:ascii="Times New Roman" w:cs="Times New Roman" w:eastAsia="Times New Roman" w:hAnsi="Times New Roman"/>
          <w:sz w:val="18"/>
          <w:szCs w:val="18"/>
          <w:b w:val="1"/>
          <w:bCs w:val="1"/>
          <w:color w:val="auto"/>
        </w:rPr>
      </w:pPr>
    </w:p>
    <w:p>
      <w:pPr>
        <w:jc w:val="both"/>
        <w:ind w:firstLine="1263"/>
        <w:spacing w:after="0" w:line="259" w:lineRule="auto"/>
        <w:tabs>
          <w:tab w:leader="none" w:pos="1532"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your Award is made, or at any time thereafter as requested by the Company, you hereby authorize withholding from payroll and any amounts payable to you, and otherwise agree to make adequate provision for any sums required to satisfy the federal, state, local and foreign tax withholding obligations of the Company or an Affiliate, if any, which arise in connection with your Award.</w:t>
      </w:r>
    </w:p>
    <w:p>
      <w:pPr>
        <w:spacing w:after="0" w:line="177" w:lineRule="exact"/>
        <w:rPr>
          <w:rFonts w:ascii="Times New Roman" w:cs="Times New Roman" w:eastAsia="Times New Roman" w:hAnsi="Times New Roman"/>
          <w:sz w:val="18"/>
          <w:szCs w:val="18"/>
          <w:color w:val="auto"/>
        </w:rPr>
      </w:pPr>
    </w:p>
    <w:p>
      <w:pPr>
        <w:ind w:firstLine="1263"/>
        <w:spacing w:after="0" w:line="274" w:lineRule="auto"/>
        <w:tabs>
          <w:tab w:leader="none" w:pos="1535"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tax withholding obligations of the Company and/or any Affiliate are satisfied, the Company shall have no obligation to issue a certificate for such shares or release such shares from any escrow provided for herein.</w:t>
      </w:r>
    </w:p>
    <w:p>
      <w:pPr>
        <w:spacing w:after="0" w:line="161" w:lineRule="exact"/>
        <w:rPr>
          <w:rFonts w:ascii="Times New Roman" w:cs="Times New Roman" w:eastAsia="Times New Roman" w:hAnsi="Times New Roman"/>
          <w:sz w:val="18"/>
          <w:szCs w:val="18"/>
          <w:color w:val="auto"/>
        </w:rPr>
      </w:pPr>
    </w:p>
    <w:p>
      <w:pPr>
        <w:jc w:val="both"/>
        <w:ind w:firstLine="627"/>
        <w:spacing w:after="0" w:line="261" w:lineRule="auto"/>
        <w:tabs>
          <w:tab w:leader="none" w:pos="813"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notices provided for in your Award or the Plan shall be given in writing and shall be deemed effectively given upon receipt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case of notices delivered by the Company to you, five (5) days after deposit in the United States mail, postage prepaid, addressed to you at the last address you provided to the Company.</w:t>
      </w:r>
    </w:p>
    <w:p>
      <w:pPr>
        <w:spacing w:after="0" w:line="172" w:lineRule="exact"/>
        <w:rPr>
          <w:rFonts w:ascii="Times New Roman" w:cs="Times New Roman" w:eastAsia="Times New Roman" w:hAnsi="Times New Roman"/>
          <w:sz w:val="18"/>
          <w:szCs w:val="18"/>
          <w:b w:val="1"/>
          <w:bCs w:val="1"/>
          <w:color w:val="auto"/>
        </w:rPr>
      </w:pPr>
    </w:p>
    <w:p>
      <w:pPr>
        <w:ind w:left="800" w:hanging="173"/>
        <w:spacing w:after="0"/>
        <w:tabs>
          <w:tab w:leader="none" w:pos="80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1"/>
          <w:szCs w:val="11"/>
          <w:b w:val="1"/>
          <w:bCs w:val="1"/>
          <w:color w:val="auto"/>
        </w:rPr>
        <w:t>iscellaneous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638810</wp:posOffset>
            </wp:positionV>
            <wp:extent cx="71348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0" w:right="339" w:bottom="1440" w:gutter="0" w:footer="0" w:header="0"/>
        </w:sectPr>
      </w:pPr>
    </w:p>
    <w:bookmarkStart w:id="197" w:name="page198"/>
    <w:bookmarkEnd w:id="197"/>
    <w:p>
      <w:pPr>
        <w:jc w:val="both"/>
        <w:ind w:firstLine="1263"/>
        <w:spacing w:after="0" w:line="259" w:lineRule="auto"/>
        <w:tabs>
          <w:tab w:leader="none" w:pos="152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the Company under your Award shall be transferable to any one or more persons or entities, and all covenants and agreements hereunder shall inure to the benefit of, and be enforceable by the Company’s successors and assigns. Your rights and obligations under your Award may only be assigned with the prior written consent of the Board in its sole discretion.</w:t>
      </w:r>
    </w:p>
    <w:p>
      <w:pPr>
        <w:spacing w:after="0" w:line="177" w:lineRule="exact"/>
        <w:rPr>
          <w:rFonts w:ascii="Times New Roman" w:cs="Times New Roman" w:eastAsia="Times New Roman" w:hAnsi="Times New Roman"/>
          <w:sz w:val="18"/>
          <w:szCs w:val="18"/>
          <w:color w:val="auto"/>
        </w:rPr>
      </w:pPr>
    </w:p>
    <w:p>
      <w:pPr>
        <w:ind w:firstLine="1263"/>
        <w:spacing w:after="0" w:line="274" w:lineRule="auto"/>
        <w:tabs>
          <w:tab w:leader="none" w:pos="154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upon request to execute any further documents or instruments necessary or desirable in the sole determination of the Company to carry out the purposes or intent of your Award.</w:t>
      </w:r>
    </w:p>
    <w:p>
      <w:pPr>
        <w:spacing w:after="0" w:line="163" w:lineRule="exact"/>
        <w:rPr>
          <w:rFonts w:ascii="Times New Roman" w:cs="Times New Roman" w:eastAsia="Times New Roman" w:hAnsi="Times New Roman"/>
          <w:sz w:val="18"/>
          <w:szCs w:val="18"/>
          <w:color w:val="auto"/>
        </w:rPr>
      </w:pPr>
    </w:p>
    <w:p>
      <w:pPr>
        <w:ind w:firstLine="1263"/>
        <w:spacing w:after="0" w:line="274" w:lineRule="auto"/>
        <w:tabs>
          <w:tab w:leader="none" w:pos="153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61" w:lineRule="exact"/>
        <w:rPr>
          <w:rFonts w:ascii="Times New Roman" w:cs="Times New Roman" w:eastAsia="Times New Roman" w:hAnsi="Times New Roman"/>
          <w:sz w:val="18"/>
          <w:szCs w:val="18"/>
          <w:color w:val="auto"/>
        </w:rPr>
      </w:pPr>
    </w:p>
    <w:p>
      <w:pPr>
        <w:jc w:val="both"/>
        <w:ind w:firstLine="627"/>
        <w:spacing w:after="0" w:line="261" w:lineRule="auto"/>
        <w:tabs>
          <w:tab w:leader="none" w:pos="813"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Employment Inducement Award. </w:t>
      </w:r>
      <w:r>
        <w:rPr>
          <w:rFonts w:ascii="Times New Roman" w:cs="Times New Roman" w:eastAsia="Times New Roman" w:hAnsi="Times New Roman"/>
          <w:sz w:val="18"/>
          <w:szCs w:val="18"/>
          <w:color w:val="auto"/>
        </w:rPr>
        <w:t>This Award is intended to constitute an “employment inducement award” under NASDAQ Rule 5635(c)(4)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exempted from the requirements of shareholder approval of equity compensation plans under NASDAQ Rule 5635(c)(4). This agreement and the terms and conditions of this Award will be interpreted consistent with such intent.</w:t>
      </w:r>
    </w:p>
    <w:p>
      <w:pPr>
        <w:spacing w:after="0" w:line="172" w:lineRule="exact"/>
        <w:rPr>
          <w:rFonts w:ascii="Times New Roman" w:cs="Times New Roman" w:eastAsia="Times New Roman" w:hAnsi="Times New Roman"/>
          <w:sz w:val="18"/>
          <w:szCs w:val="18"/>
          <w:b w:val="1"/>
          <w:bCs w:val="1"/>
          <w:color w:val="auto"/>
        </w:rPr>
      </w:pPr>
    </w:p>
    <w:p>
      <w:pPr>
        <w:jc w:val="both"/>
        <w:ind w:firstLine="627"/>
        <w:spacing w:after="0" w:line="261" w:lineRule="auto"/>
        <w:tabs>
          <w:tab w:leader="none" w:pos="901"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Your Award is subject to all the provisions of the Plan, the provisions of which are hereby made a part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and is further subject to all interpretations, amendments, rules and regulations which may from time to time be promulgated and adopted pursuant to the Plan. In the event of any conflict between the provisions of your Award and those of the Plan, the provisions of the Plan shall control.</w:t>
      </w:r>
    </w:p>
    <w:p>
      <w:pPr>
        <w:spacing w:after="0" w:line="17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This Restricted Stock Award Agreement shall be deemed to be signed by the Company and Participant upon the acceptance by the Participant of the Restricted Stock Award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334010</wp:posOffset>
            </wp:positionV>
            <wp:extent cx="7134860"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0"/>
          </w:cols>
          <w:pgMar w:left="600" w:top="784" w:right="339" w:bottom="1440" w:gutter="0" w:footer="0" w:header="0"/>
        </w:sectPr>
      </w:pPr>
    </w:p>
    <w:bookmarkStart w:id="198" w:name="page199"/>
    <w:bookmarkEnd w:id="19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RESTRICTED STOCK UNIT GRANT NOTICE</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(2023 EMPLOYMENT INDUCEMENT AWARD PLAN)</w:t>
      </w:r>
    </w:p>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Zevra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2023 Employment Inducement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awards to</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Participant a Restricted Stock Unit Award for the number of shares of the Company’s Common Stock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set forth below (the</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Award</w:t>
      </w:r>
      <w:r>
        <w:rPr>
          <w:rFonts w:ascii="Times New Roman" w:cs="Times New Roman" w:eastAsia="Times New Roman" w:hAnsi="Times New Roman"/>
          <w:sz w:val="17"/>
          <w:szCs w:val="17"/>
          <w:color w:val="auto"/>
        </w:rPr>
        <w:t>”). The Award is subject to all of the terms and conditions as set forth in this notice of grant (this “</w:t>
      </w:r>
      <w:r>
        <w:rPr>
          <w:rFonts w:ascii="Times New Roman" w:cs="Times New Roman" w:eastAsia="Times New Roman" w:hAnsi="Times New Roman"/>
          <w:sz w:val="17"/>
          <w:szCs w:val="17"/>
          <w:b w:val="1"/>
          <w:bCs w:val="1"/>
          <w:i w:val="1"/>
          <w:iCs w:val="1"/>
          <w:color w:val="auto"/>
        </w:rPr>
        <w:t>Restricted Stock Unit Grant Notice</w:t>
      </w:r>
      <w:r>
        <w:rPr>
          <w:rFonts w:ascii="Times New Roman" w:cs="Times New Roman" w:eastAsia="Times New Roman" w:hAnsi="Times New Roman"/>
          <w:sz w:val="17"/>
          <w:szCs w:val="17"/>
          <w:color w:val="auto"/>
        </w:rPr>
        <w:t>”) and in the</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Plan and the Restricted Stock Unit Award Agreement (the “</w:t>
      </w:r>
      <w:r>
        <w:rPr>
          <w:rFonts w:ascii="Times New Roman" w:cs="Times New Roman" w:eastAsia="Times New Roman" w:hAnsi="Times New Roman"/>
          <w:sz w:val="17"/>
          <w:szCs w:val="17"/>
          <w:b w:val="1"/>
          <w:bCs w:val="1"/>
          <w:i w:val="1"/>
          <w:iCs w:val="1"/>
          <w:color w:val="auto"/>
        </w:rPr>
        <w:t>Award Agreement</w:t>
      </w:r>
      <w:r>
        <w:rPr>
          <w:rFonts w:ascii="Times New Roman" w:cs="Times New Roman" w:eastAsia="Times New Roman" w:hAnsi="Times New Roman"/>
          <w:sz w:val="17"/>
          <w:szCs w:val="17"/>
          <w:color w:val="auto"/>
        </w:rPr>
        <w:t>”), both of which are attached hereto and incorporated herein in their entirety.</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Capitalized terms not otherwise defined herein shall have the meanings set forth in the Plan or the Award Agreement. In the event of any conflict between</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terms in the Award and the Plan, the terms of the Plan shall control.</w:t>
      </w:r>
    </w:p>
    <w:p>
      <w:pPr>
        <w:spacing w:after="0" w:line="3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Participant:</w:t>
      </w:r>
      <w:r>
        <w:rPr>
          <w:rFonts w:ascii="Times New Roman" w:cs="Times New Roman" w:eastAsia="Times New Roman" w:hAnsi="Times New Roman"/>
          <w:sz w:val="29"/>
          <w:szCs w:val="29"/>
          <w:u w:val="single" w:color="auto"/>
          <w:color w:val="auto"/>
          <w:vertAlign w:val="superscript"/>
        </w:rPr>
        <w:t>[1]</w:t>
      </w:r>
    </w:p>
    <w:p>
      <w:pPr>
        <w:ind w:left="900"/>
        <w:spacing w:after="0"/>
        <w:rPr>
          <w:sz w:val="20"/>
          <w:szCs w:val="20"/>
          <w:color w:val="auto"/>
        </w:rPr>
      </w:pPr>
      <w:r>
        <w:rPr>
          <w:rFonts w:ascii="Times New Roman" w:cs="Times New Roman" w:eastAsia="Times New Roman" w:hAnsi="Times New Roman"/>
          <w:sz w:val="18"/>
          <w:szCs w:val="18"/>
          <w:color w:val="auto"/>
        </w:rPr>
        <w:t>ID:</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Date of Grant:</w:t>
      </w:r>
    </w:p>
    <w:p>
      <w:pPr>
        <w:spacing w:after="0" w:line="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Grant Number:</w:t>
      </w:r>
    </w:p>
    <w:p>
      <w:pPr>
        <w:spacing w:after="0" w:line="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Number of Restricted Stock Units/Shares:</w:t>
      </w:r>
    </w:p>
    <w:p>
      <w:pPr>
        <w:spacing w:after="0" w:line="200" w:lineRule="exact"/>
        <w:rPr>
          <w:sz w:val="20"/>
          <w:szCs w:val="20"/>
          <w:color w:val="auto"/>
        </w:rPr>
      </w:pPr>
    </w:p>
    <w:p>
      <w:pPr>
        <w:spacing w:after="0" w:line="20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Vesting</w:t>
      </w:r>
      <w:r>
        <w:rPr>
          <w:sz w:val="20"/>
          <w:szCs w:val="20"/>
          <w:color w:val="auto"/>
        </w:rPr>
        <w:tab/>
      </w:r>
      <w:r>
        <w:rPr>
          <w:rFonts w:ascii="Times New Roman" w:cs="Times New Roman" w:eastAsia="Times New Roman" w:hAnsi="Times New Roman"/>
          <w:sz w:val="18"/>
          <w:szCs w:val="18"/>
          <w:color w:val="auto"/>
        </w:rPr>
        <w:t>The shares subject to the Award shall vest as follows:</w:t>
      </w:r>
    </w:p>
    <w:p>
      <w:pPr>
        <w:spacing w:after="0" w:line="26" w:lineRule="exact"/>
        <w:rPr>
          <w:sz w:val="20"/>
          <w:szCs w:val="20"/>
          <w:color w:val="auto"/>
        </w:rPr>
      </w:pPr>
    </w:p>
    <w:p>
      <w:pPr>
        <w:ind w:left="18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Schedule:</w:t>
      </w:r>
      <w:r>
        <w:rPr>
          <w:sz w:val="20"/>
          <w:szCs w:val="20"/>
          <w:color w:val="auto"/>
        </w:rPr>
        <w:tab/>
      </w:r>
      <w:r>
        <w:rPr>
          <w:rFonts w:ascii="Times New Roman" w:cs="Times New Roman" w:eastAsia="Times New Roman" w:hAnsi="Times New Roman"/>
          <w:sz w:val="17"/>
          <w:szCs w:val="17"/>
          <w:color w:val="auto"/>
        </w:rPr>
        <w:t>[To be Determined by the Board of Directors].</w:t>
      </w:r>
    </w:p>
    <w:p>
      <w:pPr>
        <w:spacing w:after="0" w:line="5" w:lineRule="exact"/>
        <w:rPr>
          <w:sz w:val="20"/>
          <w:szCs w:val="20"/>
          <w:color w:val="auto"/>
        </w:rPr>
      </w:pPr>
    </w:p>
    <w:p>
      <w:pPr>
        <w:ind w:left="180" w:right="180" w:hanging="176"/>
        <w:spacing w:after="0" w:line="251" w:lineRule="auto"/>
        <w:rPr>
          <w:sz w:val="20"/>
          <w:szCs w:val="20"/>
          <w:color w:val="auto"/>
        </w:rPr>
      </w:pPr>
      <w:r>
        <w:rPr>
          <w:rFonts w:ascii="Times New Roman" w:cs="Times New Roman" w:eastAsia="Times New Roman" w:hAnsi="Times New Roman"/>
          <w:sz w:val="18"/>
          <w:szCs w:val="18"/>
          <w:b w:val="1"/>
          <w:bCs w:val="1"/>
          <w:color w:val="auto"/>
        </w:rPr>
        <w:t>Issuance</w:t>
      </w:r>
      <w:r>
        <w:rPr>
          <w:sz w:val="20"/>
          <w:szCs w:val="20"/>
          <w:color w:val="auto"/>
        </w:rPr>
        <w:t xml:space="preserve"> </w:t>
      </w:r>
      <w:r>
        <w:rPr>
          <w:rFonts w:ascii="Times New Roman" w:cs="Times New Roman" w:eastAsia="Times New Roman" w:hAnsi="Times New Roman"/>
          <w:sz w:val="18"/>
          <w:szCs w:val="18"/>
          <w:color w:val="auto"/>
        </w:rPr>
        <w:t xml:space="preserve">Subject to any change on a Capitalization Adjustment, one share of Common Stock will be issued for each Restricted Stock Unit that vests at </w:t>
      </w:r>
      <w:r>
        <w:rPr>
          <w:rFonts w:ascii="Times New Roman" w:cs="Times New Roman" w:eastAsia="Times New Roman" w:hAnsi="Times New Roman"/>
          <w:sz w:val="18"/>
          <w:szCs w:val="18"/>
          <w:b w:val="1"/>
          <w:bCs w:val="1"/>
          <w:color w:val="auto"/>
        </w:rPr>
        <w:t xml:space="preserve">Schedule: </w:t>
      </w:r>
      <w:r>
        <w:rPr>
          <w:rFonts w:ascii="Times New Roman" w:cs="Times New Roman" w:eastAsia="Times New Roman" w:hAnsi="Times New Roman"/>
          <w:sz w:val="18"/>
          <w:szCs w:val="18"/>
          <w:color w:val="auto"/>
        </w:rPr>
        <w:t>the time set forth in Section 6 of the Award Agreement.</w:t>
      </w:r>
    </w:p>
    <w:p>
      <w:pPr>
        <w:spacing w:after="0" w:line="182" w:lineRule="exact"/>
        <w:rPr>
          <w:sz w:val="20"/>
          <w:szCs w:val="20"/>
          <w:color w:val="auto"/>
        </w:rPr>
      </w:pPr>
    </w:p>
    <w:p>
      <w:pPr>
        <w:ind w:left="140" w:right="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Additional Terms/Acknowledgements: </w:t>
      </w:r>
      <w:r>
        <w:rPr>
          <w:rFonts w:ascii="Times New Roman" w:cs="Times New Roman" w:eastAsia="Times New Roman" w:hAnsi="Times New Roman"/>
          <w:sz w:val="18"/>
          <w:szCs w:val="18"/>
          <w:color w:val="auto"/>
        </w:rPr>
        <w:t>Participant acknowledges receipt of, and understands and agrees to, this Restricted Stock Unit Grant Notice,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and the Plan. Participant further acknowledges that as of the Date of Grant, this Restricted Stock Unit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the written employment agreement or offer letter agreement entered into between the Company and Participant specifying the terms that should govern this specific Award, and (ii) any compensation recovery policy that is adopted by the Company or is otherwise required by applicable law.</w:t>
      </w:r>
    </w:p>
    <w:p>
      <w:pPr>
        <w:spacing w:after="0" w:line="187" w:lineRule="exact"/>
        <w:rPr>
          <w:sz w:val="20"/>
          <w:szCs w:val="20"/>
          <w:color w:val="auto"/>
        </w:rPr>
      </w:pPr>
    </w:p>
    <w:p>
      <w:pPr>
        <w:ind w:left="140"/>
        <w:spacing w:after="0" w:line="255" w:lineRule="auto"/>
        <w:rPr>
          <w:sz w:val="20"/>
          <w:szCs w:val="20"/>
          <w:color w:val="auto"/>
        </w:rPr>
      </w:pPr>
      <w:r>
        <w:rPr>
          <w:rFonts w:ascii="Times New Roman" w:cs="Times New Roman" w:eastAsia="Times New Roman" w:hAnsi="Times New Roman"/>
          <w:sz w:val="18"/>
          <w:szCs w:val="18"/>
          <w:color w:val="auto"/>
        </w:rPr>
        <w:t>By accepting this Award, Participant acknowledges having received and read the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Agreements:</w:t>
            </w:r>
          </w:p>
        </w:tc>
        <w:tc>
          <w:tcPr>
            <w:tcW w:w="4280" w:type="dxa"/>
            <w:vAlign w:val="bottom"/>
          </w:tcPr>
          <w:p>
            <w:pPr>
              <w:spacing w:after="0"/>
              <w:rPr>
                <w:sz w:val="20"/>
                <w:szCs w:val="20"/>
                <w:color w:val="auto"/>
              </w:rPr>
            </w:pPr>
          </w:p>
        </w:tc>
      </w:tr>
      <w:tr>
        <w:trPr>
          <w:trHeight w:val="63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ZEVRA THERAPEUTICS, INC.</w:t>
            </w:r>
          </w:p>
        </w:tc>
        <w:tc>
          <w:tcPr>
            <w:tcW w:w="4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05"/>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Pr>
          <w:p>
            <w:pPr>
              <w:spacing w:after="0"/>
              <w:rPr>
                <w:sz w:val="24"/>
                <w:szCs w:val="24"/>
                <w:color w:val="auto"/>
              </w:rPr>
            </w:pPr>
          </w:p>
        </w:tc>
      </w:tr>
      <w:tr>
        <w:trPr>
          <w:trHeight w:val="231"/>
        </w:trPr>
        <w:tc>
          <w:tcPr>
            <w:tcW w:w="696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Signature</w:t>
            </w:r>
          </w:p>
        </w:tc>
        <w:tc>
          <w:tcPr>
            <w:tcW w:w="42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Signature</w:t>
            </w:r>
          </w:p>
        </w:tc>
      </w:tr>
      <w:tr>
        <w:trPr>
          <w:trHeight w:val="42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w:t>
            </w:r>
          </w:p>
        </w:tc>
      </w:tr>
      <w:tr>
        <w:trPr>
          <w:trHeight w:val="42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80" w:type="dxa"/>
            <w:vAlign w:val="bottom"/>
          </w:tcPr>
          <w:p>
            <w:pPr>
              <w:spacing w:after="0"/>
              <w:rPr>
                <w:sz w:val="24"/>
                <w:szCs w:val="24"/>
                <w:color w:val="auto"/>
              </w:rPr>
            </w:pPr>
          </w:p>
        </w:tc>
      </w:tr>
      <w:tr>
        <w:trPr>
          <w:trHeight w:val="424"/>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 Award Agreement and 2023 Employment Inducement Award Plan</w:t>
            </w:r>
          </w:p>
        </w:tc>
        <w:tc>
          <w:tcPr>
            <w:tcW w:w="4280" w:type="dxa"/>
            <w:vAlign w:val="bottom"/>
          </w:tcPr>
          <w:p>
            <w:pPr>
              <w:spacing w:after="0"/>
              <w:rPr>
                <w:sz w:val="24"/>
                <w:szCs w:val="24"/>
                <w:color w:val="auto"/>
              </w:rPr>
            </w:pPr>
          </w:p>
        </w:tc>
      </w:tr>
      <w:tr>
        <w:trPr>
          <w:trHeight w:val="774"/>
        </w:trPr>
        <w:tc>
          <w:tcPr>
            <w:tcW w:w="69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0" w:right="339"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2023 EMPLOYMENT INDUCEMENT AWARD PLAN</w:t>
      </w:r>
    </w:p>
    <w:p>
      <w:pPr>
        <w:spacing w:after="0" w:line="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194"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Pursuant to the Restricted Stock Unit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Restricted Stock Unit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Zevra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you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a Restricted Stock Unit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pursuant to the Company’s 2023 Employment Inducement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Units/shares indicated in the Grant Notice. Capitalized terms not explicitly defined in this Agreement or the Grant Notice shall have the same meanings given to them in the Plan. The terms of your Award, in addition to those set forth in the Grant Notice, are as follows.</w:t>
      </w:r>
    </w:p>
    <w:p>
      <w:pPr>
        <w:spacing w:after="0" w:line="179" w:lineRule="exact"/>
        <w:rPr>
          <w:sz w:val="20"/>
          <w:szCs w:val="20"/>
          <w:color w:val="auto"/>
        </w:rPr>
      </w:pPr>
    </w:p>
    <w:p>
      <w:pPr>
        <w:ind w:right="40" w:firstLine="7"/>
        <w:spacing w:after="0" w:line="256" w:lineRule="auto"/>
        <w:tabs>
          <w:tab w:leader="none" w:pos="177"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THE AWARD. </w:t>
      </w:r>
      <w:r>
        <w:rPr>
          <w:rFonts w:ascii="Times New Roman" w:cs="Times New Roman" w:eastAsia="Times New Roman" w:hAnsi="Times New Roman"/>
          <w:sz w:val="18"/>
          <w:szCs w:val="18"/>
          <w:color w:val="auto"/>
        </w:rPr>
        <w:t>This Award represents the right to be issued on a future date one (1) share of Common Stock for each Restricted Stock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vests on the applicable vesting date(s) (subject to any adjustment under Section 3 below) as indicated in the Grant Notice. As of the Date of Grant, the Company will credit to a bookkeeping account maintained by the Company for your benefit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the number of Restricted Stock Units/shares of Common Stock subject to the Award. This Award was granted in consideration of your services to the Company.</w:t>
      </w:r>
    </w:p>
    <w:p>
      <w:pPr>
        <w:spacing w:after="0" w:line="176" w:lineRule="exact"/>
        <w:rPr>
          <w:rFonts w:ascii="Times New Roman" w:cs="Times New Roman" w:eastAsia="Times New Roman" w:hAnsi="Times New Roman"/>
          <w:sz w:val="18"/>
          <w:szCs w:val="18"/>
          <w:b w:val="1"/>
          <w:bCs w:val="1"/>
          <w:color w:val="auto"/>
        </w:rPr>
      </w:pPr>
    </w:p>
    <w:p>
      <w:pPr>
        <w:ind w:firstLine="7"/>
        <w:spacing w:after="0" w:line="256" w:lineRule="auto"/>
        <w:tabs>
          <w:tab w:leader="none" w:pos="177"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Subject to the limitations contained herein, your Award will vest, if at all, in accordance with the vesting schedule provided in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spacing w:after="0" w:line="176" w:lineRule="exact"/>
        <w:rPr>
          <w:rFonts w:ascii="Times New Roman" w:cs="Times New Roman" w:eastAsia="Times New Roman" w:hAnsi="Times New Roman"/>
          <w:sz w:val="18"/>
          <w:szCs w:val="18"/>
          <w:b w:val="1"/>
          <w:bCs w:val="1"/>
          <w:color w:val="auto"/>
        </w:rPr>
      </w:pPr>
    </w:p>
    <w:p>
      <w:pPr>
        <w:ind w:firstLine="7"/>
        <w:spacing w:after="0" w:line="251" w:lineRule="auto"/>
        <w:tabs>
          <w:tab w:leader="none" w:pos="176"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OF SHARES. </w:t>
      </w:r>
      <w:r>
        <w:rPr>
          <w:rFonts w:ascii="Times New Roman" w:cs="Times New Roman" w:eastAsia="Times New Roman" w:hAnsi="Times New Roman"/>
          <w:sz w:val="18"/>
          <w:szCs w:val="18"/>
          <w:color w:val="auto"/>
        </w:rPr>
        <w:t>The number of Restricted Stock Units/shares subject to your Award may be adjusted from time to time for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85" w:lineRule="exact"/>
        <w:rPr>
          <w:rFonts w:ascii="Times New Roman" w:cs="Times New Roman" w:eastAsia="Times New Roman" w:hAnsi="Times New Roman"/>
          <w:sz w:val="18"/>
          <w:szCs w:val="18"/>
          <w:b w:val="1"/>
          <w:bCs w:val="1"/>
          <w:color w:val="auto"/>
        </w:rPr>
      </w:pPr>
    </w:p>
    <w:p>
      <w:pPr>
        <w:ind w:right="20" w:firstLine="7"/>
        <w:spacing w:after="0" w:line="275" w:lineRule="auto"/>
        <w:tabs>
          <w:tab w:leader="none" w:pos="177"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SECURITIES LAW COMPLIANCE. </w:t>
      </w:r>
      <w:r>
        <w:rPr>
          <w:rFonts w:ascii="Times New Roman" w:cs="Times New Roman" w:eastAsia="Times New Roman" w:hAnsi="Times New Roman"/>
          <w:sz w:val="17"/>
          <w:szCs w:val="17"/>
          <w:color w:val="auto"/>
        </w:rPr>
        <w:t>You may not be issued any Common Stock under your Award unless the shares of Common Stock underlying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spacing w:after="0" w:line="164" w:lineRule="exact"/>
        <w:rPr>
          <w:rFonts w:ascii="Times New Roman" w:cs="Times New Roman" w:eastAsia="Times New Roman" w:hAnsi="Times New Roman"/>
          <w:sz w:val="17"/>
          <w:szCs w:val="17"/>
          <w:b w:val="1"/>
          <w:bCs w:val="1"/>
          <w:color w:val="auto"/>
        </w:rPr>
      </w:pPr>
    </w:p>
    <w:p>
      <w:pPr>
        <w:ind w:right="220" w:firstLine="7"/>
        <w:spacing w:after="0" w:line="256" w:lineRule="auto"/>
        <w:tabs>
          <w:tab w:leader="none" w:pos="177"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Prior to the time that shares of Common Stock have been delivered to you, you may not transfer, pledge, sell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77" w:lineRule="exact"/>
        <w:rPr>
          <w:sz w:val="20"/>
          <w:szCs w:val="20"/>
          <w:color w:val="auto"/>
        </w:rPr>
      </w:pPr>
    </w:p>
    <w:p>
      <w:pPr>
        <w:jc w:val="both"/>
        <w:ind w:firstLine="7"/>
        <w:spacing w:after="0" w:line="261" w:lineRule="auto"/>
        <w:tabs>
          <w:tab w:leader="none" w:pos="25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Your Award is transferable by will and by the laws of descent and distribution. At your death, vesting of your Award will cease and your executor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administrator of your estate shall be entitled to receive, on behalf of your estate, any Common Stock or other consideration that vested but was not issued before your death.</w:t>
      </w:r>
    </w:p>
    <w:p>
      <w:pPr>
        <w:spacing w:after="0" w:line="172" w:lineRule="exact"/>
        <w:rPr>
          <w:rFonts w:ascii="Times New Roman" w:cs="Times New Roman" w:eastAsia="Times New Roman" w:hAnsi="Times New Roman"/>
          <w:sz w:val="18"/>
          <w:szCs w:val="18"/>
          <w:b w:val="1"/>
          <w:bCs w:val="1"/>
          <w:color w:val="auto"/>
        </w:rPr>
      </w:pPr>
    </w:p>
    <w:p>
      <w:pPr>
        <w:ind w:right="100" w:firstLine="7"/>
        <w:spacing w:after="0" w:line="256" w:lineRule="auto"/>
        <w:tabs>
          <w:tab w:leader="none" w:pos="2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Upon receiving written permission from the Board or its duly authorized designee, and provided that you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transferee enter into transfer and other agreements required by the Company, you may transfer your right to receive the distribution of Common Stock or other consideration hereunder, pursuant to a domestic relations order or marital settlement agreement that contains the information required by the Company to effectuate the transfer. You are encouraged to discuss the proposed terms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344170</wp:posOffset>
            </wp:positionV>
            <wp:extent cx="71348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080"/>
          </w:cols>
          <w:pgMar w:left="460" w:top="570" w:right="359" w:bottom="1440" w:gutter="0" w:footer="0" w:header="0"/>
        </w:sectPr>
      </w:pPr>
    </w:p>
    <w:bookmarkStart w:id="200" w:name="page201"/>
    <w:bookmarkEnd w:id="200"/>
    <w:p>
      <w:pPr>
        <w:jc w:val="both"/>
        <w:ind w:right="80"/>
        <w:spacing w:after="0" w:line="304" w:lineRule="auto"/>
        <w:rPr>
          <w:sz w:val="20"/>
          <w:szCs w:val="20"/>
          <w:color w:val="auto"/>
        </w:rPr>
      </w:pPr>
      <w:r>
        <w:rPr>
          <w:rFonts w:ascii="Times New Roman" w:cs="Times New Roman" w:eastAsia="Times New Roman" w:hAnsi="Times New Roman"/>
          <w:sz w:val="17"/>
          <w:szCs w:val="17"/>
          <w:color w:val="auto"/>
        </w:rPr>
        <w:t>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39" w:lineRule="exact"/>
        <w:rPr>
          <w:sz w:val="20"/>
          <w:szCs w:val="20"/>
          <w:color w:val="auto"/>
        </w:rPr>
      </w:pPr>
    </w:p>
    <w:p>
      <w:pPr>
        <w:ind w:left="180" w:hanging="173"/>
        <w:spacing w:after="0"/>
        <w:tabs>
          <w:tab w:leader="none" w:pos="18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1"/>
          <w:szCs w:val="11"/>
          <w:b w:val="1"/>
          <w:bCs w:val="1"/>
          <w:color w:val="auto"/>
        </w:rPr>
        <w:t>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1"/>
          <w:szCs w:val="11"/>
          <w:b w:val="1"/>
          <w:bCs w:val="1"/>
          <w:color w:val="auto"/>
        </w:rPr>
        <w:t>ssuance</w:t>
      </w:r>
    </w:p>
    <w:p>
      <w:pPr>
        <w:spacing w:after="0" w:line="219" w:lineRule="exact"/>
        <w:rPr>
          <w:sz w:val="20"/>
          <w:szCs w:val="20"/>
          <w:color w:val="auto"/>
        </w:rPr>
      </w:pPr>
    </w:p>
    <w:p>
      <w:pPr>
        <w:ind w:right="60" w:firstLine="7"/>
        <w:spacing w:after="0" w:line="252" w:lineRule="auto"/>
        <w:tabs>
          <w:tab w:leader="none" w:pos="25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Stock Units is intended to comply with Treasury Regulations Section 1.409A-1(b)(4) and will be construed and administered in such a manner. Subject to the satisfaction of the withholding obligations set forth in this Agreement, in the event one or more Restricted Stock Units vests, the Company shall issue to you one (1) share of Common Stock for each Restricted Stock Unit that vests on the applicable vesting date(s) (subject to any adjustment under Section 3 above). The issuance date determined by this paragraph is referred to as the “</w:t>
      </w:r>
      <w:r>
        <w:rPr>
          <w:rFonts w:ascii="Times New Roman" w:cs="Times New Roman" w:eastAsia="Times New Roman" w:hAnsi="Times New Roman"/>
          <w:sz w:val="18"/>
          <w:szCs w:val="18"/>
          <w:b w:val="1"/>
          <w:bCs w:val="1"/>
          <w:i w:val="1"/>
          <w:iCs w:val="1"/>
          <w:color w:val="auto"/>
        </w:rPr>
        <w:t>Original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b w:val="1"/>
          <w:bCs w:val="1"/>
          <w:color w:val="auto"/>
        </w:rPr>
      </w:pPr>
    </w:p>
    <w:p>
      <w:pPr>
        <w:ind w:left="260" w:hanging="253"/>
        <w:spacing w:after="0"/>
        <w:tabs>
          <w:tab w:leader="none" w:pos="2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Original Issuance Date falls on a date that is not a business day, delivery shall instead occur on the next following business day. In addition, if:</w:t>
      </w:r>
    </w:p>
    <w:p>
      <w:pPr>
        <w:spacing w:after="0" w:line="217" w:lineRule="exact"/>
        <w:rPr>
          <w:sz w:val="20"/>
          <w:szCs w:val="20"/>
          <w:color w:val="auto"/>
        </w:rPr>
      </w:pPr>
    </w:p>
    <w:p>
      <w:pPr>
        <w:ind w:right="40" w:firstLine="7"/>
        <w:spacing w:after="0" w:line="259" w:lineRule="auto"/>
        <w:tabs>
          <w:tab w:leader="none" w:pos="211"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w:t>
      </w:r>
      <w:r>
        <w:rPr>
          <w:rFonts w:ascii="Times New Roman" w:cs="Times New Roman" w:eastAsia="Times New Roman" w:hAnsi="Times New Roman"/>
          <w:sz w:val="18"/>
          <w:szCs w:val="18"/>
          <w:i w:val="1"/>
          <w:iCs w:val="1"/>
          <w:color w:val="auto"/>
        </w:rPr>
        <w:t>and</w:t>
      </w:r>
    </w:p>
    <w:p>
      <w:pPr>
        <w:spacing w:after="0" w:line="177" w:lineRule="exact"/>
        <w:rPr>
          <w:rFonts w:ascii="Times New Roman" w:cs="Times New Roman" w:eastAsia="Times New Roman" w:hAnsi="Times New Roman"/>
          <w:sz w:val="18"/>
          <w:szCs w:val="18"/>
          <w:b w:val="1"/>
          <w:bCs w:val="1"/>
          <w:color w:val="auto"/>
        </w:rPr>
      </w:pPr>
    </w:p>
    <w:p>
      <w:pPr>
        <w:ind w:right="120" w:firstLine="7"/>
        <w:spacing w:after="0" w:line="259" w:lineRule="auto"/>
        <w:tabs>
          <w:tab w:leader="none" w:pos="2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Award, and (B) not to permit you to pay your Withholding Taxes in cash,</w:t>
      </w:r>
    </w:p>
    <w:p>
      <w:pPr>
        <w:spacing w:after="0" w:line="17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8"/>
          <w:szCs w:val="18"/>
          <w:u w:val="single" w:color="auto"/>
          <w:color w:val="auto"/>
        </w:rPr>
        <w:t>if and only if</w:t>
      </w:r>
      <w:r>
        <w:rPr>
          <w:rFonts w:ascii="Times New Roman" w:cs="Times New Roman" w:eastAsia="Times New Roman" w:hAnsi="Times New Roman"/>
          <w:sz w:val="18"/>
          <w:szCs w:val="18"/>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85" w:lineRule="exact"/>
        <w:rPr>
          <w:sz w:val="20"/>
          <w:szCs w:val="20"/>
          <w:color w:val="auto"/>
        </w:rPr>
      </w:pPr>
    </w:p>
    <w:p>
      <w:pPr>
        <w:ind w:left="240" w:hanging="233"/>
        <w:spacing w:after="0"/>
        <w:tabs>
          <w:tab w:leader="none" w:pos="24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form of delivery (e.g., a stock certificate or electronic entry evidencing such shares) shall be determined by the Company.</w:t>
      </w:r>
    </w:p>
    <w:p>
      <w:pPr>
        <w:spacing w:after="0" w:line="215" w:lineRule="exact"/>
        <w:rPr>
          <w:sz w:val="20"/>
          <w:szCs w:val="20"/>
          <w:color w:val="auto"/>
        </w:rPr>
      </w:pPr>
    </w:p>
    <w:p>
      <w:pPr>
        <w:ind w:right="120" w:firstLine="7"/>
        <w:spacing w:after="0" w:line="276" w:lineRule="auto"/>
        <w:tabs>
          <w:tab w:leader="none" w:pos="177"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You shall receive no benefit or adjustment to your Award with respect to any cash dividend, stock dividend or other distribution that does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result from a Capitalization Adjustment.</w:t>
      </w:r>
    </w:p>
    <w:p>
      <w:pPr>
        <w:spacing w:after="0" w:line="159" w:lineRule="exact"/>
        <w:rPr>
          <w:rFonts w:ascii="Times New Roman" w:cs="Times New Roman" w:eastAsia="Times New Roman" w:hAnsi="Times New Roman"/>
          <w:sz w:val="18"/>
          <w:szCs w:val="18"/>
          <w:b w:val="1"/>
          <w:bCs w:val="1"/>
          <w:color w:val="auto"/>
        </w:rPr>
      </w:pPr>
    </w:p>
    <w:p>
      <w:pPr>
        <w:ind w:right="220" w:firstLine="7"/>
        <w:spacing w:after="0" w:line="276" w:lineRule="auto"/>
        <w:tabs>
          <w:tab w:leader="none" w:pos="177"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LEGENDS</w:t>
      </w:r>
      <w:r>
        <w:rPr>
          <w:rFonts w:ascii="Times New Roman" w:cs="Times New Roman" w:eastAsia="Times New Roman" w:hAnsi="Times New Roman"/>
          <w:sz w:val="18"/>
          <w:szCs w:val="18"/>
          <w:color w:val="auto"/>
        </w:rPr>
        <w:t>. The shares of Common Stock issued under your Award shall be endorsed with appropriate legends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159" w:lineRule="exact"/>
        <w:rPr>
          <w:rFonts w:ascii="Times New Roman" w:cs="Times New Roman" w:eastAsia="Times New Roman" w:hAnsi="Times New Roman"/>
          <w:sz w:val="18"/>
          <w:szCs w:val="18"/>
          <w:b w:val="1"/>
          <w:bCs w:val="1"/>
          <w:color w:val="auto"/>
        </w:rPr>
      </w:pPr>
    </w:p>
    <w:p>
      <w:pPr>
        <w:ind w:right="40" w:firstLine="7"/>
        <w:spacing w:after="0" w:line="283" w:lineRule="auto"/>
        <w:tabs>
          <w:tab w:leader="none" w:pos="177" w:val="left"/>
        </w:tabs>
        <w:numPr>
          <w:ilvl w:val="0"/>
          <w:numId w:val="1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EXECUTION OF DOCUMENTS. </w:t>
      </w:r>
      <w:r>
        <w:rPr>
          <w:rFonts w:ascii="Times New Roman" w:cs="Times New Roman" w:eastAsia="Times New Roman" w:hAnsi="Times New Roman"/>
          <w:sz w:val="17"/>
          <w:szCs w:val="17"/>
          <w:color w:val="auto"/>
        </w:rPr>
        <w:t>You hereby acknowledge and agree that the manner selected by the Company by which you indicate your consent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156" w:lineRule="exact"/>
        <w:rPr>
          <w:rFonts w:ascii="Times New Roman" w:cs="Times New Roman" w:eastAsia="Times New Roman" w:hAnsi="Times New Roman"/>
          <w:sz w:val="17"/>
          <w:szCs w:val="17"/>
          <w:b w:val="1"/>
          <w:bCs w:val="1"/>
          <w:color w:val="auto"/>
        </w:rPr>
      </w:pPr>
    </w:p>
    <w:p>
      <w:pPr>
        <w:ind w:left="280" w:hanging="273"/>
        <w:spacing w:after="0"/>
        <w:tabs>
          <w:tab w:leader="none" w:pos="28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1"/>
          <w:szCs w:val="11"/>
          <w:b w:val="1"/>
          <w:bCs w:val="1"/>
          <w:color w:val="auto"/>
        </w:rPr>
        <w:t>ward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1"/>
          <w:szCs w:val="11"/>
          <w:b w:val="1"/>
          <w:bCs w:val="1"/>
          <w:color w:val="auto"/>
        </w:rPr>
        <w:t>ot 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1"/>
          <w:szCs w:val="11"/>
          <w:b w:val="1"/>
          <w:bCs w:val="1"/>
          <w:color w:val="auto"/>
        </w:rPr>
        <w:t>ervice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1"/>
          <w:szCs w:val="11"/>
          <w:b w:val="1"/>
          <w:bCs w:val="1"/>
          <w:color w:val="auto"/>
        </w:rPr>
        <w:t>ontract</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ind w:firstLine="7"/>
        <w:spacing w:after="0" w:line="251" w:lineRule="auto"/>
        <w:tabs>
          <w:tab w:leader="none" w:pos="25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this Agreement (including, but not limited to, the vesting of your Award or the issuance of the shares subject to your Award), the Plan or any covenant of good faith and fair dealing that may be found implicit in this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213360</wp:posOffset>
            </wp:positionV>
            <wp:extent cx="7134860"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080"/>
          </w:cols>
          <w:pgMar w:left="460" w:top="784" w:right="359" w:bottom="1440" w:gutter="0" w:footer="0" w:header="0"/>
        </w:sectPr>
      </w:pPr>
    </w:p>
    <w:bookmarkStart w:id="201" w:name="page202"/>
    <w:bookmarkEnd w:id="201"/>
    <w:p>
      <w:pPr>
        <w:ind w:left="-7" w:right="60" w:firstLine="7"/>
        <w:spacing w:after="0" w:line="250" w:lineRule="auto"/>
        <w:tabs>
          <w:tab w:leader="none" w:pos="253"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the right to reorganize, sell, spin-out or otherwise restructure one or more of its businesses or Affiliates at any time or from time to time, as it deems appropriate (a “</w:t>
      </w:r>
      <w:r>
        <w:rPr>
          <w:rFonts w:ascii="Times New Roman" w:cs="Times New Roman" w:eastAsia="Times New Roman" w:hAnsi="Times New Roman"/>
          <w:sz w:val="18"/>
          <w:szCs w:val="18"/>
          <w:b w:val="1"/>
          <w:bCs w:val="1"/>
          <w:i w:val="1"/>
          <w:iCs w:val="1"/>
          <w:color w:val="auto"/>
        </w:rPr>
        <w:t>reorganization</w:t>
      </w:r>
      <w:r>
        <w:rPr>
          <w:rFonts w:ascii="Times New Roman" w:cs="Times New Roman" w:eastAsia="Times New Roman" w:hAnsi="Times New Roman"/>
          <w:sz w:val="18"/>
          <w:szCs w:val="18"/>
          <w:color w:val="auto"/>
        </w:rPr>
        <w: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conduct a reorganization.</w:t>
      </w:r>
    </w:p>
    <w:p>
      <w:pPr>
        <w:spacing w:after="0" w:line="185" w:lineRule="exact"/>
        <w:rPr>
          <w:sz w:val="20"/>
          <w:szCs w:val="20"/>
          <w:color w:val="auto"/>
        </w:rPr>
      </w:pPr>
    </w:p>
    <w:p>
      <w:pPr>
        <w:ind w:left="253" w:hanging="253"/>
        <w:spacing w:after="0"/>
        <w:tabs>
          <w:tab w:leader="none" w:pos="253"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1"/>
          <w:szCs w:val="11"/>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1"/>
          <w:szCs w:val="11"/>
          <w:b w:val="1"/>
          <w:bCs w:val="1"/>
          <w:color w:val="auto"/>
        </w:rPr>
        <w:t>bligations</w:t>
      </w:r>
    </w:p>
    <w:p>
      <w:pPr>
        <w:spacing w:after="0" w:line="219" w:lineRule="exact"/>
        <w:rPr>
          <w:sz w:val="20"/>
          <w:szCs w:val="20"/>
          <w:color w:val="auto"/>
        </w:rPr>
      </w:pPr>
    </w:p>
    <w:p>
      <w:pPr>
        <w:ind w:left="-7" w:firstLine="7"/>
        <w:spacing w:after="0" w:line="247" w:lineRule="auto"/>
        <w:tabs>
          <w:tab w:leader="none" w:pos="243"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vesting date, and on or before the time you receive a distribution of the shares underlying your Restricted Stock Units, and at any other time as reasonably requested by the Company in accordance with applicable tax laws, you hereby authorize any required withholding from the Common Stock issuable to you and/or otherwise agree to make adequate provision in cash for any sums required to satisfy the federal, state, local and foreign tax withholding obligations of the Company or any Affiliate that arise in connection with your Award (the “</w:t>
      </w:r>
      <w:r>
        <w:rPr>
          <w:rFonts w:ascii="Times New Roman" w:cs="Times New Roman" w:eastAsia="Times New Roman" w:hAnsi="Times New Roman"/>
          <w:sz w:val="18"/>
          <w:szCs w:val="18"/>
          <w:b w:val="1"/>
          <w:bCs w:val="1"/>
          <w:i w:val="1"/>
          <w:iCs w:val="1"/>
          <w:color w:val="auto"/>
        </w:rPr>
        <w:t>Withholding Taxes</w:t>
      </w:r>
      <w:r>
        <w:rPr>
          <w:rFonts w:ascii="Times New Roman" w:cs="Times New Roman" w:eastAsia="Times New Roman" w:hAnsi="Times New Roman"/>
          <w:sz w:val="18"/>
          <w:szCs w:val="18"/>
          <w:color w:val="auto"/>
        </w:rPr>
        <w:t>”). Additionally,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(iii) permitting or requiring you to enter into a “same day sale” commitment, if applicable,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 xml:space="preserve">”)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and/or its Affiliates; or (iv) withholding shares of Common Stock from the shares of Common Stock issued or otherwise issuable to you in connection with the Award with a Fair Market Value (measured as of the date shares of Common Stock are issued to pursuant to Section 6) equal to the amount of such Withholding Taxes;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number of such shares of Common Stock so withheld will not exceed the amount necessary to satisfy the Company’s required tax withholding obligations using the minimum statutory withholding rates for federal, state, local and foreign tax purposes, including payroll taxes, that are applicable to supplemental taxable income;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further, that to the extent necessary to qualify for an exemption from application of Section 16(b) of the Exchange Act, if applicable, such share withholding procedure will be subject to the express prior approval of the Company’s Compensation Committee.</w:t>
      </w:r>
    </w:p>
    <w:p>
      <w:pPr>
        <w:spacing w:after="0" w:line="195" w:lineRule="exact"/>
        <w:rPr>
          <w:rFonts w:ascii="Times New Roman" w:cs="Times New Roman" w:eastAsia="Times New Roman" w:hAnsi="Times New Roman"/>
          <w:sz w:val="18"/>
          <w:szCs w:val="18"/>
          <w:b w:val="1"/>
          <w:bCs w:val="1"/>
          <w:color w:val="auto"/>
        </w:rPr>
      </w:pPr>
    </w:p>
    <w:p>
      <w:pPr>
        <w:ind w:left="-7" w:right="300" w:firstLine="7"/>
        <w:spacing w:after="0" w:line="274" w:lineRule="auto"/>
        <w:tabs>
          <w:tab w:leader="none" w:pos="253"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tax withholding obligations of the Company and/or any Affiliate are satisfied, the Company shall have no obligation to deliver to you any Common Stock.</w:t>
      </w:r>
    </w:p>
    <w:p>
      <w:pPr>
        <w:spacing w:after="0" w:line="163" w:lineRule="exact"/>
        <w:rPr>
          <w:rFonts w:ascii="Times New Roman" w:cs="Times New Roman" w:eastAsia="Times New Roman" w:hAnsi="Times New Roman"/>
          <w:sz w:val="18"/>
          <w:szCs w:val="18"/>
          <w:b w:val="1"/>
          <w:bCs w:val="1"/>
          <w:color w:val="auto"/>
        </w:rPr>
      </w:pPr>
    </w:p>
    <w:p>
      <w:pPr>
        <w:ind w:left="-7" w:right="80" w:firstLine="7"/>
        <w:spacing w:after="0" w:line="259" w:lineRule="auto"/>
        <w:tabs>
          <w:tab w:leader="none" w:pos="233"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76" w:lineRule="exact"/>
        <w:rPr>
          <w:sz w:val="20"/>
          <w:szCs w:val="20"/>
          <w:color w:val="auto"/>
        </w:rPr>
      </w:pPr>
    </w:p>
    <w:p>
      <w:pPr>
        <w:ind w:left="-7" w:right="40" w:firstLine="7"/>
        <w:spacing w:after="0" w:line="253" w:lineRule="auto"/>
        <w:tabs>
          <w:tab w:leader="none" w:pos="258"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CONSEQUENCES. </w:t>
      </w:r>
      <w:r>
        <w:rPr>
          <w:rFonts w:ascii="Times New Roman" w:cs="Times New Roman" w:eastAsia="Times New Roman" w:hAnsi="Times New Roman"/>
          <w:sz w:val="18"/>
          <w:szCs w:val="18"/>
          <w:color w:val="auto"/>
        </w:rPr>
        <w:t>The Company has no duty or obligation to minimize the tax consequences to you of this Award and shall not be liable to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181" w:lineRule="exact"/>
        <w:rPr>
          <w:rFonts w:ascii="Times New Roman" w:cs="Times New Roman" w:eastAsia="Times New Roman" w:hAnsi="Times New Roman"/>
          <w:sz w:val="18"/>
          <w:szCs w:val="18"/>
          <w:b w:val="1"/>
          <w:bCs w:val="1"/>
          <w:color w:val="auto"/>
        </w:rPr>
      </w:pPr>
    </w:p>
    <w:p>
      <w:pPr>
        <w:ind w:left="-7" w:right="100" w:firstLine="7"/>
        <w:spacing w:after="0" w:line="253" w:lineRule="auto"/>
        <w:tabs>
          <w:tab w:leader="none" w:pos="258"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UNSECURED OBLIGATION. </w:t>
      </w:r>
      <w:r>
        <w:rPr>
          <w:rFonts w:ascii="Times New Roman" w:cs="Times New Roman" w:eastAsia="Times New Roman" w:hAnsi="Times New Roman"/>
          <w:sz w:val="18"/>
          <w:szCs w:val="18"/>
          <w:color w:val="auto"/>
        </w:rPr>
        <w:t>Your Award is unfunded, and as a holder of a vested Award, you shall be considered an unsecured creditor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212090</wp:posOffset>
            </wp:positionV>
            <wp:extent cx="7134860"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073"/>
          </w:cols>
          <w:pgMar w:left="467" w:top="784" w:right="359" w:bottom="1440" w:gutter="0" w:footer="0" w:header="0"/>
        </w:sectPr>
      </w:pPr>
    </w:p>
    <w:bookmarkStart w:id="202" w:name="page203"/>
    <w:bookmarkEnd w:id="202"/>
    <w:p>
      <w:pPr>
        <w:ind w:left="140"/>
        <w:spacing w:after="0"/>
        <w:rPr>
          <w:sz w:val="20"/>
          <w:szCs w:val="20"/>
          <w:color w:val="auto"/>
        </w:rPr>
      </w:pPr>
      <w:r>
        <w:rPr>
          <w:rFonts w:ascii="Times New Roman" w:cs="Times New Roman" w:eastAsia="Times New Roman" w:hAnsi="Times New Roman"/>
          <w:sz w:val="18"/>
          <w:szCs w:val="18"/>
          <w:color w:val="auto"/>
        </w:rPr>
        <w:t>shall create or be construed to create a trust of any kind or a fiduciary relationship between you and the Company or any other person.</w:t>
      </w:r>
    </w:p>
    <w:p>
      <w:pPr>
        <w:spacing w:after="0" w:line="215" w:lineRule="exact"/>
        <w:rPr>
          <w:sz w:val="20"/>
          <w:szCs w:val="20"/>
          <w:color w:val="auto"/>
        </w:rPr>
      </w:pPr>
    </w:p>
    <w:p>
      <w:pPr>
        <w:ind w:left="140" w:firstLine="7"/>
        <w:spacing w:after="0" w:line="253" w:lineRule="auto"/>
        <w:tabs>
          <w:tab w:leader="none" w:pos="405"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 or request required or permitted hereunder shall be given in writing to each of the other parties hereto and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at the following addresses, or at such other address(es) as a party may designate by ten (10) days’ advance written notice to each of the other parties hereto:</w:t>
      </w:r>
    </w:p>
    <w:p>
      <w:pPr>
        <w:sectPr>
          <w:pgSz w:w="11900" w:h="16838" w:orient="portrait"/>
          <w:cols w:equalWidth="0" w:num="1">
            <w:col w:w="11220"/>
          </w:cols>
          <w:pgMar w:left="320" w:top="784" w:right="359" w:bottom="1440" w:gutter="0" w:footer="0" w:header="0"/>
        </w:sect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Zevra Therapeutics,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Stock Administrator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1180 Celebration Blvd, Suite 103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Celebration, FL 34747</w:t>
      </w:r>
    </w:p>
    <w:p>
      <w:pPr>
        <w:spacing w:after="0" w:line="196" w:lineRule="exact"/>
        <w:rPr>
          <w:sz w:val="20"/>
          <w:szCs w:val="20"/>
          <w:color w:val="auto"/>
        </w:rPr>
      </w:pPr>
    </w:p>
    <w:p>
      <w:pPr>
        <w:sectPr>
          <w:pgSz w:w="11900" w:h="16838" w:orient="portrait"/>
          <w:cols w:equalWidth="0" w:num="2">
            <w:col w:w="2700" w:space="720"/>
            <w:col w:w="7800"/>
          </w:cols>
          <w:pgMar w:left="320" w:top="784"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Your address as on file with the Company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notice is given</w:t>
      </w:r>
    </w:p>
    <w:p>
      <w:pPr>
        <w:spacing w:after="0" w:line="196" w:lineRule="exact"/>
        <w:rPr>
          <w:sz w:val="20"/>
          <w:szCs w:val="20"/>
          <w:color w:val="auto"/>
        </w:rPr>
      </w:pPr>
    </w:p>
    <w:p>
      <w:pPr>
        <w:sectPr>
          <w:pgSz w:w="11900" w:h="16838" w:orient="portrait"/>
          <w:cols w:equalWidth="0" w:num="2">
            <w:col w:w="2700" w:space="720"/>
            <w:col w:w="7800"/>
          </w:cols>
          <w:pgMar w:left="320" w:top="784" w:right="359" w:bottom="1440" w:gutter="0" w:footer="0" w:header="0"/>
          <w:type w:val="continuous"/>
        </w:sectPr>
      </w:pPr>
    </w:p>
    <w:p>
      <w:pPr>
        <w:ind w:left="140" w:right="440" w:firstLine="7"/>
        <w:spacing w:after="0" w:line="276" w:lineRule="auto"/>
        <w:tabs>
          <w:tab w:leader="none" w:pos="405"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HEADINGS. </w:t>
      </w:r>
      <w:r>
        <w:rPr>
          <w:rFonts w:ascii="Times New Roman" w:cs="Times New Roman" w:eastAsia="Times New Roman" w:hAnsi="Times New Roman"/>
          <w:sz w:val="18"/>
          <w:szCs w:val="18"/>
          <w:color w:val="auto"/>
        </w:rPr>
        <w:t>The headings of the Sections in this Agreement are inserted for convenience only and shall not be deemed to constitute a part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to affect the meaning of this Agreement.</w:t>
      </w:r>
    </w:p>
    <w:p>
      <w:pPr>
        <w:spacing w:after="0" w:line="159" w:lineRule="exact"/>
        <w:rPr>
          <w:rFonts w:ascii="Times New Roman" w:cs="Times New Roman" w:eastAsia="Times New Roman" w:hAnsi="Times New Roman"/>
          <w:sz w:val="18"/>
          <w:szCs w:val="18"/>
          <w:b w:val="1"/>
          <w:bCs w:val="1"/>
          <w:color w:val="auto"/>
        </w:rPr>
      </w:pPr>
    </w:p>
    <w:p>
      <w:pPr>
        <w:ind w:left="420" w:hanging="273"/>
        <w:spacing w:after="0"/>
        <w:tabs>
          <w:tab w:leader="none" w:pos="42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1"/>
          <w:szCs w:val="11"/>
          <w:b w:val="1"/>
          <w:bCs w:val="1"/>
          <w:color w:val="auto"/>
        </w:rPr>
        <w:t>iscellaneous</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ind w:left="140" w:right="520" w:firstLine="7"/>
        <w:spacing w:after="0" w:line="274" w:lineRule="auto"/>
        <w:tabs>
          <w:tab w:leader="none" w:pos="39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63" w:lineRule="exact"/>
        <w:rPr>
          <w:rFonts w:ascii="Times New Roman" w:cs="Times New Roman" w:eastAsia="Times New Roman" w:hAnsi="Times New Roman"/>
          <w:sz w:val="18"/>
          <w:szCs w:val="18"/>
          <w:b w:val="1"/>
          <w:bCs w:val="1"/>
          <w:color w:val="auto"/>
        </w:rPr>
      </w:pPr>
    </w:p>
    <w:p>
      <w:pPr>
        <w:ind w:left="140" w:firstLine="7"/>
        <w:spacing w:after="0" w:line="274" w:lineRule="auto"/>
        <w:tabs>
          <w:tab w:leader="none" w:pos="40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agree upon request to execute any further documents or instruments necessary or desirable in the sole determination of the Company to carry out the purposes or intent of your Award.</w:t>
      </w:r>
    </w:p>
    <w:p>
      <w:pPr>
        <w:spacing w:after="0" w:line="163" w:lineRule="exact"/>
        <w:rPr>
          <w:rFonts w:ascii="Times New Roman" w:cs="Times New Roman" w:eastAsia="Times New Roman" w:hAnsi="Times New Roman"/>
          <w:sz w:val="18"/>
          <w:szCs w:val="18"/>
          <w:b w:val="1"/>
          <w:bCs w:val="1"/>
          <w:color w:val="auto"/>
        </w:rPr>
      </w:pPr>
    </w:p>
    <w:p>
      <w:pPr>
        <w:ind w:left="140" w:right="20" w:firstLine="7"/>
        <w:spacing w:after="0" w:line="274" w:lineRule="auto"/>
        <w:tabs>
          <w:tab w:leader="none" w:pos="38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63" w:lineRule="exact"/>
        <w:rPr>
          <w:rFonts w:ascii="Times New Roman" w:cs="Times New Roman" w:eastAsia="Times New Roman" w:hAnsi="Times New Roman"/>
          <w:sz w:val="18"/>
          <w:szCs w:val="18"/>
          <w:b w:val="1"/>
          <w:bCs w:val="1"/>
          <w:color w:val="auto"/>
        </w:rPr>
      </w:pPr>
    </w:p>
    <w:p>
      <w:pPr>
        <w:ind w:left="140" w:right="60" w:firstLine="7"/>
        <w:spacing w:after="0" w:line="274" w:lineRule="auto"/>
        <w:tabs>
          <w:tab w:leader="none" w:pos="40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 subject to all applicable laws, rules, and regulations, and to such approvals by any governmental agencies or national securities exchanges as may be required.</w:t>
      </w:r>
    </w:p>
    <w:p>
      <w:pPr>
        <w:spacing w:after="0" w:line="163" w:lineRule="exact"/>
        <w:rPr>
          <w:rFonts w:ascii="Times New Roman" w:cs="Times New Roman" w:eastAsia="Times New Roman" w:hAnsi="Times New Roman"/>
          <w:sz w:val="18"/>
          <w:szCs w:val="18"/>
          <w:b w:val="1"/>
          <w:bCs w:val="1"/>
          <w:color w:val="auto"/>
        </w:rPr>
      </w:pPr>
    </w:p>
    <w:p>
      <w:pPr>
        <w:ind w:left="140" w:right="360" w:firstLine="7"/>
        <w:spacing w:after="0" w:line="259" w:lineRule="auto"/>
        <w:tabs>
          <w:tab w:leader="none" w:pos="38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6" w:lineRule="exact"/>
        <w:rPr>
          <w:sz w:val="20"/>
          <w:szCs w:val="20"/>
          <w:color w:val="auto"/>
        </w:rPr>
      </w:pPr>
    </w:p>
    <w:p>
      <w:pPr>
        <w:ind w:left="140" w:right="20" w:firstLine="7"/>
        <w:spacing w:after="0" w:line="250" w:lineRule="auto"/>
        <w:tabs>
          <w:tab w:leader="none" w:pos="405"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Your Award is subject to all the provisions of the Plan, the provisions of which are hereby made a part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86" w:lineRule="exact"/>
        <w:rPr>
          <w:rFonts w:ascii="Times New Roman" w:cs="Times New Roman" w:eastAsia="Times New Roman" w:hAnsi="Times New Roman"/>
          <w:sz w:val="18"/>
          <w:szCs w:val="18"/>
          <w:b w:val="1"/>
          <w:bCs w:val="1"/>
          <w:color w:val="auto"/>
        </w:rPr>
      </w:pPr>
    </w:p>
    <w:p>
      <w:pPr>
        <w:ind w:left="140" w:right="20" w:firstLine="7"/>
        <w:spacing w:after="0" w:line="256" w:lineRule="auto"/>
        <w:tabs>
          <w:tab w:leader="none" w:pos="405"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the Award subject to this Agreement shall not be included as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209550</wp:posOffset>
            </wp:positionV>
            <wp:extent cx="71348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type w:val="continuous"/>
        </w:sectPr>
      </w:pPr>
    </w:p>
    <w:bookmarkStart w:id="203" w:name="page204"/>
    <w:bookmarkEnd w:id="203"/>
    <w:p>
      <w:pPr>
        <w:ind w:right="80" w:firstLine="7"/>
        <w:spacing w:after="0" w:line="276" w:lineRule="auto"/>
        <w:tabs>
          <w:tab w:leader="none" w:pos="265"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The interpretation, performance and enforcement of this Agreement shall be governed by the law of the State of Delaware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 to that state’s conflicts of laws rules.</w:t>
      </w:r>
    </w:p>
    <w:p>
      <w:pPr>
        <w:spacing w:after="0" w:line="159" w:lineRule="exact"/>
        <w:rPr>
          <w:rFonts w:ascii="Times New Roman" w:cs="Times New Roman" w:eastAsia="Times New Roman" w:hAnsi="Times New Roman"/>
          <w:sz w:val="18"/>
          <w:szCs w:val="18"/>
          <w:b w:val="1"/>
          <w:bCs w:val="1"/>
          <w:color w:val="auto"/>
        </w:rPr>
      </w:pPr>
    </w:p>
    <w:p>
      <w:pPr>
        <w:ind w:right="60" w:firstLine="7"/>
        <w:spacing w:after="0" w:line="256" w:lineRule="auto"/>
        <w:tabs>
          <w:tab w:leader="none" w:pos="265"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all or any part of this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18"/>
          <w:szCs w:val="18"/>
          <w:b w:val="1"/>
          <w:bCs w:val="1"/>
          <w:color w:val="auto"/>
        </w:rPr>
      </w:pPr>
    </w:p>
    <w:p>
      <w:pPr>
        <w:ind w:right="340" w:firstLine="7"/>
        <w:spacing w:after="0" w:line="306" w:lineRule="auto"/>
        <w:tabs>
          <w:tab w:leader="none" w:pos="265" w:val="left"/>
        </w:tabs>
        <w:numPr>
          <w:ilvl w:val="0"/>
          <w:numId w:val="1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DOCUMENTS. </w:t>
      </w:r>
      <w:r>
        <w:rPr>
          <w:rFonts w:ascii="Times New Roman" w:cs="Times New Roman" w:eastAsia="Times New Roman" w:hAnsi="Times New Roman"/>
          <w:sz w:val="17"/>
          <w:szCs w:val="17"/>
          <w:color w:val="auto"/>
        </w:rPr>
        <w:t>You hereby acknowledge receipt or the right to receive a document providing the information required by Rule 428(b)(1)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promulgated under the Securities Act. In addition, you acknowledge receipt of the Company’s </w:t>
      </w:r>
      <w:r>
        <w:rPr>
          <w:rFonts w:ascii="Times New Roman" w:cs="Times New Roman" w:eastAsia="Times New Roman" w:hAnsi="Times New Roman"/>
          <w:sz w:val="17"/>
          <w:szCs w:val="17"/>
          <w:i w:val="1"/>
          <w:iCs w:val="1"/>
          <w:color w:val="auto"/>
        </w:rPr>
        <w:t>Insider Trading and Trading Window Policy</w:t>
      </w:r>
      <w:r>
        <w:rPr>
          <w:rFonts w:ascii="Times New Roman" w:cs="Times New Roman" w:eastAsia="Times New Roman" w:hAnsi="Times New Roman"/>
          <w:sz w:val="17"/>
          <w:szCs w:val="17"/>
          <w:color w:val="auto"/>
        </w:rPr>
        <w:t>.</w:t>
      </w:r>
    </w:p>
    <w:p>
      <w:pPr>
        <w:spacing w:after="0" w:line="137" w:lineRule="exact"/>
        <w:rPr>
          <w:rFonts w:ascii="Times New Roman" w:cs="Times New Roman" w:eastAsia="Times New Roman" w:hAnsi="Times New Roman"/>
          <w:sz w:val="17"/>
          <w:szCs w:val="17"/>
          <w:b w:val="1"/>
          <w:bCs w:val="1"/>
          <w:color w:val="auto"/>
        </w:rPr>
      </w:pPr>
    </w:p>
    <w:p>
      <w:pPr>
        <w:ind w:firstLine="7"/>
        <w:spacing w:after="0" w:line="250" w:lineRule="auto"/>
        <w:tabs>
          <w:tab w:leader="none" w:pos="265"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This Agreement may not be modified, amended or terminated except by an instrument in writing, signed by you and by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83" w:lineRule="exact"/>
        <w:rPr>
          <w:rFonts w:ascii="Times New Roman" w:cs="Times New Roman" w:eastAsia="Times New Roman" w:hAnsi="Times New Roman"/>
          <w:sz w:val="18"/>
          <w:szCs w:val="18"/>
          <w:b w:val="1"/>
          <w:bCs w:val="1"/>
          <w:color w:val="auto"/>
        </w:rPr>
      </w:pPr>
    </w:p>
    <w:p>
      <w:pPr>
        <w:ind w:right="40" w:firstLine="7"/>
        <w:spacing w:after="0" w:line="248" w:lineRule="auto"/>
        <w:tabs>
          <w:tab w:leader="none" w:pos="265"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SECTION 409A OF THE CODE. </w:t>
      </w:r>
      <w:r>
        <w:rPr>
          <w:rFonts w:ascii="Times New Roman" w:cs="Times New Roman" w:eastAsia="Times New Roman" w:hAnsi="Times New Roman"/>
          <w:sz w:val="18"/>
          <w:szCs w:val="18"/>
          <w:color w:val="auto"/>
        </w:rPr>
        <w:t>This Award is intended to comply with the “short-term deferral” rule set forth in Treasury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Section 1.409A-1(b)(4). Notwithstanding the foregoing, if it is determined that the Award fails to satisfy the requirements of the short-term deferral rule and is otherwise deferred compensation subject to Section 409A, and if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w:t>
      </w:r>
    </w:p>
    <w:p>
      <w:pPr>
        <w:spacing w:after="0" w:line="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1.409A-2(b)(2).</w:t>
      </w:r>
    </w:p>
    <w:p>
      <w:pPr>
        <w:spacing w:after="0" w:line="195" w:lineRule="exact"/>
        <w:rPr>
          <w:rFonts w:ascii="Times New Roman" w:cs="Times New Roman" w:eastAsia="Times New Roman" w:hAnsi="Times New Roman"/>
          <w:sz w:val="18"/>
          <w:szCs w:val="18"/>
          <w:b w:val="1"/>
          <w:bCs w:val="1"/>
          <w:color w:val="auto"/>
        </w:rPr>
      </w:pPr>
    </w:p>
    <w:p>
      <w:pPr>
        <w:ind w:left="280" w:hanging="273"/>
        <w:spacing w:after="0"/>
        <w:tabs>
          <w:tab w:leader="none" w:pos="28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1"/>
          <w:szCs w:val="11"/>
          <w:b w:val="1"/>
          <w:bCs w:val="1"/>
          <w:color w:val="auto"/>
        </w:rPr>
        <w:t>mployment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1"/>
          <w:szCs w:val="11"/>
          <w:b w:val="1"/>
          <w:bCs w:val="1"/>
          <w:color w:val="auto"/>
        </w:rPr>
        <w:t>nducement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1"/>
          <w:szCs w:val="11"/>
          <w:b w:val="1"/>
          <w:bCs w:val="1"/>
          <w:color w:val="auto"/>
        </w:rPr>
        <w:t>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t>
      </w:r>
      <w:r>
        <w:rPr>
          <w:rFonts w:ascii="Times New Roman" w:cs="Times New Roman" w:eastAsia="Times New Roman" w:hAnsi="Times New Roman"/>
          <w:sz w:val="11"/>
          <w:szCs w:val="11"/>
          <w:color w:val="auto"/>
        </w:rPr>
        <w: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1"/>
          <w:szCs w:val="11"/>
          <w:color w:val="auto"/>
        </w:rPr>
        <w:t>ward is intended to constitute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employment inducement award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1"/>
          <w:szCs w:val="11"/>
          <w:color w:val="auto"/>
        </w:rPr>
        <w:t>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R</w:t>
      </w:r>
      <w:r>
        <w:rPr>
          <w:rFonts w:ascii="Times New Roman" w:cs="Times New Roman" w:eastAsia="Times New Roman" w:hAnsi="Times New Roman"/>
          <w:sz w:val="11"/>
          <w:szCs w:val="11"/>
          <w:color w:val="auto"/>
        </w:rPr>
        <w:t>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5635(</w:t>
      </w:r>
      <w:r>
        <w:rPr>
          <w:rFonts w:ascii="Times New Roman" w:cs="Times New Roman" w:eastAsia="Times New Roman" w:hAnsi="Times New Roman"/>
          <w:sz w:val="11"/>
          <w:szCs w:val="11"/>
          <w:color w:val="auto"/>
        </w:rPr>
        <w:t>c</w:t>
      </w: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1"/>
          <w:szCs w:val="11"/>
          <w:color w:val="auto"/>
        </w:rPr>
        <w:t>that is</w:t>
      </w:r>
    </w:p>
    <w:p>
      <w:pPr>
        <w:spacing w:after="0" w:line="2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2"/>
          <w:szCs w:val="12"/>
          <w:color w:val="auto"/>
        </w:rPr>
        <w:t xml:space="preserve">exempted from the requirements of shareholder approval of equity compensation plans under </w:t>
      </w:r>
      <w:r>
        <w:rPr>
          <w:rFonts w:ascii="Times New Roman" w:cs="Times New Roman" w:eastAsia="Times New Roman" w:hAnsi="Times New Roman"/>
          <w:sz w:val="17"/>
          <w:szCs w:val="17"/>
          <w:color w:val="auto"/>
        </w:rPr>
        <w:t>NASDAQ R</w:t>
      </w:r>
      <w:r>
        <w:rPr>
          <w:rFonts w:ascii="Times New Roman" w:cs="Times New Roman" w:eastAsia="Times New Roman" w:hAnsi="Times New Roman"/>
          <w:sz w:val="12"/>
          <w:szCs w:val="12"/>
          <w:color w:val="auto"/>
        </w:rPr>
        <w:t xml:space="preserve">ule </w:t>
      </w:r>
      <w:r>
        <w:rPr>
          <w:rFonts w:ascii="Times New Roman" w:cs="Times New Roman" w:eastAsia="Times New Roman" w:hAnsi="Times New Roman"/>
          <w:sz w:val="17"/>
          <w:szCs w:val="17"/>
          <w:color w:val="auto"/>
        </w:rPr>
        <w:t>5635(</w:t>
      </w:r>
      <w:r>
        <w:rPr>
          <w:rFonts w:ascii="Times New Roman" w:cs="Times New Roman" w:eastAsia="Times New Roman" w:hAnsi="Times New Roman"/>
          <w:sz w:val="12"/>
          <w:szCs w:val="12"/>
          <w:color w:val="auto"/>
        </w:rPr>
        <w:t>c</w:t>
      </w:r>
      <w:r>
        <w:rPr>
          <w:rFonts w:ascii="Times New Roman" w:cs="Times New Roman" w:eastAsia="Times New Roman" w:hAnsi="Times New Roman"/>
          <w:sz w:val="17"/>
          <w:szCs w:val="17"/>
          <w:color w:val="auto"/>
        </w:rPr>
        <w:t>)(4). T</w:t>
      </w:r>
      <w:r>
        <w:rPr>
          <w:rFonts w:ascii="Times New Roman" w:cs="Times New Roman" w:eastAsia="Times New Roman" w:hAnsi="Times New Roman"/>
          <w:sz w:val="12"/>
          <w:szCs w:val="12"/>
          <w:color w:val="auto"/>
        </w:rPr>
        <w:t xml:space="preserve">his agreement and the terms and conditions of this </w:t>
      </w:r>
      <w:r>
        <w:rPr>
          <w:rFonts w:ascii="Times New Roman" w:cs="Times New Roman" w:eastAsia="Times New Roman" w:hAnsi="Times New Roman"/>
          <w:sz w:val="17"/>
          <w:szCs w:val="17"/>
          <w:color w:val="auto"/>
        </w:rPr>
        <w:t>A</w:t>
      </w:r>
      <w:r>
        <w:rPr>
          <w:rFonts w:ascii="Times New Roman" w:cs="Times New Roman" w:eastAsia="Times New Roman" w:hAnsi="Times New Roman"/>
          <w:sz w:val="12"/>
          <w:szCs w:val="12"/>
          <w:color w:val="auto"/>
        </w:rPr>
        <w:t>ward will be interpreted consistent with such intent</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17"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This Restricted Stock Unit Award Agreement shall be deemed to be signed by the Company and the Participant upon the signing by the Participant of the Restricted Stock Unit Grant Notice to which it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199390</wp:posOffset>
            </wp:positionV>
            <wp:extent cx="71348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080"/>
          </w:cols>
          <w:pgMar w:left="460" w:top="570" w:right="359" w:bottom="1440" w:gutter="0" w:footer="0" w:header="0"/>
        </w:sectPr>
      </w:pPr>
    </w:p>
    <w:bookmarkStart w:id="204" w:name="page205"/>
    <w:bookmarkEnd w:id="20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5" w:name="page206"/>
    <w:bookmarkEnd w:id="205"/>
    <w:p>
      <w:pPr>
        <w:ind w:left="1034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333-234235, No. 333-252078, No. 333-252903, No. 333-257433, No. 333 257661 and No. 333-250945) on Form S-3 and Registration Statements (No. 333-203703, No. 333-210369, No. 333-216858, No. 333-224062, No. 333-230041 No. 333-236794, No. 333-252743 and No. 333-257429) on Form S-8 of Zevra Therapeutics, Inc. (f/k/a KemPharm, Inc.) of our report dated March 30, 202 relating to the financial statements of KemPharm, Inc. for the year ended December 31, 2021, appearing in this Annual Report on Form 10-K of Zevr Therapeutics, Inc. for the year ended December 31, 2022.</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RSM US LLP</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Orlando, Florida</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7, 2023</w:t>
      </w:r>
    </w:p>
    <w:p>
      <w:pPr>
        <w:sectPr>
          <w:pgSz w:w="11900" w:h="16838" w:orient="portrait"/>
          <w:cols w:equalWidth="0" w:num="1">
            <w:col w:w="11360"/>
          </w:cols>
          <w:pgMar w:left="300" w:top="119" w:right="2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17" w:lineRule="exact"/>
        <w:rPr>
          <w:sz w:val="20"/>
          <w:szCs w:val="20"/>
          <w:color w:val="auto"/>
        </w:rPr>
      </w:pPr>
    </w:p>
    <w:p>
      <w:pPr>
        <w:ind w:left="1000" w:right="860" w:hanging="325"/>
        <w:spacing w:after="0" w:line="274" w:lineRule="auto"/>
        <w:tabs>
          <w:tab w:leader="none" w:pos="10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333-234235, 333-252078, 333-252903, 333-257433, 333-257661 and 333-250945) of Zevra Therapeutics, Inc.,</w:t>
      </w:r>
    </w:p>
    <w:p>
      <w:pPr>
        <w:spacing w:after="0" w:line="163" w:lineRule="exact"/>
        <w:rPr>
          <w:rFonts w:ascii="Times New Roman" w:cs="Times New Roman" w:eastAsia="Times New Roman" w:hAnsi="Times New Roman"/>
          <w:sz w:val="18"/>
          <w:szCs w:val="18"/>
          <w:color w:val="auto"/>
        </w:rPr>
      </w:pPr>
    </w:p>
    <w:p>
      <w:pPr>
        <w:ind w:left="1000" w:right="220" w:hanging="325"/>
        <w:spacing w:after="0" w:line="274" w:lineRule="auto"/>
        <w:tabs>
          <w:tab w:leader="none" w:pos="10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333-203703) pertaining to the Incentive Stock Plan, as amended, and the 2014 Equity Incentive Plan of Zevra Therapeutics, Inc.,</w:t>
      </w:r>
    </w:p>
    <w:p>
      <w:pPr>
        <w:spacing w:after="0" w:line="163" w:lineRule="exact"/>
        <w:rPr>
          <w:rFonts w:ascii="Times New Roman" w:cs="Times New Roman" w:eastAsia="Times New Roman" w:hAnsi="Times New Roman"/>
          <w:sz w:val="18"/>
          <w:szCs w:val="18"/>
          <w:color w:val="auto"/>
        </w:rPr>
      </w:pPr>
    </w:p>
    <w:p>
      <w:pPr>
        <w:ind w:left="1000" w:right="320" w:hanging="325"/>
        <w:spacing w:after="0" w:line="274" w:lineRule="auto"/>
        <w:tabs>
          <w:tab w:leader="none" w:pos="10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333-210369, 333-216858, 333-224062, 333-230041, 333-236794 and 333-252743) pertaining to the 2014 Equity Incentive Plan of Zevra Therapeutics, Inc., and</w:t>
      </w:r>
    </w:p>
    <w:p>
      <w:pPr>
        <w:spacing w:after="0" w:line="163" w:lineRule="exact"/>
        <w:rPr>
          <w:rFonts w:ascii="Times New Roman" w:cs="Times New Roman" w:eastAsia="Times New Roman" w:hAnsi="Times New Roman"/>
          <w:sz w:val="18"/>
          <w:szCs w:val="18"/>
          <w:color w:val="auto"/>
        </w:rPr>
      </w:pPr>
    </w:p>
    <w:p>
      <w:pPr>
        <w:ind w:left="1000" w:hanging="325"/>
        <w:spacing w:after="0" w:line="274" w:lineRule="auto"/>
        <w:tabs>
          <w:tab w:leader="none" w:pos="10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333-257429) pertaining to the Amended and Restated 2014 Equity Incentive Plan, and the 2021 Employee Stock Purchase Plan of Zevra Therapeutics, Inc.;</w:t>
      </w:r>
    </w:p>
    <w:p>
      <w:pPr>
        <w:spacing w:after="0" w:line="163"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of our report dated March 7, 2023, with respect to the financial statements of Zevra Therapeutics, Inc. included in this Annual Report (Form 10-K) of Zevra Therapeutics, Inc. for the year ended December 31,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2023</w:t>
      </w:r>
    </w:p>
    <w:p>
      <w:pPr>
        <w:sectPr>
          <w:pgSz w:w="11900" w:h="16838" w:orient="portrait"/>
          <w:cols w:equalWidth="0" w:num="1">
            <w:col w:w="11260"/>
          </w:cols>
          <w:pgMar w:left="300" w:top="119"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W. Pascoe, certify that:</w:t>
      </w:r>
    </w:p>
    <w:p>
      <w:pPr>
        <w:spacing w:after="0" w:line="217" w:lineRule="exact"/>
        <w:rPr>
          <w:sz w:val="20"/>
          <w:szCs w:val="20"/>
          <w:color w:val="auto"/>
        </w:rPr>
      </w:pPr>
    </w:p>
    <w:p>
      <w:pPr>
        <w:ind w:left="900" w:hanging="444"/>
        <w:spacing w:after="0"/>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Zevra Therapeutics, Inc.;</w:t>
      </w:r>
    </w:p>
    <w:p>
      <w:pPr>
        <w:spacing w:after="0" w:line="24" w:lineRule="exact"/>
        <w:rPr>
          <w:rFonts w:ascii="Times New Roman" w:cs="Times New Roman" w:eastAsia="Times New Roman" w:hAnsi="Times New Roman"/>
          <w:sz w:val="18"/>
          <w:szCs w:val="18"/>
          <w:color w:val="auto"/>
        </w:rPr>
      </w:pPr>
    </w:p>
    <w:p>
      <w:pPr>
        <w:jc w:val="both"/>
        <w:ind w:left="900" w:hanging="444"/>
        <w:spacing w:after="0" w:line="245" w:lineRule="auto"/>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Times New Roman" w:cs="Times New Roman" w:eastAsia="Times New Roman" w:hAnsi="Times New Roman"/>
          <w:sz w:val="18"/>
          <w:szCs w:val="18"/>
          <w:color w:val="auto"/>
        </w:rPr>
      </w:pPr>
    </w:p>
    <w:p>
      <w:pPr>
        <w:ind w:left="900" w:hanging="444"/>
        <w:spacing w:after="0" w:line="245" w:lineRule="auto"/>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900" w:hanging="444"/>
        <w:spacing w:after="0" w:line="245" w:lineRule="auto"/>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8"/>
          <w:szCs w:val="18"/>
          <w:color w:val="auto"/>
        </w:rPr>
      </w:pPr>
    </w:p>
    <w:p>
      <w:pPr>
        <w:jc w:val="both"/>
        <w:ind w:left="1480" w:hanging="454"/>
        <w:spacing w:after="0" w:line="245" w:lineRule="auto"/>
        <w:tabs>
          <w:tab w:leader="none" w:pos="14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jc w:val="both"/>
        <w:ind w:left="1480" w:hanging="454"/>
        <w:spacing w:after="0" w:line="245" w:lineRule="auto"/>
        <w:tabs>
          <w:tab w:leader="none" w:pos="14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ind w:left="1480" w:hanging="454"/>
        <w:spacing w:after="0" w:line="245" w:lineRule="auto"/>
        <w:tabs>
          <w:tab w:leader="none" w:pos="14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480" w:hanging="454"/>
        <w:spacing w:after="0" w:line="245" w:lineRule="auto"/>
        <w:tabs>
          <w:tab w:leader="none" w:pos="14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18"/>
          <w:szCs w:val="18"/>
          <w:color w:val="auto"/>
        </w:rPr>
      </w:pPr>
    </w:p>
    <w:p>
      <w:pPr>
        <w:ind w:left="900" w:hanging="444"/>
        <w:spacing w:after="0" w:line="245" w:lineRule="auto"/>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480" w:hanging="454"/>
        <w:spacing w:after="0" w:line="245" w:lineRule="auto"/>
        <w:tabs>
          <w:tab w:leader="none" w:pos="14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480" w:hanging="454"/>
        <w:spacing w:after="0" w:line="251" w:lineRule="auto"/>
        <w:tabs>
          <w:tab w:leader="none" w:pos="14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March 7, 2023</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W. Pascoe</w:t>
            </w:r>
          </w:p>
        </w:tc>
      </w:tr>
      <w:tr>
        <w:trPr>
          <w:trHeight w:val="187"/>
        </w:trPr>
        <w:tc>
          <w:tcPr>
            <w:tcW w:w="6040" w:type="dxa"/>
            <w:vAlign w:val="bottom"/>
          </w:tcPr>
          <w:p>
            <w:pPr>
              <w:spacing w:after="0"/>
              <w:rPr>
                <w:sz w:val="16"/>
                <w:szCs w:val="16"/>
                <w:color w:val="auto"/>
              </w:rPr>
            </w:pPr>
          </w:p>
        </w:tc>
        <w:tc>
          <w:tcPr>
            <w:tcW w:w="52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Name:Richard W. Pascoe</w:t>
            </w:r>
          </w:p>
        </w:tc>
      </w:tr>
      <w:tr>
        <w:trPr>
          <w:trHeight w:val="212"/>
        </w:trPr>
        <w:tc>
          <w:tcPr>
            <w:tcW w:w="6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1"/>
        </w:trPr>
        <w:tc>
          <w:tcPr>
            <w:tcW w:w="6040" w:type="dxa"/>
            <w:vAlign w:val="bottom"/>
          </w:tcPr>
          <w:p>
            <w:pPr>
              <w:spacing w:after="0"/>
              <w:rPr>
                <w:sz w:val="20"/>
                <w:szCs w:val="20"/>
                <w:color w:val="auto"/>
              </w:rPr>
            </w:pPr>
          </w:p>
        </w:tc>
        <w:tc>
          <w:tcPr>
            <w:tcW w:w="5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9"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LaDuane Clifton, certify that:</w:t>
      </w:r>
    </w:p>
    <w:p>
      <w:pPr>
        <w:spacing w:after="0" w:line="217" w:lineRule="exact"/>
        <w:rPr>
          <w:sz w:val="20"/>
          <w:szCs w:val="20"/>
          <w:color w:val="auto"/>
        </w:rPr>
      </w:pPr>
    </w:p>
    <w:p>
      <w:pPr>
        <w:ind w:left="900" w:hanging="444"/>
        <w:spacing w:after="0"/>
        <w:tabs>
          <w:tab w:leader="none" w:pos="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Zevra Therapeutics, Inc.;</w:t>
      </w:r>
    </w:p>
    <w:p>
      <w:pPr>
        <w:spacing w:after="0" w:line="24" w:lineRule="exact"/>
        <w:rPr>
          <w:rFonts w:ascii="Times New Roman" w:cs="Times New Roman" w:eastAsia="Times New Roman" w:hAnsi="Times New Roman"/>
          <w:sz w:val="18"/>
          <w:szCs w:val="18"/>
          <w:color w:val="auto"/>
        </w:rPr>
      </w:pPr>
    </w:p>
    <w:p>
      <w:pPr>
        <w:jc w:val="both"/>
        <w:ind w:left="900" w:hanging="444"/>
        <w:spacing w:after="0" w:line="245" w:lineRule="auto"/>
        <w:tabs>
          <w:tab w:leader="none" w:pos="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Times New Roman" w:cs="Times New Roman" w:eastAsia="Times New Roman" w:hAnsi="Times New Roman"/>
          <w:sz w:val="18"/>
          <w:szCs w:val="18"/>
          <w:color w:val="auto"/>
        </w:rPr>
      </w:pPr>
    </w:p>
    <w:p>
      <w:pPr>
        <w:ind w:left="900" w:hanging="444"/>
        <w:spacing w:after="0" w:line="245" w:lineRule="auto"/>
        <w:tabs>
          <w:tab w:leader="none" w:pos="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900" w:hanging="444"/>
        <w:spacing w:after="0" w:line="245" w:lineRule="auto"/>
        <w:tabs>
          <w:tab w:leader="none" w:pos="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8"/>
          <w:szCs w:val="18"/>
          <w:color w:val="auto"/>
        </w:rPr>
      </w:pPr>
    </w:p>
    <w:p>
      <w:pPr>
        <w:jc w:val="both"/>
        <w:ind w:left="1480" w:hanging="454"/>
        <w:spacing w:after="0" w:line="245" w:lineRule="auto"/>
        <w:tabs>
          <w:tab w:leader="none" w:pos="14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jc w:val="both"/>
        <w:ind w:left="1480" w:hanging="454"/>
        <w:spacing w:after="0" w:line="245" w:lineRule="auto"/>
        <w:tabs>
          <w:tab w:leader="none" w:pos="14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ind w:left="1480" w:hanging="454"/>
        <w:spacing w:after="0" w:line="245" w:lineRule="auto"/>
        <w:tabs>
          <w:tab w:leader="none" w:pos="14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480" w:hanging="454"/>
        <w:spacing w:after="0" w:line="245" w:lineRule="auto"/>
        <w:tabs>
          <w:tab w:leader="none" w:pos="14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18"/>
          <w:szCs w:val="18"/>
          <w:color w:val="auto"/>
        </w:rPr>
      </w:pPr>
    </w:p>
    <w:p>
      <w:pPr>
        <w:ind w:left="900" w:hanging="444"/>
        <w:spacing w:after="0" w:line="245" w:lineRule="auto"/>
        <w:tabs>
          <w:tab w:leader="none" w:pos="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480" w:hanging="454"/>
        <w:spacing w:after="0" w:line="245" w:lineRule="auto"/>
        <w:tabs>
          <w:tab w:leader="none" w:pos="14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480" w:hanging="454"/>
        <w:spacing w:after="0" w:line="251" w:lineRule="auto"/>
        <w:tabs>
          <w:tab w:leader="none" w:pos="14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March 7, 2023</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r>
      <w:tr>
        <w:trPr>
          <w:trHeight w:val="187"/>
        </w:trPr>
        <w:tc>
          <w:tcPr>
            <w:tcW w:w="6040" w:type="dxa"/>
            <w:vAlign w:val="bottom"/>
          </w:tcPr>
          <w:p>
            <w:pPr>
              <w:spacing w:after="0"/>
              <w:rPr>
                <w:sz w:val="16"/>
                <w:szCs w:val="16"/>
                <w:color w:val="auto"/>
              </w:rPr>
            </w:pPr>
          </w:p>
        </w:tc>
        <w:tc>
          <w:tcPr>
            <w:tcW w:w="52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Name:R. LaDuane Clifton, CPA</w:t>
            </w:r>
          </w:p>
        </w:tc>
      </w:tr>
      <w:tr>
        <w:trPr>
          <w:trHeight w:val="212"/>
        </w:trPr>
        <w:tc>
          <w:tcPr>
            <w:tcW w:w="6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Secretary and Treasurer</w:t>
            </w:r>
          </w:p>
        </w:tc>
      </w:tr>
      <w:tr>
        <w:trPr>
          <w:trHeight w:val="231"/>
        </w:trPr>
        <w:tc>
          <w:tcPr>
            <w:tcW w:w="6040" w:type="dxa"/>
            <w:vAlign w:val="bottom"/>
          </w:tcPr>
          <w:p>
            <w:pPr>
              <w:spacing w:after="0"/>
              <w:rPr>
                <w:sz w:val="20"/>
                <w:szCs w:val="20"/>
                <w:color w:val="auto"/>
              </w:rPr>
            </w:pPr>
          </w:p>
        </w:tc>
        <w:tc>
          <w:tcPr>
            <w:tcW w:w="5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9"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 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of Zevra Therapeutics, Inc., (the “Company”) for the fiscal year ended December 31, 2022, as filed with the Securities and Exchange Commission on the date hereof (the “Report”), I, Richard W. Pascoe, Principal Executive Officer of the Company, certify, pursuant to 18 U.S.C. Section 1350, as adopted pursuant to Section 906 of the Sarbanes-Oxley Act of 2002, that, to my knowledge:</w:t>
      </w:r>
    </w:p>
    <w:p>
      <w:pPr>
        <w:spacing w:after="0" w:line="178" w:lineRule="exact"/>
        <w:rPr>
          <w:sz w:val="20"/>
          <w:szCs w:val="20"/>
          <w:color w:val="auto"/>
        </w:rPr>
      </w:pPr>
    </w:p>
    <w:p>
      <w:pPr>
        <w:ind w:left="900" w:hanging="444"/>
        <w:spacing w:after="0"/>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 w:lineRule="exact"/>
        <w:rPr>
          <w:rFonts w:ascii="Times New Roman" w:cs="Times New Roman" w:eastAsia="Times New Roman" w:hAnsi="Times New Roman"/>
          <w:sz w:val="18"/>
          <w:szCs w:val="18"/>
          <w:color w:val="auto"/>
        </w:rPr>
      </w:pPr>
    </w:p>
    <w:p>
      <w:pPr>
        <w:ind w:left="900" w:hanging="444"/>
        <w:spacing w:after="0"/>
        <w:tabs>
          <w:tab w:leader="none" w:pos="90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March 7, 2023</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W. Pascoe</w:t>
            </w:r>
          </w:p>
        </w:tc>
      </w:tr>
      <w:tr>
        <w:trPr>
          <w:trHeight w:val="187"/>
        </w:trPr>
        <w:tc>
          <w:tcPr>
            <w:tcW w:w="6040" w:type="dxa"/>
            <w:vAlign w:val="bottom"/>
          </w:tcPr>
          <w:p>
            <w:pPr>
              <w:spacing w:after="0"/>
              <w:rPr>
                <w:sz w:val="16"/>
                <w:szCs w:val="16"/>
                <w:color w:val="auto"/>
              </w:rPr>
            </w:pPr>
          </w:p>
        </w:tc>
        <w:tc>
          <w:tcPr>
            <w:tcW w:w="52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Name:Richard W. Pascoe</w:t>
            </w:r>
          </w:p>
        </w:tc>
      </w:tr>
      <w:tr>
        <w:trPr>
          <w:trHeight w:val="212"/>
        </w:trPr>
        <w:tc>
          <w:tcPr>
            <w:tcW w:w="6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1"/>
        </w:trPr>
        <w:tc>
          <w:tcPr>
            <w:tcW w:w="6040" w:type="dxa"/>
            <w:vAlign w:val="bottom"/>
          </w:tcPr>
          <w:p>
            <w:pPr>
              <w:spacing w:after="0"/>
              <w:rPr>
                <w:sz w:val="20"/>
                <w:szCs w:val="20"/>
                <w:color w:val="auto"/>
              </w:rPr>
            </w:pPr>
          </w:p>
        </w:tc>
        <w:tc>
          <w:tcPr>
            <w:tcW w:w="5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19"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 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of Zevra Therapeutics, Inc., (the “Company”) for the fiscal year ended December 31, 2022,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78" w:lineRule="exact"/>
        <w:rPr>
          <w:sz w:val="20"/>
          <w:szCs w:val="20"/>
          <w:color w:val="auto"/>
        </w:rPr>
      </w:pPr>
    </w:p>
    <w:p>
      <w:pPr>
        <w:ind w:left="900" w:hanging="444"/>
        <w:spacing w:after="0"/>
        <w:tabs>
          <w:tab w:leader="none" w:pos="9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 w:lineRule="exact"/>
        <w:rPr>
          <w:rFonts w:ascii="Times New Roman" w:cs="Times New Roman" w:eastAsia="Times New Roman" w:hAnsi="Times New Roman"/>
          <w:sz w:val="18"/>
          <w:szCs w:val="18"/>
          <w:color w:val="auto"/>
        </w:rPr>
      </w:pPr>
    </w:p>
    <w:p>
      <w:pPr>
        <w:ind w:left="900" w:hanging="444"/>
        <w:spacing w:after="0"/>
        <w:tabs>
          <w:tab w:leader="none" w:pos="90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March 7, 2023</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r>
      <w:tr>
        <w:trPr>
          <w:trHeight w:val="187"/>
        </w:trPr>
        <w:tc>
          <w:tcPr>
            <w:tcW w:w="6040" w:type="dxa"/>
            <w:vAlign w:val="bottom"/>
          </w:tcPr>
          <w:p>
            <w:pPr>
              <w:spacing w:after="0"/>
              <w:rPr>
                <w:sz w:val="16"/>
                <w:szCs w:val="16"/>
                <w:color w:val="auto"/>
              </w:rPr>
            </w:pPr>
          </w:p>
        </w:tc>
        <w:tc>
          <w:tcPr>
            <w:tcW w:w="52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Name:R. LaDuane Clifton, CPA</w:t>
            </w:r>
          </w:p>
        </w:tc>
      </w:tr>
      <w:tr>
        <w:trPr>
          <w:trHeight w:val="212"/>
        </w:trPr>
        <w:tc>
          <w:tcPr>
            <w:tcW w:w="6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Secretary and Treasurer</w:t>
            </w:r>
          </w:p>
        </w:tc>
      </w:tr>
      <w:tr>
        <w:trPr>
          <w:trHeight w:val="231"/>
        </w:trPr>
        <w:tc>
          <w:tcPr>
            <w:tcW w:w="6040" w:type="dxa"/>
            <w:vAlign w:val="bottom"/>
          </w:tcPr>
          <w:p>
            <w:pPr>
              <w:spacing w:after="0"/>
              <w:rPr>
                <w:sz w:val="20"/>
                <w:szCs w:val="20"/>
                <w:color w:val="auto"/>
              </w:rPr>
            </w:pPr>
          </w:p>
        </w:tc>
        <w:tc>
          <w:tcPr>
            <w:tcW w:w="5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
      <w:numFmt w:val="bullet"/>
      <w:start w:val="1"/>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
      <w:numFmt w:val="bullet"/>
      <w:start w:val="1"/>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1"/>
      <w:numFmt w:val="upperLetter"/>
      <w:start w:val="35"/>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
      <w:numFmt w:val="bullet"/>
      <w:start w:val="1"/>
    </w:lvl>
  </w:abstractNum>
  <w:abstractNum w:abstractNumId="25">
    <w:nsid w:val="6A5F7029"/>
    <w:multiLevelType w:val="hybridMultilevel"/>
    <w:lvl w:ilvl="0">
      <w:lvlJc w:val="left"/>
      <w:lvlText w:val="●"/>
      <w:numFmt w:val="bullet"/>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
      <w:numFmt w:val="bullet"/>
      <w:start w:val="1"/>
    </w:lvl>
  </w:abstractNum>
  <w:abstractNum w:abstractNumId="28">
    <w:nsid w:val="73A1821B"/>
    <w:multiLevelType w:val="hybridMultilevel"/>
    <w:lvl w:ilvl="0">
      <w:lvlJc w:val="left"/>
      <w:lvlText w:val="●"/>
      <w:numFmt w:val="bullet"/>
      <w:start w:val="1"/>
    </w:lvl>
  </w:abstractNum>
  <w:abstractNum w:abstractNumId="29">
    <w:nsid w:val="7DE67713"/>
    <w:multiLevelType w:val="hybridMultilevel"/>
    <w:lvl w:ilvl="0">
      <w:lvlJc w:val="left"/>
      <w:lvlText w:val="●"/>
      <w:numFmt w:val="bullet"/>
      <w:start w:val="1"/>
    </w:lvl>
  </w:abstractNum>
  <w:abstractNum w:abstractNumId="30">
    <w:nsid w:val="555C55B5"/>
    <w:multiLevelType w:val="hybridMultilevel"/>
    <w:lvl w:ilvl="0">
      <w:lvlJc w:val="left"/>
      <w:lvlText w:val="●"/>
      <w:numFmt w:val="bullet"/>
      <w:start w:val="1"/>
    </w:lvl>
  </w:abstractNum>
  <w:abstractNum w:abstractNumId="31">
    <w:nsid w:val="3FA62ACA"/>
    <w:multiLevelType w:val="hybridMultilevel"/>
    <w:lvl w:ilvl="0">
      <w:lvlJc w:val="left"/>
      <w:lvlText w:val="●"/>
      <w:numFmt w:val="bullet"/>
      <w:start w:val="1"/>
    </w:lvl>
  </w:abstractNum>
  <w:abstractNum w:abstractNumId="32">
    <w:nsid w:val="14FCE74E"/>
    <w:multiLevelType w:val="hybridMultilevel"/>
    <w:lvl w:ilvl="0">
      <w:lvlJc w:val="left"/>
      <w:lvlText w:val="●"/>
      <w:numFmt w:val="bullet"/>
      <w:start w:val="1"/>
    </w:lvl>
  </w:abstractNum>
  <w:abstractNum w:abstractNumId="33">
    <w:nsid w:val="6A3DD3E8"/>
    <w:multiLevelType w:val="hybridMultilevel"/>
    <w:lvl w:ilvl="0">
      <w:lvlJc w:val="left"/>
      <w:lvlText w:val="(%1)"/>
      <w:numFmt w:val="decimal"/>
      <w:start w:val="1"/>
    </w:lvl>
  </w:abstractNum>
  <w:abstractNum w:abstractNumId="34">
    <w:nsid w:val="71C91298"/>
    <w:multiLevelType w:val="hybridMultilevel"/>
    <w:lvl w:ilvl="0">
      <w:lvlJc w:val="left"/>
      <w:lvlText w:val="&amp;"/>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
      <w:numFmt w:val="bullet"/>
      <w:start w:val="1"/>
    </w:lvl>
  </w:abstractNum>
  <w:abstractNum w:abstractNumId="37">
    <w:nsid w:val="1FBFE8E0"/>
    <w:multiLevelType w:val="hybridMultilevel"/>
    <w:lvl w:ilvl="0">
      <w:lvlJc w:val="left"/>
      <w:lvlText w:val="●"/>
      <w:numFmt w:val="bullet"/>
      <w:start w:val="1"/>
    </w:lvl>
  </w:abstractNum>
  <w:abstractNum w:abstractNumId="38">
    <w:nsid w:val="5092CA79"/>
    <w:multiLevelType w:val="hybridMultilevel"/>
    <w:lvl w:ilvl="0">
      <w:lvlJc w:val="left"/>
      <w:lvlText w:val="●"/>
      <w:numFmt w:val="bullet"/>
      <w:start w:val="1"/>
    </w:lvl>
  </w:abstractNum>
  <w:abstractNum w:abstractNumId="39">
    <w:nsid w:val="1D545C4D"/>
    <w:multiLevelType w:val="hybridMultilevel"/>
    <w:lvl w:ilvl="0">
      <w:lvlJc w:val="left"/>
      <w:lvlText w:val="●"/>
      <w:numFmt w:val="bullet"/>
      <w:start w:val="1"/>
    </w:lvl>
  </w:abstractNum>
  <w:abstractNum w:abstractNumId="40">
    <w:nsid w:val="59ADEA3D"/>
    <w:multiLevelType w:val="hybridMultilevel"/>
    <w:lvl w:ilvl="0">
      <w:lvlJc w:val="left"/>
      <w:lvlText w:val="●"/>
      <w:numFmt w:val="bullet"/>
      <w:start w:val="1"/>
    </w:lvl>
  </w:abstractNum>
  <w:abstractNum w:abstractNumId="41">
    <w:nsid w:val="288F1A34"/>
    <w:multiLevelType w:val="hybridMultilevel"/>
    <w:lvl w:ilvl="0">
      <w:lvlJc w:val="left"/>
      <w:lvlText w:val="●"/>
      <w:numFmt w:val="bullet"/>
      <w:start w:val="1"/>
    </w:lvl>
  </w:abstractNum>
  <w:abstractNum w:abstractNumId="42">
    <w:nsid w:val="2A155DBC"/>
    <w:multiLevelType w:val="hybridMultilevel"/>
    <w:lvl w:ilvl="0">
      <w:lvlJc w:val="left"/>
      <w:lvlText w:val="%1."/>
      <w:numFmt w:val="upperLetter"/>
      <w:start w:val="1"/>
    </w:lvl>
  </w:abstractNum>
  <w:abstractNum w:abstractNumId="43">
    <w:nsid w:val="1D9F6E5F"/>
    <w:multiLevelType w:val="hybridMultilevel"/>
    <w:lvl w:ilvl="0">
      <w:lvlJc w:val="left"/>
      <w:lvlText w:val="$"/>
      <w:numFmt w:val="bullet"/>
      <w:start w:val="1"/>
    </w:lvl>
  </w:abstractNum>
  <w:abstractNum w:abstractNumId="44">
    <w:nsid w:val="97E1B4E"/>
    <w:multiLevelType w:val="hybridMultilevel"/>
    <w:lvl w:ilvl="0">
      <w:lvlJc w:val="left"/>
      <w:lvlText w:val="$"/>
      <w:numFmt w:val="bullet"/>
      <w:start w:val="1"/>
    </w:lvl>
  </w:abstractNum>
  <w:abstractNum w:abstractNumId="45">
    <w:nsid w:val="51088277"/>
    <w:multiLevelType w:val="hybridMultilevel"/>
    <w:lvl w:ilvl="0">
      <w:lvlJc w:val="left"/>
      <w:lvlText w:val="(%1)"/>
      <w:numFmt w:val="decimal"/>
      <w:start w:val="1"/>
    </w:lvl>
  </w:abstractNum>
  <w:abstractNum w:abstractNumId="46">
    <w:nsid w:val="1CA0C5FA"/>
    <w:multiLevelType w:val="hybridMultilevel"/>
    <w:lvl w:ilvl="0">
      <w:lvlJc w:val="left"/>
      <w:lvlText w:val="%1."/>
      <w:numFmt w:val="upperLetter"/>
      <w:start w:val="2"/>
    </w:lvl>
  </w:abstractNum>
  <w:abstractNum w:abstractNumId="47">
    <w:nsid w:val="53584BCB"/>
    <w:multiLevelType w:val="hybridMultilevel"/>
    <w:lvl w:ilvl="0">
      <w:lvlJc w:val="left"/>
      <w:lvlText w:val="%1)"/>
      <w:numFmt w:val="decimal"/>
      <w:start w:val="20"/>
    </w:lvl>
  </w:abstractNum>
  <w:abstractNum w:abstractNumId="48">
    <w:nsid w:val="415E286C"/>
    <w:multiLevelType w:val="hybridMultilevel"/>
    <w:lvl w:ilvl="0">
      <w:lvlJc w:val="left"/>
      <w:lvlText w:val="%1."/>
      <w:numFmt w:val="upperLetter"/>
      <w:start w:val="3"/>
    </w:lvl>
  </w:abstractNum>
  <w:abstractNum w:abstractNumId="49">
    <w:nsid w:val="7C58FD05"/>
    <w:multiLevelType w:val="hybridMultilevel"/>
    <w:lvl w:ilvl="0">
      <w:lvlJc w:val="left"/>
      <w:lvlText w:val="%1."/>
      <w:numFmt w:val="upperLetter"/>
      <w:start w:val="4"/>
    </w:lvl>
  </w:abstractNum>
  <w:abstractNum w:abstractNumId="50">
    <w:nsid w:val="23D86AAC"/>
    <w:multiLevelType w:val="hybridMultilevel"/>
    <w:lvl w:ilvl="0">
      <w:lvlJc w:val="left"/>
      <w:lvlText w:val="%1."/>
      <w:numFmt w:val="upperLetter"/>
      <w:start w:val="6"/>
    </w:lvl>
  </w:abstractNum>
  <w:abstractNum w:abstractNumId="51">
    <w:nsid w:val="45E6D486"/>
    <w:multiLevelType w:val="hybridMultilevel"/>
    <w:lvl w:ilvl="0">
      <w:lvlJc w:val="left"/>
      <w:lvlText w:val="%1."/>
      <w:numFmt w:val="upperLetter"/>
      <w:start w:val="7"/>
    </w:lvl>
  </w:abstractNum>
  <w:abstractNum w:abstractNumId="52">
    <w:nsid w:val="5C10FE21"/>
    <w:multiLevelType w:val="hybridMultilevel"/>
    <w:lvl w:ilvl="0">
      <w:lvlJc w:val="left"/>
      <w:lvlText w:val="●"/>
      <w:numFmt w:val="bullet"/>
      <w:start w:val="1"/>
    </w:lvl>
  </w:abstractNum>
  <w:abstractNum w:abstractNumId="53">
    <w:nsid w:val="E7FFA2B"/>
    <w:multiLevelType w:val="hybridMultilevel"/>
    <w:lvl w:ilvl="0">
      <w:lvlJc w:val="left"/>
      <w:lvlText w:val="●"/>
      <w:numFmt w:val="bullet"/>
      <w:start w:val="1"/>
    </w:lvl>
  </w:abstractNum>
  <w:abstractNum w:abstractNumId="54">
    <w:nsid w:val="3C5991AA"/>
    <w:multiLevelType w:val="hybridMultilevel"/>
    <w:lvl w:ilvl="0">
      <w:lvlJc w:val="left"/>
      <w:lvlText w:val="%1."/>
      <w:numFmt w:val="upperLetter"/>
      <w:start w:val="8"/>
    </w:lvl>
  </w:abstractNum>
  <w:abstractNum w:abstractNumId="55">
    <w:nsid w:val="4BD8591A"/>
    <w:multiLevelType w:val="hybridMultilevel"/>
    <w:lvl w:ilvl="0">
      <w:lvlJc w:val="left"/>
      <w:lvlText w:val="%1."/>
      <w:numFmt w:val="upperLetter"/>
      <w:start w:val="9"/>
    </w:lvl>
  </w:abstractNum>
  <w:abstractNum w:abstractNumId="56">
    <w:nsid w:val="78DF6A55"/>
    <w:multiLevelType w:val="hybridMultilevel"/>
    <w:lvl w:ilvl="0">
      <w:lvlJc w:val="left"/>
      <w:lvlText w:val="●"/>
      <w:numFmt w:val="bullet"/>
      <w:start w:val="1"/>
    </w:lvl>
  </w:abstractNum>
  <w:abstractNum w:abstractNumId="57">
    <w:nsid w:val="39B7AAA2"/>
    <w:multiLevelType w:val="hybridMultilevel"/>
    <w:lvl w:ilvl="0">
      <w:lvlJc w:val="left"/>
      <w:lvlText w:val="%1."/>
      <w:numFmt w:val="upperLetter"/>
      <w:start w:val="10"/>
    </w:lvl>
  </w:abstractNum>
  <w:abstractNum w:abstractNumId="58">
    <w:nsid w:val="2B0D8DBE"/>
    <w:multiLevelType w:val="hybridMultilevel"/>
    <w:lvl w:ilvl="0">
      <w:lvlJc w:val="left"/>
      <w:lvlText w:val="%1."/>
      <w:numFmt w:val="upperLetter"/>
      <w:start w:val="11"/>
    </w:lvl>
  </w:abstractNum>
  <w:abstractNum w:abstractNumId="59">
    <w:nsid w:val="6C80EC70"/>
    <w:multiLevelType w:val="hybridMultilevel"/>
    <w:lvl w:ilvl="0">
      <w:lvlJc w:val="left"/>
      <w:lvlText w:val="%1."/>
      <w:numFmt w:val="upperLetter"/>
      <w:start w:val="12"/>
    </w:lvl>
  </w:abstractNum>
  <w:abstractNum w:abstractNumId="60">
    <w:nsid w:val="379E21B5"/>
    <w:multiLevelType w:val="hybridMultilevel"/>
    <w:lvl w:ilvl="0">
      <w:lvlJc w:val="left"/>
      <w:lvlText w:val="%1."/>
      <w:numFmt w:val="upperLetter"/>
      <w:start w:val="13"/>
    </w:lvl>
  </w:abstractNum>
  <w:abstractNum w:abstractNumId="61">
    <w:nsid w:val="69E373"/>
    <w:multiLevelType w:val="hybridMultilevel"/>
    <w:lvl w:ilvl="0">
      <w:lvlJc w:val="left"/>
      <w:lvlText w:val="%1."/>
      <w:numFmt w:val="upperLetter"/>
      <w:start w:val="14"/>
    </w:lvl>
  </w:abstractNum>
  <w:abstractNum w:abstractNumId="62">
    <w:nsid w:val="2C27173B"/>
    <w:multiLevelType w:val="hybridMultilevel"/>
    <w:lvl w:ilvl="0">
      <w:lvlJc w:val="left"/>
      <w:lvlText w:val="%1."/>
      <w:numFmt w:val="upperLetter"/>
      <w:start w:val="15"/>
    </w:lvl>
  </w:abstractNum>
  <w:abstractNum w:abstractNumId="63">
    <w:nsid w:val="4C9B0904"/>
    <w:multiLevelType w:val="hybridMultilevel"/>
    <w:lvl w:ilvl="0">
      <w:lvlJc w:val="left"/>
      <w:lvlText w:val="%1."/>
      <w:numFmt w:val="upperLetter"/>
      <w:start w:val="16"/>
    </w:lvl>
  </w:abstractNum>
  <w:abstractNum w:abstractNumId="64">
    <w:nsid w:val="6AA7B75C"/>
    <w:multiLevelType w:val="hybridMultilevel"/>
    <w:lvl w:ilvl="0">
      <w:lvlJc w:val="left"/>
      <w:lvlText w:val="%1."/>
      <w:numFmt w:val="upperLetter"/>
      <w:start w:val="17"/>
    </w:lvl>
  </w:abstractNum>
  <w:abstractNum w:abstractNumId="65">
    <w:nsid w:val="1DF029D3"/>
    <w:multiLevelType w:val="hybridMultilevel"/>
    <w:lvl w:ilvl="0">
      <w:lvlJc w:val="left"/>
      <w:lvlText w:val="%1."/>
      <w:numFmt w:val="upperLetter"/>
      <w:start w:val="18"/>
    </w:lvl>
  </w:abstractNum>
  <w:abstractNum w:abstractNumId="66">
    <w:nsid w:val="5675FF36"/>
    <w:multiLevelType w:val="hybridMultilevel"/>
    <w:lvl w:ilvl="0">
      <w:lvlJc w:val="left"/>
      <w:lvlText w:val="*"/>
      <w:numFmt w:val="bullet"/>
      <w:start w:val="1"/>
    </w:lvl>
  </w:abstractNum>
  <w:abstractNum w:abstractNumId="67">
    <w:nsid w:val="3DD15094"/>
    <w:multiLevelType w:val="hybridMultilevel"/>
    <w:lvl w:ilvl="0">
      <w:lvlJc w:val="left"/>
      <w:lvlText w:val="**"/>
      <w:numFmt w:val="bullet"/>
      <w:start w:val="1"/>
    </w:lvl>
  </w:abstractNum>
  <w:abstractNum w:abstractNumId="68">
    <w:nsid w:val="3DB012B3"/>
    <w:multiLevelType w:val="hybridMultilevel"/>
    <w:lvl w:ilvl="0">
      <w:lvlJc w:val="left"/>
      <w:lvlText w:val="#"/>
      <w:numFmt w:val="bullet"/>
      <w:start w:val="1"/>
    </w:lvl>
  </w:abstractNum>
  <w:abstractNum w:abstractNumId="69">
    <w:nsid w:val="2708C9AF"/>
    <w:multiLevelType w:val="hybridMultilevel"/>
    <w:lvl w:ilvl="0">
      <w:lvlJc w:val="left"/>
      <w:lvlText w:val="+"/>
      <w:numFmt w:val="bullet"/>
      <w:start w:val="1"/>
    </w:lvl>
    <w:lvl w:ilvl="1">
      <w:lvlJc w:val="left"/>
      <w:lvlText w:val="†"/>
      <w:numFmt w:val="bullet"/>
      <w:start w:val="1"/>
    </w:lvl>
  </w:abstractNum>
  <w:abstractNum w:abstractNumId="70">
    <w:nsid w:val="5B25ACE2"/>
    <w:multiLevelType w:val="hybridMultilevel"/>
    <w:lvl w:ilvl="0">
      <w:lvlJc w:val="left"/>
      <w:lvlText w:val="(%1)"/>
      <w:numFmt w:val="lowerRoman"/>
      <w:start w:val="2"/>
    </w:lvl>
  </w:abstractNum>
  <w:abstractNum w:abstractNumId="71">
    <w:nsid w:val="175DFCF0"/>
    <w:multiLevelType w:val="hybridMultilevel"/>
    <w:lvl w:ilvl="0">
      <w:lvlJc w:val="left"/>
      <w:lvlText w:val="●"/>
      <w:numFmt w:val="bullet"/>
      <w:start w:val="1"/>
    </w:lvl>
  </w:abstractNum>
  <w:abstractNum w:abstractNumId="72">
    <w:nsid w:val="4F97E3E4"/>
    <w:multiLevelType w:val="hybridMultilevel"/>
    <w:lvl w:ilvl="0">
      <w:lvlJc w:val="left"/>
      <w:lvlText w:val="●"/>
      <w:numFmt w:val="bullet"/>
      <w:start w:val="1"/>
    </w:lvl>
  </w:abstractNum>
  <w:abstractNum w:abstractNumId="73">
    <w:nsid w:val="53B0A9E"/>
    <w:multiLevelType w:val="hybridMultilevel"/>
    <w:lvl w:ilvl="0">
      <w:lvlJc w:val="left"/>
      <w:lvlText w:val="(%1)"/>
      <w:numFmt w:val="upperLetter"/>
      <w:start w:val="5"/>
    </w:lvl>
  </w:abstractNum>
  <w:abstractNum w:abstractNumId="74">
    <w:nsid w:val="34FD6B4F"/>
    <w:multiLevelType w:val="hybridMultilevel"/>
    <w:lvl w:ilvl="0">
      <w:lvlJc w:val="left"/>
      <w:lvlText w:val="%1."/>
      <w:numFmt w:val="decimal"/>
      <w:start w:val="1"/>
    </w:lvl>
    <w:lvl w:ilvl="1">
      <w:lvlJc w:val="left"/>
      <w:lvlText w:val="%2."/>
      <w:numFmt w:val="lowerLetter"/>
      <w:start w:val="1"/>
    </w:lvl>
  </w:abstractNum>
  <w:abstractNum w:abstractNumId="75">
    <w:nsid w:val="5915FF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6">
    <w:nsid w:val="56438D15"/>
    <w:multiLevelType w:val="hybridMultilevel"/>
    <w:lvl w:ilvl="0">
      <w:lvlJc w:val="left"/>
      <w:lvlText w:val="(%1)"/>
      <w:numFmt w:val="lowerRoman"/>
      <w:start w:val="7"/>
    </w:lvl>
  </w:abstractNum>
  <w:abstractNum w:abstractNumId="77">
    <w:nsid w:val="519E3149"/>
    <w:multiLevelType w:val="hybridMultilevel"/>
    <w:lvl w:ilvl="0">
      <w:lvlJc w:val="left"/>
      <w:lvlText w:val="%1"/>
      <w:numFmt w:val="lowerLetter"/>
      <w:start w:val="1"/>
    </w:lvl>
    <w:lvl w:ilvl="1">
      <w:lvlJc w:val="left"/>
      <w:lvlText w:val="(%2)"/>
      <w:numFmt w:val="lowerLetter"/>
      <w:start w:val="24"/>
    </w:lvl>
  </w:abstractNum>
  <w:abstractNum w:abstractNumId="78">
    <w:nsid w:val="2C6E4AFD"/>
    <w:multiLevelType w:val="hybridMultilevel"/>
    <w:lvl w:ilvl="0">
      <w:lvlJc w:val="left"/>
      <w:lvlText w:val="(%1)"/>
      <w:numFmt w:val="lowerLetter"/>
      <w:start w:val="3"/>
    </w:lvl>
    <w:lvl w:ilvl="1">
      <w:lvlJc w:val="left"/>
      <w:lvlText w:val="%2"/>
      <w:numFmt w:val="lowerLetter"/>
      <w:start w:val="1"/>
    </w:lvl>
  </w:abstractNum>
  <w:abstractNum w:abstractNumId="79">
    <w:nsid w:val="17A1B58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80">
    <w:nsid w:val="4DF72E4E"/>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81">
    <w:nsid w:val="5046B5A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82">
    <w:nsid w:val="5D888A08"/>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83">
    <w:nsid w:val="2A082C70"/>
    <w:multiLevelType w:val="hybridMultilevel"/>
    <w:lvl w:ilvl="0">
      <w:lvlJc w:val="left"/>
      <w:lvlText w:val="(%1)"/>
      <w:numFmt w:val="lowerLetter"/>
      <w:start w:val="1"/>
    </w:lvl>
    <w:lvl w:ilvl="1">
      <w:lvlJc w:val="left"/>
      <w:lvlText w:val="(%2)"/>
      <w:numFmt w:val="lowerRoman"/>
      <w:start w:val="1"/>
    </w:lvl>
  </w:abstractNum>
  <w:abstractNum w:abstractNumId="84">
    <w:nsid w:val="5EC6AF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85">
    <w:nsid w:val="19E21BB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86">
    <w:nsid w:val="75E0858A"/>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lvl w:ilvl="3">
      <w:lvlJc w:val="left"/>
      <w:lvlText w:val="%4"/>
      <w:numFmt w:val="lowerRoman"/>
      <w:start w:val="1"/>
    </w:lvl>
  </w:abstractNum>
  <w:abstractNum w:abstractNumId="87">
    <w:nsid w:val="57A61A29"/>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8">
    <w:nsid w:val="5399C654"/>
    <w:multiLevelType w:val="hybridMultilevel"/>
    <w:lvl w:ilvl="0">
      <w:lvlJc w:val="left"/>
      <w:lvlText w:val="(%1)"/>
      <w:numFmt w:val="lowerLetter"/>
      <w:start w:val="5"/>
    </w:lvl>
    <w:lvl w:ilvl="1">
      <w:lvlJc w:val="left"/>
      <w:lvlText w:val="(%2)"/>
      <w:numFmt w:val="lowerRoman"/>
      <w:start w:val="1"/>
    </w:lvl>
  </w:abstractNum>
  <w:abstractNum w:abstractNumId="89">
    <w:nsid w:val="20EE1348"/>
    <w:multiLevelType w:val="hybridMultilevel"/>
    <w:lvl w:ilvl="0">
      <w:lvlJc w:val="left"/>
      <w:lvlText w:val="(%1)"/>
      <w:numFmt w:val="lowerLetter"/>
      <w:start w:val="8"/>
    </w:lvl>
    <w:lvl w:ilvl="1">
      <w:lvlJc w:val="left"/>
      <w:lvlText w:val="(%2)"/>
      <w:numFmt w:val="lowerLetter"/>
      <w:start w:val="12"/>
    </w:lvl>
  </w:abstractNum>
  <w:abstractNum w:abstractNumId="90">
    <w:nsid w:val="4427069A"/>
    <w:multiLevelType w:val="hybridMultilevel"/>
    <w:lvl w:ilvl="0">
      <w:lvlJc w:val="left"/>
      <w:lvlText w:val="(%1)"/>
      <w:numFmt w:val="lowerLetter"/>
      <w:start w:val="1"/>
    </w:lvl>
    <w:lvl w:ilvl="1">
      <w:lvlJc w:val="left"/>
      <w:lvlText w:val="(%2)"/>
      <w:numFmt w:val="lowerRoman"/>
      <w:start w:val="1"/>
    </w:lvl>
  </w:abstractNum>
  <w:abstractNum w:abstractNumId="91">
    <w:nsid w:val="B37E80A"/>
    <w:multiLevelType w:val="hybridMultilevel"/>
    <w:lvl w:ilvl="0">
      <w:lvlJc w:val="left"/>
      <w:lvlText w:val="(%1)"/>
      <w:numFmt w:val="lowerRoman"/>
      <w:start w:val="5"/>
    </w:lvl>
  </w:abstractNum>
  <w:abstractNum w:abstractNumId="92">
    <w:nsid w:val="2157F6BC"/>
    <w:multiLevelType w:val="hybridMultilevel"/>
    <w:lvl w:ilvl="0">
      <w:lvlJc w:val="left"/>
      <w:lvlText w:val="(%1)"/>
      <w:numFmt w:val="lowerLetter"/>
      <w:start w:val="2"/>
    </w:lvl>
  </w:abstractNum>
  <w:abstractNum w:abstractNumId="93">
    <w:nsid w:val="704E1DD5"/>
    <w:multiLevelType w:val="hybridMultilevel"/>
    <w:lvl w:ilvl="0">
      <w:lvlJc w:val="left"/>
      <w:lvlText w:val="(%1)"/>
      <w:numFmt w:val="lowerRoman"/>
      <w:start w:val="1"/>
    </w:lvl>
  </w:abstractNum>
  <w:abstractNum w:abstractNumId="94">
    <w:nsid w:val="57D2F10E"/>
    <w:multiLevelType w:val="hybridMultilevel"/>
    <w:lvl w:ilvl="0">
      <w:lvlJc w:val="left"/>
      <w:lvlText w:val="(%1)"/>
      <w:numFmt w:val="lowerRoman"/>
      <w:start w:val="1"/>
    </w:lvl>
  </w:abstractNum>
  <w:abstractNum w:abstractNumId="95">
    <w:nsid w:val="BFFAE18"/>
    <w:multiLevelType w:val="hybridMultilevel"/>
    <w:lvl w:ilvl="0">
      <w:lvlJc w:val="left"/>
      <w:lvlText w:val="%1"/>
      <w:numFmt w:val="lowerLetter"/>
      <w:start w:val="1"/>
    </w:lvl>
    <w:lvl w:ilvl="1">
      <w:lvlJc w:val="left"/>
      <w:lvlText w:val="(%2)"/>
      <w:numFmt w:val="lowerRoman"/>
      <w:start w:val="2"/>
    </w:lvl>
  </w:abstractNum>
  <w:abstractNum w:abstractNumId="96">
    <w:nsid w:val="E3E47A8"/>
    <w:multiLevelType w:val="hybridMultilevel"/>
    <w:lvl w:ilvl="0">
      <w:lvlJc w:val="left"/>
      <w:lvlText w:val="(%1)"/>
      <w:numFmt w:val="lowerLetter"/>
      <w:start w:val="4"/>
    </w:lvl>
    <w:lvl w:ilvl="1">
      <w:lvlJc w:val="left"/>
      <w:lvlText w:val="%2"/>
      <w:numFmt w:val="lowerRoman"/>
      <w:start w:val="1"/>
    </w:lvl>
  </w:abstractNum>
  <w:abstractNum w:abstractNumId="97">
    <w:nsid w:val="2E48F044"/>
    <w:multiLevelType w:val="hybridMultilevel"/>
    <w:lvl w:ilvl="0">
      <w:lvlJc w:val="left"/>
      <w:lvlText w:val="(%1)"/>
      <w:numFmt w:val="lowerLetter"/>
      <w:start w:val="1"/>
    </w:lvl>
  </w:abstractNum>
  <w:abstractNum w:abstractNumId="98">
    <w:nsid w:val="49D0FEAC"/>
    <w:multiLevelType w:val="hybridMultilevel"/>
    <w:lvl w:ilvl="0">
      <w:lvlJc w:val="left"/>
      <w:lvlText w:val="%1"/>
      <w:numFmt w:val="decimal"/>
      <w:start w:val="1"/>
    </w:lvl>
    <w:lvl w:ilvl="1">
      <w:lvlJc w:val="left"/>
      <w:lvlText w:val="(%2)"/>
      <w:numFmt w:val="lowerLetter"/>
      <w:start w:val="3"/>
    </w:lvl>
  </w:abstractNum>
  <w:abstractNum w:abstractNumId="99">
    <w:nsid w:val="4BEE5A5B"/>
    <w:multiLevelType w:val="hybridMultilevel"/>
    <w:lvl w:ilvl="0">
      <w:lvlJc w:val="left"/>
      <w:lvlText w:val="%1."/>
      <w:numFmt w:val="decimal"/>
      <w:start w:val="8"/>
    </w:lvl>
    <w:lvl w:ilvl="1">
      <w:lvlJc w:val="left"/>
      <w:lvlText w:val="(%2)"/>
      <w:numFmt w:val="lowerLetter"/>
      <w:start w:val="1"/>
    </w:lvl>
  </w:abstractNum>
  <w:abstractNum w:abstractNumId="100">
    <w:nsid w:val="5551B9F3"/>
    <w:multiLevelType w:val="hybridMultilevel"/>
    <w:lvl w:ilvl="0">
      <w:lvlJc w:val="left"/>
      <w:lvlText w:val="%1"/>
      <w:numFmt w:val="decimal"/>
      <w:start w:val="1"/>
    </w:lvl>
    <w:lvl w:ilvl="1">
      <w:lvlJc w:val="left"/>
      <w:lvlText w:val="(%2)"/>
      <w:numFmt w:val="lowerLetter"/>
      <w:start w:val="61"/>
    </w:lvl>
  </w:abstractNum>
  <w:abstractNum w:abstractNumId="101">
    <w:nsid w:val="24F6AB8E"/>
    <w:multiLevelType w:val="hybridMultilevel"/>
    <w:lvl w:ilvl="0">
      <w:lvlJc w:val="left"/>
      <w:lvlText w:val="%1"/>
      <w:numFmt w:val="decimal"/>
      <w:start w:val="1"/>
    </w:lvl>
    <w:lvl w:ilvl="1">
      <w:lvlJc w:val="left"/>
      <w:lvlText w:val="(%2)"/>
      <w:numFmt w:val="lowerLetter"/>
      <w:start w:val="5"/>
    </w:lvl>
  </w:abstractNum>
  <w:abstractNum w:abstractNumId="102">
    <w:nsid w:val="634C574C"/>
    <w:multiLevelType w:val="hybridMultilevel"/>
    <w:lvl w:ilvl="0">
      <w:lvlJc w:val="left"/>
      <w:lvlText w:val="(%1)"/>
      <w:numFmt w:val="lowerLetter"/>
      <w:start w:val="6"/>
    </w:lvl>
  </w:abstractNum>
  <w:abstractNum w:abstractNumId="103">
    <w:nsid w:val="24E99DD7"/>
    <w:multiLevelType w:val="hybridMultilevel"/>
    <w:lvl w:ilvl="0">
      <w:lvlJc w:val="left"/>
      <w:lvlText w:val="(%1)"/>
      <w:numFmt w:val="lowerLetter"/>
      <w:start w:val="11"/>
    </w:lvl>
  </w:abstractNum>
  <w:abstractNum w:abstractNumId="104">
    <w:nsid w:val="2A31B62D"/>
    <w:multiLevelType w:val="hybridMultilevel"/>
    <w:lvl w:ilvl="0">
      <w:lvlJc w:val="left"/>
      <w:lvlText w:val="(%1)"/>
      <w:numFmt w:val="lowerLetter"/>
      <w:start w:val="1"/>
    </w:lvl>
  </w:abstractNum>
  <w:abstractNum w:abstractNumId="105">
    <w:nsid w:val="1849C29B"/>
    <w:multiLevelType w:val="hybridMultilevel"/>
    <w:lvl w:ilvl="0">
      <w:lvlJc w:val="left"/>
      <w:lvlText w:val="(%1)"/>
      <w:numFmt w:val="lowerLetter"/>
      <w:start w:val="2"/>
    </w:lvl>
    <w:lvl w:ilvl="1">
      <w:lvlJc w:val="left"/>
      <w:lvlText w:val="(%2)"/>
      <w:numFmt w:val="lowerRoman"/>
      <w:start w:val="1"/>
    </w:lvl>
  </w:abstractNum>
  <w:abstractNum w:abstractNumId="106">
    <w:nsid w:val="7DFF9D09"/>
    <w:multiLevelType w:val="hybridMultilevel"/>
    <w:lvl w:ilvl="0">
      <w:lvlJc w:val="left"/>
      <w:lvlText w:val="%1"/>
      <w:numFmt w:val="decimal"/>
      <w:start w:val="1"/>
    </w:lvl>
    <w:lvl w:ilvl="1">
      <w:lvlJc w:val="left"/>
      <w:lvlText w:val="(%2)"/>
      <w:numFmt w:val="lowerLetter"/>
      <w:start w:val="4"/>
    </w:lvl>
  </w:abstractNum>
  <w:abstractNum w:abstractNumId="107">
    <w:nsid w:val="754342"/>
    <w:multiLevelType w:val="hybridMultilevel"/>
    <w:lvl w:ilvl="0">
      <w:lvlJc w:val="left"/>
      <w:lvlText w:val="%1."/>
      <w:numFmt w:val="decimal"/>
      <w:start w:val="10"/>
    </w:lvl>
    <w:lvl w:ilvl="1">
      <w:lvlJc w:val="left"/>
      <w:lvlText w:val="%2"/>
      <w:numFmt w:val="lowerLetter"/>
      <w:start w:val="1"/>
    </w:lvl>
  </w:abstractNum>
  <w:abstractNum w:abstractNumId="108">
    <w:nsid w:val="69E7F3E5"/>
    <w:multiLevelType w:val="hybridMultilevel"/>
    <w:lvl w:ilvl="0">
      <w:lvlJc w:val="left"/>
      <w:lvlText w:val="%1."/>
      <w:numFmt w:val="decimal"/>
      <w:start w:val="11"/>
    </w:lvl>
  </w:abstractNum>
  <w:abstractNum w:abstractNumId="109">
    <w:nsid w:val="2A6DE806"/>
    <w:multiLevelType w:val="hybridMultilevel"/>
    <w:lvl w:ilvl="0">
      <w:lvlJc w:val="left"/>
      <w:lvlText w:val="%1."/>
      <w:numFmt w:val="decimal"/>
      <w:start w:val="12"/>
    </w:lvl>
  </w:abstractNum>
  <w:abstractNum w:abstractNumId="110">
    <w:nsid w:val="1816F8C4"/>
    <w:multiLevelType w:val="hybridMultilevel"/>
    <w:lvl w:ilvl="0">
      <w:lvlJc w:val="left"/>
      <w:lvlText w:val="%1."/>
      <w:numFmt w:val="decimal"/>
      <w:start w:val="13"/>
    </w:lvl>
  </w:abstractNum>
  <w:abstractNum w:abstractNumId="111">
    <w:nsid w:val="37DF2233"/>
    <w:multiLevelType w:val="hybridMultilevel"/>
    <w:lvl w:ilvl="0">
      <w:lvlJc w:val="left"/>
      <w:lvlText w:val="%1"/>
      <w:numFmt w:val="lowerLetter"/>
      <w:start w:val="1"/>
    </w:lvl>
    <w:lvl w:ilvl="1">
      <w:lvlJc w:val="left"/>
      <w:lvlText w:val="(%2)"/>
      <w:numFmt w:val="lowerLetter"/>
      <w:start w:val="1"/>
    </w:lvl>
  </w:abstractNum>
  <w:abstractNum w:abstractNumId="112">
    <w:nsid w:val="7AB49DAF"/>
    <w:multiLevelType w:val="hybridMultilevel"/>
    <w:lvl w:ilvl="0">
      <w:lvlJc w:val="left"/>
      <w:lvlText w:val="(%1)"/>
      <w:numFmt w:val="lowerLetter"/>
      <w:start w:val="3"/>
    </w:lvl>
    <w:lvl w:ilvl="1">
      <w:lvlJc w:val="left"/>
      <w:lvlText w:val="%2"/>
      <w:numFmt w:val="lowerLetter"/>
      <w:start w:val="1"/>
    </w:lvl>
  </w:abstractNum>
  <w:abstractNum w:abstractNumId="113">
    <w:nsid w:val="759F82CD"/>
    <w:multiLevelType w:val="hybridMultilevel"/>
    <w:lvl w:ilvl="0">
      <w:lvlJc w:val="left"/>
      <w:lvlText w:val="(%1)"/>
      <w:numFmt w:val="lowerLetter"/>
      <w:start w:val="7"/>
    </w:lvl>
  </w:abstractNum>
  <w:abstractNum w:abstractNumId="114">
    <w:nsid w:val="61E74EA3"/>
    <w:multiLevelType w:val="hybridMultilevel"/>
    <w:lvl w:ilvl="0">
      <w:lvlJc w:val="left"/>
      <w:lvlText w:val="(%1)"/>
      <w:numFmt w:val="lowerLetter"/>
      <w:start w:val="8"/>
    </w:lvl>
    <w:lvl w:ilvl="1">
      <w:lvlJc w:val="left"/>
      <w:lvlText w:val="(%2)"/>
      <w:numFmt w:val="lowerRoman"/>
      <w:start w:val="1"/>
    </w:lvl>
  </w:abstractNum>
  <w:abstractNum w:abstractNumId="115">
    <w:nsid w:val="597B4D84"/>
    <w:multiLevelType w:val="hybridMultilevel"/>
    <w:lvl w:ilvl="0">
      <w:lvlJc w:val="left"/>
      <w:lvlText w:val="(%1)"/>
      <w:numFmt w:val="lowerRoman"/>
      <w:start w:val="4"/>
    </w:lvl>
  </w:abstractNum>
  <w:abstractNum w:abstractNumId="116">
    <w:nsid w:val="F819E7F"/>
    <w:multiLevelType w:val="hybridMultilevel"/>
    <w:lvl w:ilvl="0">
      <w:lvlJc w:val="left"/>
      <w:lvlText w:val="(%1)"/>
      <w:numFmt w:val="lowerLetter"/>
      <w:start w:val="9"/>
    </w:lvl>
  </w:abstractNum>
  <w:abstractNum w:abstractNumId="117">
    <w:nsid w:val="57C7D42D"/>
    <w:multiLevelType w:val="hybridMultilevel"/>
    <w:lvl w:ilvl="0">
      <w:lvlJc w:val="left"/>
      <w:lvlText w:val="%1"/>
      <w:numFmt w:val="lowerLetter"/>
      <w:start w:val="1"/>
    </w:lvl>
    <w:lvl w:ilvl="1">
      <w:lvlJc w:val="left"/>
      <w:lvlText w:val="(%2)"/>
      <w:numFmt w:val="lowerLetter"/>
      <w:start w:val="15"/>
    </w:lvl>
    <w:lvl w:ilvl="2">
      <w:lvlJc w:val="left"/>
      <w:lvlText w:val="(%3)"/>
      <w:numFmt w:val="lowerRoman"/>
      <w:start w:val="1"/>
    </w:lvl>
  </w:abstractNum>
  <w:abstractNum w:abstractNumId="118">
    <w:nsid w:val="312167AD"/>
    <w:multiLevelType w:val="hybridMultilevel"/>
    <w:lvl w:ilvl="0">
      <w:lvlJc w:val="left"/>
      <w:lvlText w:val="(%1)"/>
      <w:numFmt w:val="lowerLetter"/>
      <w:start w:val="17"/>
    </w:lvl>
    <w:lvl w:ilvl="1">
      <w:lvlJc w:val="left"/>
      <w:lvlText w:val="(%2)"/>
      <w:numFmt w:val="lowerLetter"/>
      <w:start w:val="18"/>
    </w:lvl>
    <w:lvl w:ilvl="2">
      <w:lvlJc w:val="left"/>
      <w:lvlText w:val="%3"/>
      <w:numFmt w:val="lowerRoman"/>
      <w:start w:val="1"/>
    </w:lvl>
  </w:abstractNum>
  <w:abstractNum w:abstractNumId="119">
    <w:nsid w:val="631B64D4"/>
    <w:multiLevelType w:val="hybridMultilevel"/>
    <w:lvl w:ilvl="0">
      <w:lvlJc w:val="left"/>
      <w:lvlText w:val="(%1)"/>
      <w:numFmt w:val="lowerLetter"/>
      <w:start w:val="19"/>
    </w:lvl>
    <w:lvl w:ilvl="1">
      <w:lvlJc w:val="left"/>
      <w:lvlText w:val="(%2)"/>
      <w:numFmt w:val="lowerLetter"/>
      <w:start w:val="20"/>
    </w:lvl>
  </w:abstractNum>
  <w:abstractNum w:abstractNumId="120">
    <w:nsid w:val="78B5E776"/>
    <w:multiLevelType w:val="hybridMultilevel"/>
    <w:lvl w:ilvl="0">
      <w:lvlJc w:val="left"/>
      <w:lvlText w:val="%1"/>
      <w:numFmt w:val="lowerLetter"/>
      <w:start w:val="1"/>
    </w:lvl>
    <w:lvl w:ilvl="1">
      <w:lvlJc w:val="left"/>
      <w:lvlText w:val="(%2)"/>
      <w:numFmt w:val="lowerLetter"/>
      <w:start w:val="23"/>
    </w:lvl>
    <w:lvl w:ilvl="2">
      <w:lvlJc w:val="left"/>
      <w:lvlText w:val="%3"/>
      <w:numFmt w:val="lowerRoman"/>
      <w:start w:val="1"/>
    </w:lvl>
  </w:abstractNum>
  <w:abstractNum w:abstractNumId="121">
    <w:nsid w:val="75486E47"/>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22">
    <w:nsid w:val="6E534CDE"/>
    <w:multiLevelType w:val="hybridMultilevel"/>
    <w:lvl w:ilvl="0">
      <w:lvlJc w:val="left"/>
      <w:lvlText w:val="%1"/>
      <w:numFmt w:val="lowerLetter"/>
      <w:start w:val="1"/>
    </w:lvl>
    <w:lvl w:ilvl="1">
      <w:lvlJc w:val="left"/>
      <w:lvlText w:val="(%2)"/>
      <w:numFmt w:val="lowerLetter"/>
      <w:start w:val="61"/>
    </w:lvl>
  </w:abstractNum>
  <w:abstractNum w:abstractNumId="123">
    <w:nsid w:val="1A0DDE32"/>
    <w:multiLevelType w:val="hybridMultilevel"/>
    <w:lvl w:ilvl="0">
      <w:lvlJc w:val="left"/>
      <w:lvlText w:val="(%1)"/>
      <w:numFmt w:val="lowerLetter"/>
      <w:start w:val="25"/>
    </w:lvl>
    <w:lvl w:ilvl="1">
      <w:lvlJc w:val="left"/>
      <w:lvlText w:val="%2"/>
      <w:numFmt w:val="lowerLetter"/>
      <w:start w:val="1"/>
    </w:lvl>
  </w:abstractNum>
  <w:abstractNum w:abstractNumId="124">
    <w:nsid w:val="65968C1C"/>
    <w:multiLevelType w:val="hybridMultilevel"/>
    <w:lvl w:ilvl="0">
      <w:lvlJc w:val="left"/>
      <w:lvlText w:val="(%1)"/>
      <w:numFmt w:val="lowerLetter"/>
      <w:start w:val="27"/>
    </w:lvl>
  </w:abstractNum>
  <w:abstractNum w:abstractNumId="125">
    <w:nsid w:val="46263DEC"/>
    <w:multiLevelType w:val="hybridMultilevel"/>
    <w:lvl w:ilvl="0">
      <w:lvlJc w:val="left"/>
      <w:lvlText w:val="(%1)"/>
      <w:numFmt w:val="lowerLetter"/>
      <w:start w:val="30"/>
    </w:lvl>
  </w:abstractNum>
  <w:abstractNum w:abstractNumId="126">
    <w:nsid w:val="260D8C4A"/>
    <w:multiLevelType w:val="hybridMultilevel"/>
    <w:lvl w:ilvl="0">
      <w:lvlJc w:val="left"/>
      <w:lvlText w:val="(%1)"/>
      <w:numFmt w:val="lowerLetter"/>
      <w:start w:val="36"/>
    </w:lvl>
  </w:abstractNum>
  <w:abstractNum w:abstractNumId="127">
    <w:nsid w:val="73D4D3C4"/>
    <w:multiLevelType w:val="hybridMultilevel"/>
    <w:lvl w:ilvl="0">
      <w:lvlJc w:val="left"/>
      <w:lvlText w:val="%1"/>
      <w:numFmt w:val="lowerRoman"/>
      <w:start w:val="1"/>
    </w:lvl>
    <w:lvl w:ilvl="1">
      <w:lvlJc w:val="left"/>
      <w:lvlText w:val="(%2)"/>
      <w:numFmt w:val="lowerLetter"/>
      <w:start w:val="37"/>
    </w:lvl>
    <w:lvl w:ilvl="2">
      <w:lvlJc w:val="left"/>
      <w:lvlText w:val="(%3)"/>
      <w:numFmt w:val="lowerLetter"/>
      <w:start w:val="39"/>
    </w:lvl>
  </w:abstractNum>
  <w:abstractNum w:abstractNumId="128">
    <w:nsid w:val="746F2E30"/>
    <w:multiLevelType w:val="hybridMultilevel"/>
    <w:lvl w:ilvl="0">
      <w:lvlJc w:val="left"/>
      <w:lvlText w:val="(%1)"/>
      <w:numFmt w:val="lowerRoman"/>
      <w:start w:val="28"/>
    </w:lvl>
    <w:lvl w:ilvl="1">
      <w:lvlJc w:val="left"/>
      <w:lvlText w:val="%2"/>
      <w:numFmt w:val="lowerLetter"/>
      <w:start w:val="1"/>
    </w:lvl>
    <w:lvl w:ilvl="2">
      <w:lvlJc w:val="left"/>
      <w:lvlText w:val="%3"/>
      <w:numFmt w:val="lowerLetter"/>
      <w:start w:val="1"/>
    </w:lvl>
  </w:abstractNum>
  <w:abstractNum w:abstractNumId="129">
    <w:nsid w:val="6FDE8AF6"/>
    <w:multiLevelType w:val="hybridMultilevel"/>
    <w:lvl w:ilvl="0">
      <w:lvlJc w:val="left"/>
      <w:lvlText w:val="(%1)"/>
      <w:numFmt w:val="lowerLetter"/>
      <w:start w:val="40"/>
    </w:lvl>
  </w:abstractNum>
  <w:abstractNum w:abstractNumId="130">
    <w:nsid w:val="3FC32E20"/>
    <w:multiLevelType w:val="hybridMultilevel"/>
    <w:lvl w:ilvl="0">
      <w:lvlJc w:val="left"/>
      <w:lvlText w:val="%1"/>
      <w:numFmt w:val="lowerLetter"/>
      <w:start w:val="1"/>
    </w:lvl>
    <w:lvl w:ilvl="1">
      <w:lvlJc w:val="left"/>
      <w:lvlText w:val="(%2)"/>
      <w:numFmt w:val="lowerLetter"/>
      <w:start w:val="41"/>
    </w:lvl>
  </w:abstractNum>
  <w:abstractNum w:abstractNumId="131">
    <w:nsid w:val="49C0E823"/>
    <w:multiLevelType w:val="hybridMultilevel"/>
    <w:lvl w:ilvl="0">
      <w:lvlJc w:val="left"/>
      <w:lvlText w:val="(%1)"/>
      <w:numFmt w:val="lowerLetter"/>
      <w:start w:val="45"/>
    </w:lvl>
    <w:lvl w:ilvl="1">
      <w:lvlJc w:val="left"/>
      <w:lvlText w:val="%2"/>
      <w:numFmt w:val="lowerLetter"/>
      <w:start w:val="1"/>
    </w:lvl>
  </w:abstractNum>
  <w:abstractNum w:abstractNumId="132">
    <w:nsid w:val="14D53685"/>
    <w:multiLevelType w:val="hybridMultilevel"/>
    <w:lvl w:ilvl="0">
      <w:lvlJc w:val="left"/>
      <w:lvlText w:val="(%1)"/>
      <w:numFmt w:val="lowerLetter"/>
      <w:start w:val="53"/>
    </w:lvl>
  </w:abstractNum>
  <w:abstractNum w:abstractNumId="133">
    <w:nsid w:val="230F856C"/>
    <w:multiLevelType w:val="hybridMultilevel"/>
    <w:lvl w:ilvl="0">
      <w:lvlJc w:val="left"/>
      <w:lvlText w:val="%1."/>
      <w:numFmt w:val="decimal"/>
      <w:start w:val="1"/>
    </w:lvl>
  </w:abstractNum>
  <w:abstractNum w:abstractNumId="134">
    <w:nsid w:val="6EAA85FB"/>
    <w:multiLevelType w:val="hybridMultilevel"/>
    <w:lvl w:ilvl="0">
      <w:lvlJc w:val="left"/>
      <w:lvlText w:val="(%1)"/>
      <w:numFmt w:val="lowerLetter"/>
      <w:start w:val="1"/>
    </w:lvl>
  </w:abstractNum>
  <w:abstractNum w:abstractNumId="135">
    <w:nsid w:val="3F06ECB2"/>
    <w:multiLevelType w:val="hybridMultilevel"/>
    <w:lvl w:ilvl="0">
      <w:lvlJc w:val="left"/>
      <w:lvlText w:val="(%1)"/>
      <w:numFmt w:val="lowerLetter"/>
      <w:start w:val="3"/>
    </w:lvl>
  </w:abstractNum>
  <w:abstractNum w:abstractNumId="136">
    <w:nsid w:val="3B594807"/>
    <w:multiLevelType w:val="hybridMultilevel"/>
    <w:lvl w:ilvl="0">
      <w:lvlJc w:val="left"/>
      <w:lvlText w:val="%1."/>
      <w:numFmt w:val="decimal"/>
      <w:start w:val="6"/>
    </w:lvl>
  </w:abstractNum>
  <w:abstractNum w:abstractNumId="137">
    <w:nsid w:val="6CAA2304"/>
    <w:multiLevelType w:val="hybridMultilevel"/>
    <w:lvl w:ilvl="0">
      <w:lvlJc w:val="left"/>
      <w:lvlText w:val="(%1)"/>
      <w:numFmt w:val="lowerLetter"/>
      <w:start w:val="1"/>
    </w:lvl>
  </w:abstractNum>
  <w:abstractNum w:abstractNumId="138">
    <w:nsid w:val="3F7C2FF4"/>
    <w:multiLevelType w:val="hybridMultilevel"/>
    <w:lvl w:ilvl="0">
      <w:lvlJc w:val="left"/>
      <w:lvlText w:val="%1."/>
      <w:numFmt w:val="decimal"/>
      <w:start w:val="9"/>
    </w:lvl>
  </w:abstractNum>
  <w:abstractNum w:abstractNumId="139">
    <w:nsid w:val="25413BEC"/>
    <w:multiLevelType w:val="hybridMultilevel"/>
    <w:lvl w:ilvl="0">
      <w:lvlJc w:val="left"/>
      <w:lvlText w:val="(%1)"/>
      <w:numFmt w:val="lowerLetter"/>
      <w:start w:val="1"/>
    </w:lvl>
  </w:abstractNum>
  <w:abstractNum w:abstractNumId="140">
    <w:nsid w:val="17180B0B"/>
    <w:multiLevelType w:val="hybridMultilevel"/>
    <w:lvl w:ilvl="0">
      <w:lvlJc w:val="left"/>
      <w:lvlText w:val="(%1)"/>
      <w:numFmt w:val="lowerLetter"/>
      <w:start w:val="2"/>
    </w:lvl>
  </w:abstractNum>
  <w:abstractNum w:abstractNumId="141">
    <w:nsid w:val="579328B9"/>
    <w:multiLevelType w:val="hybridMultilevel"/>
    <w:lvl w:ilvl="0">
      <w:lvlJc w:val="left"/>
      <w:lvlText w:val="%1."/>
      <w:numFmt w:val="decimal"/>
      <w:start w:val="10"/>
    </w:lvl>
  </w:abstractNum>
  <w:abstractNum w:abstractNumId="142">
    <w:nsid w:val="5D205E20"/>
    <w:multiLevelType w:val="hybridMultilevel"/>
    <w:lvl w:ilvl="0">
      <w:lvlJc w:val="left"/>
      <w:lvlText w:val="(%1)"/>
      <w:numFmt w:val="lowerLetter"/>
      <w:start w:val="1"/>
    </w:lvl>
  </w:abstractNum>
  <w:abstractNum w:abstractNumId="143">
    <w:nsid w:val="11CCA8BA"/>
    <w:multiLevelType w:val="hybridMultilevel"/>
    <w:lvl w:ilvl="0">
      <w:lvlJc w:val="left"/>
      <w:lvlText w:val="%1."/>
      <w:numFmt w:val="decimal"/>
      <w:start w:val="11"/>
    </w:lvl>
  </w:abstractNum>
  <w:abstractNum w:abstractNumId="144">
    <w:nsid w:val="4D32AB86"/>
    <w:multiLevelType w:val="hybridMultilevel"/>
    <w:lvl w:ilvl="0">
      <w:lvlJc w:val="left"/>
      <w:lvlText w:val="(%1)"/>
      <w:numFmt w:val="lowerLetter"/>
      <w:start w:val="1"/>
    </w:lvl>
  </w:abstractNum>
  <w:abstractNum w:abstractNumId="145">
    <w:nsid w:val="3F07ACC3"/>
    <w:multiLevelType w:val="hybridMultilevel"/>
    <w:lvl w:ilvl="0">
      <w:lvlJc w:val="left"/>
      <w:lvlText w:val="%1."/>
      <w:numFmt w:val="decimal"/>
      <w:start w:val="13"/>
    </w:lvl>
  </w:abstractNum>
  <w:abstractNum w:abstractNumId="146">
    <w:nsid w:val="6B47F63E"/>
    <w:multiLevelType w:val="hybridMultilevel"/>
    <w:lvl w:ilvl="0">
      <w:lvlJc w:val="left"/>
      <w:lvlText w:val="%1."/>
      <w:numFmt w:val="decimal"/>
      <w:start w:val="17"/>
    </w:lvl>
  </w:abstractNum>
  <w:abstractNum w:abstractNumId="147">
    <w:nsid w:val="5CB44A05"/>
    <w:multiLevelType w:val="hybridMultilevel"/>
    <w:lvl w:ilvl="0">
      <w:lvlJc w:val="left"/>
      <w:lvlText w:val="(%1)"/>
      <w:numFmt w:val="lowerLetter"/>
      <w:start w:val="1"/>
    </w:lvl>
  </w:abstractNum>
  <w:abstractNum w:abstractNumId="148">
    <w:nsid w:val="16CF80F1"/>
    <w:multiLevelType w:val="hybridMultilevel"/>
    <w:lvl w:ilvl="0">
      <w:lvlJc w:val="left"/>
      <w:lvlText w:val="%1."/>
      <w:numFmt w:val="decimal"/>
      <w:start w:val="21"/>
    </w:lvl>
    <w:lvl w:ilvl="1">
      <w:lvlJc w:val="left"/>
      <w:lvlText w:val="*"/>
      <w:numFmt w:val="bullet"/>
      <w:start w:val="1"/>
    </w:lvl>
  </w:abstractNum>
  <w:abstractNum w:abstractNumId="149">
    <w:nsid w:val="1C695DEC"/>
    <w:multiLevelType w:val="hybridMultilevel"/>
    <w:lvl w:ilvl="0">
      <w:lvlJc w:val="left"/>
      <w:lvlText w:val="%1."/>
      <w:numFmt w:val="decimal"/>
      <w:start w:val="1"/>
    </w:lvl>
    <w:lvl w:ilvl="1">
      <w:lvlJc w:val="left"/>
      <w:lvlText w:val="(%2)"/>
      <w:numFmt w:val="lowerLetter"/>
      <w:start w:val="1"/>
    </w:lvl>
  </w:abstractNum>
  <w:abstractNum w:abstractNumId="150">
    <w:nsid w:val="3FCFAED9"/>
    <w:multiLevelType w:val="hybridMultilevel"/>
    <w:lvl w:ilvl="0">
      <w:lvlJc w:val="left"/>
      <w:lvlText w:val="%1"/>
      <w:numFmt w:val="decimal"/>
      <w:start w:val="1"/>
    </w:lvl>
    <w:lvl w:ilvl="1">
      <w:lvlJc w:val="left"/>
      <w:lvlText w:val="(%2)"/>
      <w:numFmt w:val="lowerLetter"/>
      <w:start w:val="1"/>
    </w:lvl>
  </w:abstractNum>
  <w:abstractNum w:abstractNumId="151">
    <w:nsid w:val="F856867"/>
    <w:multiLevelType w:val="hybridMultilevel"/>
    <w:lvl w:ilvl="0">
      <w:lvlJc w:val="left"/>
      <w:lvlText w:val="%1."/>
      <w:numFmt w:val="decimal"/>
      <w:start w:val="9"/>
    </w:lvl>
    <w:lvl w:ilvl="1">
      <w:lvlJc w:val="left"/>
      <w:lvlText w:val="%2"/>
      <w:numFmt w:val="lowerLetter"/>
      <w:start w:val="1"/>
    </w:lvl>
  </w:abstractNum>
  <w:abstractNum w:abstractNumId="152">
    <w:nsid w:val="11B1CC33"/>
    <w:multiLevelType w:val="hybridMultilevel"/>
    <w:lvl w:ilvl="0">
      <w:lvlJc w:val="left"/>
      <w:lvlText w:val="%1."/>
      <w:numFmt w:val="decimal"/>
      <w:start w:val="1"/>
    </w:lvl>
  </w:abstractNum>
  <w:abstractNum w:abstractNumId="153">
    <w:nsid w:val="2E22FBB7"/>
    <w:multiLevelType w:val="hybridMultilevel"/>
    <w:lvl w:ilvl="0">
      <w:lvlJc w:val="left"/>
      <w:lvlText w:val="(%1)"/>
      <w:numFmt w:val="lowerLetter"/>
      <w:start w:val="1"/>
    </w:lvl>
  </w:abstractNum>
  <w:abstractNum w:abstractNumId="154">
    <w:nsid w:val="29934699"/>
    <w:multiLevelType w:val="hybridMultilevel"/>
    <w:lvl w:ilvl="0">
      <w:lvlJc w:val="left"/>
      <w:lvlText w:val="%1."/>
      <w:numFmt w:val="decimal"/>
      <w:start w:val="6"/>
    </w:lvl>
  </w:abstractNum>
  <w:abstractNum w:abstractNumId="155">
    <w:nsid w:val="77485850"/>
    <w:multiLevelType w:val="hybridMultilevel"/>
    <w:lvl w:ilvl="0">
      <w:lvlJc w:val="left"/>
      <w:lvlText w:val="(%1)"/>
      <w:numFmt w:val="lowerLetter"/>
      <w:start w:val="1"/>
    </w:lvl>
  </w:abstractNum>
  <w:abstractNum w:abstractNumId="156">
    <w:nsid w:val="744939A3"/>
    <w:multiLevelType w:val="hybridMultilevel"/>
    <w:lvl w:ilvl="0">
      <w:lvlJc w:val="left"/>
      <w:lvlText w:val="(%1)"/>
      <w:numFmt w:val="lowerRoman"/>
      <w:start w:val="1"/>
    </w:lvl>
  </w:abstractNum>
  <w:abstractNum w:abstractNumId="157">
    <w:nsid w:val="4FA0D2E3"/>
    <w:multiLevelType w:val="hybridMultilevel"/>
    <w:lvl w:ilvl="0">
      <w:lvlJc w:val="left"/>
      <w:lvlText w:val="(%1)"/>
      <w:numFmt w:val="lowerLetter"/>
      <w:start w:val="3"/>
    </w:lvl>
  </w:abstractNum>
  <w:abstractNum w:abstractNumId="158">
    <w:nsid w:val="6B1D2C14"/>
    <w:multiLevelType w:val="hybridMultilevel"/>
    <w:lvl w:ilvl="0">
      <w:lvlJc w:val="left"/>
      <w:lvlText w:val="%1."/>
      <w:numFmt w:val="decimal"/>
      <w:start w:val="7"/>
    </w:lvl>
  </w:abstractNum>
  <w:abstractNum w:abstractNumId="159">
    <w:nsid w:val="68B867D3"/>
    <w:multiLevelType w:val="hybridMultilevel"/>
    <w:lvl w:ilvl="0">
      <w:lvlJc w:val="left"/>
      <w:lvlText w:val="(%1)"/>
      <w:numFmt w:val="lowerLetter"/>
      <w:start w:val="1"/>
    </w:lvl>
  </w:abstractNum>
  <w:abstractNum w:abstractNumId="160">
    <w:nsid w:val="3F7F5DD9"/>
    <w:multiLevelType w:val="hybridMultilevel"/>
    <w:lvl w:ilvl="0">
      <w:lvlJc w:val="left"/>
      <w:lvlText w:val="(%1)"/>
      <w:numFmt w:val="lowerLetter"/>
      <w:start w:val="2"/>
    </w:lvl>
  </w:abstractNum>
  <w:abstractNum w:abstractNumId="161">
    <w:nsid w:val="2AE05A34"/>
    <w:multiLevelType w:val="hybridMultilevel"/>
    <w:lvl w:ilvl="0">
      <w:lvlJc w:val="left"/>
      <w:lvlText w:val="%1."/>
      <w:numFmt w:val="decimal"/>
      <w:start w:val="11"/>
    </w:lvl>
  </w:abstractNum>
  <w:abstractNum w:abstractNumId="162">
    <w:nsid w:val="32794FF7"/>
    <w:multiLevelType w:val="hybridMultilevel"/>
    <w:lvl w:ilvl="0">
      <w:lvlJc w:val="left"/>
      <w:lvlText w:val="(%1)"/>
      <w:numFmt w:val="lowerLetter"/>
      <w:start w:val="1"/>
    </w:lvl>
  </w:abstractNum>
  <w:abstractNum w:abstractNumId="163">
    <w:nsid w:val="5454945E"/>
    <w:multiLevelType w:val="hybridMultilevel"/>
    <w:lvl w:ilvl="0">
      <w:lvlJc w:val="left"/>
      <w:lvlText w:val="%1."/>
      <w:numFmt w:val="decimal"/>
      <w:start w:val="12"/>
    </w:lvl>
  </w:abstractNum>
  <w:abstractNum w:abstractNumId="164">
    <w:nsid w:val="4DEFDFA0"/>
    <w:multiLevelType w:val="hybridMultilevel"/>
    <w:lvl w:ilvl="0">
      <w:lvlJc w:val="left"/>
      <w:lvlText w:val="%1."/>
      <w:numFmt w:val="decimal"/>
      <w:start w:val="14"/>
    </w:lvl>
  </w:abstractNum>
  <w:abstractNum w:abstractNumId="165">
    <w:nsid w:val="2123D5F2"/>
    <w:multiLevelType w:val="hybridMultilevel"/>
    <w:lvl w:ilvl="0">
      <w:lvlJc w:val="left"/>
      <w:lvlText w:val="%1."/>
      <w:numFmt w:val="decimal"/>
      <w:start w:val="15"/>
    </w:lvl>
  </w:abstractNum>
  <w:abstractNum w:abstractNumId="166">
    <w:nsid w:val="135B8110"/>
    <w:multiLevelType w:val="hybridMultilevel"/>
    <w:lvl w:ilvl="0">
      <w:lvlJc w:val="left"/>
      <w:lvlText w:val="(%1)"/>
      <w:numFmt w:val="lowerLetter"/>
      <w:start w:val="1"/>
    </w:lvl>
  </w:abstractNum>
  <w:abstractNum w:abstractNumId="167">
    <w:nsid w:val="94927A8"/>
    <w:multiLevelType w:val="hybridMultilevel"/>
    <w:lvl w:ilvl="0">
      <w:lvlJc w:val="left"/>
      <w:lvlText w:val="%1."/>
      <w:numFmt w:val="decimal"/>
      <w:start w:val="17"/>
    </w:lvl>
  </w:abstractNum>
  <w:abstractNum w:abstractNumId="168">
    <w:nsid w:val="DCDF8F6"/>
    <w:multiLevelType w:val="hybridMultilevel"/>
    <w:lvl w:ilvl="0">
      <w:lvlJc w:val="left"/>
      <w:lvlText w:val="%1."/>
      <w:numFmt w:val="decimal"/>
      <w:start w:val="19"/>
    </w:lvl>
  </w:abstractNum>
  <w:abstractNum w:abstractNumId="169">
    <w:nsid w:val="52D7B105"/>
    <w:multiLevelType w:val="hybridMultilevel"/>
    <w:lvl w:ilvl="0">
      <w:lvlJc w:val="left"/>
      <w:lvlText w:val="%1."/>
      <w:numFmt w:val="decimal"/>
      <w:start w:val="1"/>
    </w:lvl>
  </w:abstractNum>
  <w:abstractNum w:abstractNumId="170">
    <w:nsid w:val="2E8A6394"/>
    <w:multiLevelType w:val="hybridMultilevel"/>
    <w:lvl w:ilvl="0">
      <w:lvlJc w:val="left"/>
      <w:lvlText w:val="%1."/>
      <w:numFmt w:val="decimal"/>
      <w:start w:val="1"/>
    </w:lvl>
    <w:lvl w:ilvl="1">
      <w:lvlJc w:val="left"/>
      <w:lvlText w:val="(%2)"/>
      <w:numFmt w:val="lowerLetter"/>
      <w:start w:val="1"/>
    </w:lvl>
  </w:abstractNum>
  <w:abstractNum w:abstractNumId="171">
    <w:nsid w:val="24E60401"/>
    <w:multiLevelType w:val="hybridMultilevel"/>
    <w:lvl w:ilvl="0">
      <w:lvlJc w:val="left"/>
      <w:lvlText w:val="%1."/>
      <w:numFmt w:val="decimal"/>
      <w:start w:val="1"/>
    </w:lvl>
    <w:lvl w:ilvl="1">
      <w:lvlJc w:val="left"/>
      <w:lvlText w:val="(%2)"/>
      <w:numFmt w:val="lowerLetter"/>
      <w:start w:val="1"/>
    </w:lvl>
  </w:abstractNum>
  <w:abstractNum w:abstractNumId="172">
    <w:nsid w:val="2A6AD9BE"/>
    <w:multiLevelType w:val="hybridMultilevel"/>
    <w:lvl w:ilvl="0">
      <w:lvlJc w:val="left"/>
      <w:lvlText w:val="%1."/>
      <w:numFmt w:val="decimal"/>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86" Type="http://schemas.openxmlformats.org/officeDocument/2006/relationships/image" Target="media/image158.png"/><Relationship Id="rId193" Type="http://schemas.openxmlformats.org/officeDocument/2006/relationships/image" Target="media/image159.png"/><Relationship Id="rId210" Type="http://schemas.openxmlformats.org/officeDocument/2006/relationships/image" Target="media/image160.png"/><Relationship Id="rId226" Type="http://schemas.openxmlformats.org/officeDocument/2006/relationships/image" Target="media/image161.png"/><Relationship Id="rId227" Type="http://schemas.openxmlformats.org/officeDocument/2006/relationships/image" Target="media/image162.png"/><Relationship Id="rId228" Type="http://schemas.openxmlformats.org/officeDocument/2006/relationships/image" Target="media/image163.png"/><Relationship Id="rId229" Type="http://schemas.openxmlformats.org/officeDocument/2006/relationships/image" Target="media/image164.png"/><Relationship Id="rId230" Type="http://schemas.openxmlformats.org/officeDocument/2006/relationships/image" Target="media/image165.png"/><Relationship Id="rId231" Type="http://schemas.openxmlformats.org/officeDocument/2006/relationships/image" Target="media/image166.png"/><Relationship Id="rId232" Type="http://schemas.openxmlformats.org/officeDocument/2006/relationships/image" Target="media/image167.png"/><Relationship Id="rId233" Type="http://schemas.openxmlformats.org/officeDocument/2006/relationships/image" Target="media/image168.png"/><Relationship Id="rId234" Type="http://schemas.openxmlformats.org/officeDocument/2006/relationships/image" Target="media/image169.png"/><Relationship Id="rId235" Type="http://schemas.openxmlformats.org/officeDocument/2006/relationships/image" Target="media/image170.png"/><Relationship Id="rId236" Type="http://schemas.openxmlformats.org/officeDocument/2006/relationships/image" Target="media/image171.png"/><Relationship Id="rId237" Type="http://schemas.openxmlformats.org/officeDocument/2006/relationships/image" Target="media/image172.png"/><Relationship Id="rId238" Type="http://schemas.openxmlformats.org/officeDocument/2006/relationships/image" Target="media/image173.png"/><Relationship Id="rId239" Type="http://schemas.openxmlformats.org/officeDocument/2006/relationships/image" Target="media/image174.png"/><Relationship Id="rId240" Type="http://schemas.openxmlformats.org/officeDocument/2006/relationships/image" Target="media/image175.png"/><Relationship Id="rId241" Type="http://schemas.openxmlformats.org/officeDocument/2006/relationships/image" Target="media/image176.png"/><Relationship Id="rId242" Type="http://schemas.openxmlformats.org/officeDocument/2006/relationships/image" Target="media/image177.png"/><Relationship Id="rId243" Type="http://schemas.openxmlformats.org/officeDocument/2006/relationships/image" Target="media/image178.png"/><Relationship Id="rId244" Type="http://schemas.openxmlformats.org/officeDocument/2006/relationships/image" Target="media/image179.png"/><Relationship Id="rId245" Type="http://schemas.openxmlformats.org/officeDocument/2006/relationships/image" Target="media/image180.png"/><Relationship Id="rId246" Type="http://schemas.openxmlformats.org/officeDocument/2006/relationships/image" Target="media/image181.png"/><Relationship Id="rId247" Type="http://schemas.openxmlformats.org/officeDocument/2006/relationships/image" Target="media/image182.png"/><Relationship Id="rId248" Type="http://schemas.openxmlformats.org/officeDocument/2006/relationships/image" Target="media/image183.png"/><Relationship Id="rId249" Type="http://schemas.openxmlformats.org/officeDocument/2006/relationships/image" Target="media/image184.png"/><Relationship Id="rId250" Type="http://schemas.openxmlformats.org/officeDocument/2006/relationships/image" Target="media/image185.png"/><Relationship Id="rId251" Type="http://schemas.openxmlformats.org/officeDocument/2006/relationships/image" Target="media/image186.png"/><Relationship Id="rId252" Type="http://schemas.openxmlformats.org/officeDocument/2006/relationships/image" Target="media/image187.png"/><Relationship Id="rId253" Type="http://schemas.openxmlformats.org/officeDocument/2006/relationships/image" Target="media/image188.png"/><Relationship Id="rId254" Type="http://schemas.openxmlformats.org/officeDocument/2006/relationships/image" Target="media/image189.png"/><Relationship Id="rId255" Type="http://schemas.openxmlformats.org/officeDocument/2006/relationships/image" Target="media/image190.png"/><Relationship Id="rId256" Type="http://schemas.openxmlformats.org/officeDocument/2006/relationships/image" Target="media/image191.png"/><Relationship Id="rId257" Type="http://schemas.openxmlformats.org/officeDocument/2006/relationships/image" Target="media/image192.png"/><Relationship Id="rId258" Type="http://schemas.openxmlformats.org/officeDocument/2006/relationships/image" Target="media/image193.png"/><Relationship Id="rId259" Type="http://schemas.openxmlformats.org/officeDocument/2006/relationships/image" Target="media/image194.png"/><Relationship Id="rId260" Type="http://schemas.openxmlformats.org/officeDocument/2006/relationships/image" Target="media/image195.png"/><Relationship Id="rId261" Type="http://schemas.openxmlformats.org/officeDocument/2006/relationships/image" Target="media/image196.png"/><Relationship Id="rId262" Type="http://schemas.openxmlformats.org/officeDocument/2006/relationships/image" Target="media/image197.png"/><Relationship Id="rId263" Type="http://schemas.openxmlformats.org/officeDocument/2006/relationships/image" Target="media/image198.png"/><Relationship Id="rId264" Type="http://schemas.openxmlformats.org/officeDocument/2006/relationships/image" Target="media/image199.png"/><Relationship Id="rId265" Type="http://schemas.openxmlformats.org/officeDocument/2006/relationships/image" Target="media/image200.png"/><Relationship Id="rId266" Type="http://schemas.openxmlformats.org/officeDocument/2006/relationships/image" Target="media/image201.png"/><Relationship Id="rId267" Type="http://schemas.openxmlformats.org/officeDocument/2006/relationships/image" Target="media/image202.png"/><Relationship Id="rId268" Type="http://schemas.openxmlformats.org/officeDocument/2006/relationships/image" Target="media/image203.png"/><Relationship Id="rId269" Type="http://schemas.openxmlformats.org/officeDocument/2006/relationships/image" Target="media/image204.png"/><Relationship Id="rId270" Type="http://schemas.openxmlformats.org/officeDocument/2006/relationships/image" Target="media/image205.png"/><Relationship Id="rId271" Type="http://schemas.openxmlformats.org/officeDocument/2006/relationships/image" Target="media/image206.png"/><Relationship Id="rId272" Type="http://schemas.openxmlformats.org/officeDocument/2006/relationships/image" Target="media/image207.png"/><Relationship Id="rId273" Type="http://schemas.openxmlformats.org/officeDocument/2006/relationships/image" Target="media/image208.png"/><Relationship Id="rId274" Type="http://schemas.openxmlformats.org/officeDocument/2006/relationships/image" Target="media/image209.png"/><Relationship Id="rId275" Type="http://schemas.openxmlformats.org/officeDocument/2006/relationships/image" Target="media/image210.png"/><Relationship Id="rId276" Type="http://schemas.openxmlformats.org/officeDocument/2006/relationships/image" Target="media/image211.png"/><Relationship Id="rId277" Type="http://schemas.openxmlformats.org/officeDocument/2006/relationships/image" Target="media/image212.png"/><Relationship Id="rId278" Type="http://schemas.openxmlformats.org/officeDocument/2006/relationships/image" Target="media/image213.png"/><Relationship Id="rId279" Type="http://schemas.openxmlformats.org/officeDocument/2006/relationships/image" Target="media/image214.png"/><Relationship Id="rId165" Type="http://schemas.openxmlformats.org/officeDocument/2006/relationships/hyperlink" Target="http://www.sec.gov/Archives/edgar/data/1434647/000119312515140072/d911803dex31.htm" TargetMode="External"/><Relationship Id="rId166" Type="http://schemas.openxmlformats.org/officeDocument/2006/relationships/hyperlink" Target="http://www.sec.gov/Archives/edgar/data/0001434647/000143774920025891/ex_218888.htm" TargetMode="External"/><Relationship Id="rId167" Type="http://schemas.openxmlformats.org/officeDocument/2006/relationships/hyperlink" Target="http://www.sec.gov/Archives/edgar/data/1434647/000119312521197280/d192970dex31.htm" TargetMode="External"/><Relationship Id="rId168" Type="http://schemas.openxmlformats.org/officeDocument/2006/relationships/hyperlink" Target="http://www.sec.gov/Archives/edgar/data/1434647/000119312521197280/d192970dex32.htm" TargetMode="External"/><Relationship Id="rId169" Type="http://schemas.openxmlformats.org/officeDocument/2006/relationships/hyperlink" Target="http://www.sec.gov/Archives/edgar/data/1434647/000119312521197280/d192970dex33.htm" TargetMode="External"/><Relationship Id="rId170" Type="http://schemas.openxmlformats.org/officeDocument/2006/relationships/hyperlink" Target="http://www.sec.gov/Archives/edgar/data/1434647/000143774923004450/ex_478052.htm" TargetMode="External"/><Relationship Id="rId171" Type="http://schemas.openxmlformats.org/officeDocument/2006/relationships/hyperlink" Target="http://www.sec.gov/Archives/edgar/data/1434647/000143774923004450/ex_479870.htm" TargetMode="External"/><Relationship Id="rId172" Type="http://schemas.openxmlformats.org/officeDocument/2006/relationships/hyperlink" Target="http://www.sec.gov/Archives/edgar/data/1434647/000143774921005785/ex_227827.htm" TargetMode="External"/><Relationship Id="rId173" Type="http://schemas.openxmlformats.org/officeDocument/2006/relationships/hyperlink" Target="http://www.sec.gov/Archives/edgar/data/1434647/000119312521007494/d848409dex43.htm" TargetMode="External"/><Relationship Id="rId174" Type="http://schemas.openxmlformats.org/officeDocument/2006/relationships/hyperlink" Target="http://www.sec.gov/Archives/edgar/data/1434647/000143774921001230/ex_222593.htm" TargetMode="External"/><Relationship Id="rId175" Type="http://schemas.openxmlformats.org/officeDocument/2006/relationships/hyperlink" Target="http://www.sec.gov/Archives/edgar/data/1434647/000119312521197280/d192970dex41.htm" TargetMode="External"/><Relationship Id="rId176" Type="http://schemas.openxmlformats.org/officeDocument/2006/relationships/hyperlink" Target="http://www.sec.gov/Archives/edgar/data/1434647/000119312515119078/d793437dex101.htm" TargetMode="External"/><Relationship Id="rId177" Type="http://schemas.openxmlformats.org/officeDocument/2006/relationships/hyperlink" Target="http://www.sec.gov/Archives/edgar/data/1434647/000143774921002351/ex_225425.htm" TargetMode="External"/><Relationship Id="rId178" Type="http://schemas.openxmlformats.org/officeDocument/2006/relationships/hyperlink" Target="http://www.sec.gov/Archives/edgar/data/1434647/000156459016011814/kmph-ex101_35.htm" TargetMode="External"/><Relationship Id="rId179" Type="http://schemas.openxmlformats.org/officeDocument/2006/relationships/hyperlink" Target="http://www.sec.gov/Archives/edgar/data/1434647/000119312516728641/d273331dex102.htm" TargetMode="External"/><Relationship Id="rId180" Type="http://schemas.openxmlformats.org/officeDocument/2006/relationships/hyperlink" Target="http://www.sec.gov/Archives/edgar/data/1434647/000143774918021146/ex_130426.htm" TargetMode="External"/><Relationship Id="rId181" Type="http://schemas.openxmlformats.org/officeDocument/2006/relationships/hyperlink" Target="http://www.sec.gov/Archives/edgar/data/1434647/000143774919003789/ex_136276.htm" TargetMode="External"/><Relationship Id="rId182" Type="http://schemas.openxmlformats.org/officeDocument/2006/relationships/hyperlink" Target="http://www.sec.gov/Archives/edgar/data/1434647/000119312520039368/d832312dex103.htm" TargetMode="External"/><Relationship Id="rId183" Type="http://schemas.openxmlformats.org/officeDocument/2006/relationships/hyperlink" Target="http://www.sec.gov/Archives/edgar/data/1434647/000119312521007494/d848409dex101.htm" TargetMode="External"/><Relationship Id="rId184" Type="http://schemas.openxmlformats.org/officeDocument/2006/relationships/hyperlink" Target="http://www.sec.gov/Archives/edgar/data/1434647/000119312515087360/d793437dex105.htm" TargetMode="External"/><Relationship Id="rId185" Type="http://schemas.openxmlformats.org/officeDocument/2006/relationships/hyperlink" Target="http://www.sec.gov/Archives/edgar/data/1434647/000119312515087360/d793437dex107.htm" TargetMode="External"/><Relationship Id="rId187" Type="http://schemas.openxmlformats.org/officeDocument/2006/relationships/hyperlink" Target="http://www.sec.gov/Archives/edgar/data/1434647/000119312515087360/d793437dex103.htm" TargetMode="External"/><Relationship Id="rId188" Type="http://schemas.openxmlformats.org/officeDocument/2006/relationships/hyperlink" Target="http://www.sec.gov/Archives/edgar/data/1434647/000119312515119078/d793437dex1010.htm" TargetMode="External"/><Relationship Id="rId189" Type="http://schemas.openxmlformats.org/officeDocument/2006/relationships/hyperlink" Target="http://www.sec.gov/Archives/edgar/data/1434647/000119312515087360/d793437dex1011.htm" TargetMode="External"/><Relationship Id="rId190" Type="http://schemas.openxmlformats.org/officeDocument/2006/relationships/hyperlink" Target="http://www.sec.gov/Archives/edgar/data/1434647/000119312515087360/d793437dex1012.htm" TargetMode="External"/><Relationship Id="rId191" Type="http://schemas.openxmlformats.org/officeDocument/2006/relationships/hyperlink" Target="http://www.sec.gov/Archives/edgar/data/1434647/000119312515087360/d793437dex1013.htm" TargetMode="External"/><Relationship Id="rId192" Type="http://schemas.openxmlformats.org/officeDocument/2006/relationships/hyperlink" Target="http://www.sec.gov/Archives/edgar/data/1434647/000143774921019912/ex_272734.htm" TargetMode="External"/><Relationship Id="rId194" Type="http://schemas.openxmlformats.org/officeDocument/2006/relationships/hyperlink" Target="http://www.sec.gov/Archives/edgar/data/1434647/000119312515087360/d793437dex1015.htm" TargetMode="External"/><Relationship Id="rId195" Type="http://schemas.openxmlformats.org/officeDocument/2006/relationships/hyperlink" Target="http://www.sec.gov/Archives/edgar/data/1434647/000119312515087360/d793437dex1016.htm" TargetMode="External"/><Relationship Id="rId196" Type="http://schemas.openxmlformats.org/officeDocument/2006/relationships/hyperlink" Target="http://www.sec.gov/Archives/edgar/data/1434647/000143774919009870/ex_144816.htm" TargetMode="External"/><Relationship Id="rId197" Type="http://schemas.openxmlformats.org/officeDocument/2006/relationships/hyperlink" Target="http://www.sec.gov/Archives/edgar/data/1434647/000143774921019912/ex_272735.htm" TargetMode="External"/><Relationship Id="rId198" Type="http://schemas.openxmlformats.org/officeDocument/2006/relationships/hyperlink" Target="http://www.sec.gov/Archives/edgar/data/1434647/000119312515087360/d793437dex1017.htm" TargetMode="External"/><Relationship Id="rId199" Type="http://schemas.openxmlformats.org/officeDocument/2006/relationships/hyperlink" Target="http://www.sec.gov/Archives/edgar/data/1434647/000156459015007410/kmph-ex107_273.htm" TargetMode="External"/><Relationship Id="rId200" Type="http://schemas.openxmlformats.org/officeDocument/2006/relationships/hyperlink" Target="http://www.sec.gov/Archives/edgar/data/1434647/000156459015010727/kmph-ex102_27.htm" TargetMode="External"/><Relationship Id="rId201" Type="http://schemas.openxmlformats.org/officeDocument/2006/relationships/hyperlink" Target="http://www.sec.gov/Archives/edgar/data/1434647/000119312515087360/d793437dex1020.htm" TargetMode="External"/><Relationship Id="rId202" Type="http://schemas.openxmlformats.org/officeDocument/2006/relationships/hyperlink" Target="http://www.sec.gov/Archives/edgar/data/1434647/000156459015010727/kmph-ex101_26.htm" TargetMode="External"/><Relationship Id="rId203" Type="http://schemas.openxmlformats.org/officeDocument/2006/relationships/hyperlink" Target="http://www.sec.gov/Archives/edgar/data/1434647/000119312515087360/d793437dex1019.htm" TargetMode="External"/><Relationship Id="rId204" Type="http://schemas.openxmlformats.org/officeDocument/2006/relationships/hyperlink" Target="http://www.sec.gov/Archives/edgar/data/1434647/000156459015010727/kmph-ex104_29.htm" TargetMode="External"/><Relationship Id="rId205" Type="http://schemas.openxmlformats.org/officeDocument/2006/relationships/hyperlink" Target="http://www.sec.gov/Archives/edgar/data/1434647/000143774923000695/ex_462051.htm" TargetMode="External"/><Relationship Id="rId206" Type="http://schemas.openxmlformats.org/officeDocument/2006/relationships/hyperlink" Target="http://www.sec.gov/Archives/edgar/data/1434647/000143774923000695/ex_462052.htm" TargetMode="External"/><Relationship Id="rId207" Type="http://schemas.openxmlformats.org/officeDocument/2006/relationships/hyperlink" Target="http://www.sec.gov/Archives/edgar/data/1434647/000156459016019302/kmph-ex104_84.htm" TargetMode="External"/><Relationship Id="rId208" Type="http://schemas.openxmlformats.org/officeDocument/2006/relationships/hyperlink" Target="http://www.sec.gov/Archives/edgar/data/1434647/000143774921026154/ex_304723.htm" TargetMode="External"/><Relationship Id="rId209" Type="http://schemas.openxmlformats.org/officeDocument/2006/relationships/hyperlink" Target="http://www.sec.gov/Archives/edgar/data/1434647/000143774923000695/ex_462050.htm" TargetMode="External"/><Relationship Id="rId211" Type="http://schemas.openxmlformats.org/officeDocument/2006/relationships/hyperlink" Target="http://www.sec.gov/Archives/edgar/data/1434647/000143774917004317/ex10-28.htm" TargetMode="External"/><Relationship Id="rId212" Type="http://schemas.openxmlformats.org/officeDocument/2006/relationships/hyperlink" Target="http://www.sec.gov/Archives/edgar/data/1434647/000143774917004317/ex10-29.htm" TargetMode="External"/><Relationship Id="rId213" Type="http://schemas.openxmlformats.org/officeDocument/2006/relationships/hyperlink" Target="http://www.sec.gov/Archives/edgar/data/1434647/000143774917004317/ex10-30.htm" TargetMode="External"/><Relationship Id="rId214" Type="http://schemas.openxmlformats.org/officeDocument/2006/relationships/hyperlink" Target="http://www.sec.gov/Archives/edgar/data/1434647/000143774917004317/ex10-31.htm" TargetMode="External"/><Relationship Id="rId215" Type="http://schemas.openxmlformats.org/officeDocument/2006/relationships/hyperlink" Target="http://www.sec.gov/Archives/edgar/data/1434647/000143774919003789/ex_136268.htm" TargetMode="External"/><Relationship Id="rId216" Type="http://schemas.openxmlformats.org/officeDocument/2006/relationships/hyperlink" Target="http://www.sec.gov/Archives/edgar/data/1434647/000143774919003789/ex_136269.htm" TargetMode="External"/><Relationship Id="rId217" Type="http://schemas.openxmlformats.org/officeDocument/2006/relationships/hyperlink" Target="http://www.sec.gov/Archives/edgar/data/1434647/000119312520039368/d832312dex101.htm" TargetMode="External"/><Relationship Id="rId218" Type="http://schemas.openxmlformats.org/officeDocument/2006/relationships/hyperlink" Target="http://www.sec.gov/Archives/edgar/data/1434647/000119312519237105/d759901dex102.htm" TargetMode="External"/><Relationship Id="rId219" Type="http://schemas.openxmlformats.org/officeDocument/2006/relationships/hyperlink" Target="http://www.sec.gov/Archives/edgar/data/1434647/000143774921019912/ex_263534.htm" TargetMode="External"/><Relationship Id="rId220" Type="http://schemas.openxmlformats.org/officeDocument/2006/relationships/hyperlink" Target="http://www.sec.gov/Archives/edgar/data/1434647/000143774921001230/ex_222594.htm" TargetMode="External"/><Relationship Id="rId221" Type="http://schemas.openxmlformats.org/officeDocument/2006/relationships/hyperlink" Target="http://www.sec.gov/Archives/edgar/data/1434647/000119312521197280/d192970dex101.htm" TargetMode="External"/><Relationship Id="rId222" Type="http://schemas.openxmlformats.org/officeDocument/2006/relationships/hyperlink" Target="http://www.sec.gov/Archives/edgar/data/1434647/000119312521207570/d365973dex101.htm" TargetMode="External"/><Relationship Id="rId223" Type="http://schemas.openxmlformats.org/officeDocument/2006/relationships/hyperlink" Target="http://www.sec.gov/Archives/edgar/data/1434647/000119312522150975/d292447dex101.htm" TargetMode="External"/><Relationship Id="rId224" Type="http://schemas.openxmlformats.org/officeDocument/2006/relationships/hyperlink" Target="http://www.sec.gov/Archives/edgar/data/1434647/000119312522164291/d332274dex101.htm" TargetMode="External"/><Relationship Id="rId225" Type="http://schemas.openxmlformats.org/officeDocument/2006/relationships/hyperlink" Target="http://www.sec.gov/Archives/edgar/data/1434647/000143774922015226/ex_3873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2023-03-07T17:14:23Z</dcterms:created>
  <dcterms:modified xsi:type="dcterms:W3CDTF">2023-03-07T17:14:23Z</dcterms:modified>
</cp:coreProperties>
</file>