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zvra20240402_defa14a.htm"/>
      <w:bookmarkStart w:id="1" w:name="kszvra20240402_defa14a"/>
      <w:bookmarkStart w:id="2" w:name="zvra20240402_defa14a.htm"/>
      <w:bookmarkStart w:id="3" w:name="kszvra20240402_defa14a"/>
      <w:bookmarkEnd w:id="2"/>
      <w:bookmarkEnd w:id="3"/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ind w:left="16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36"/>
        </w:rPr>
      </w:pPr>
      <w:r>
        <w:rPr>
          <w:rFonts w:ascii="Times New Roman" w:hAnsi="Times New Roman"/>
          <w:b/>
          <w:caps w:val="false"/>
          <w:smallCaps w:val="false"/>
          <w:sz w:val="36"/>
        </w:rPr>
        <w:t xml:space="preserve">UNITED STATES 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36"/>
        </w:rPr>
      </w:pPr>
      <w:r>
        <w:rPr>
          <w:rFonts w:ascii="Times New Roman" w:hAnsi="Times New Roman"/>
          <w:b/>
          <w:caps w:val="false"/>
          <w:smallCaps w:val="false"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 xml:space="preserve">Washington, DC 20549 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caps w:val="false"/>
          <w:smallCaps w:val="false"/>
          <w:sz w:val="24"/>
        </w:rPr>
      </w:pPr>
      <w:r>
        <w:rPr>
          <w:rFonts w:ascii="Times New Roman" w:hAnsi="Times New Roman"/>
          <w:b/>
          <w:caps w:val="false"/>
          <w:smallCaps w:val="false"/>
          <w:sz w:val="32"/>
        </w:rPr>
        <w:t>SCHEDULE 14A</w:t>
      </w:r>
      <w:r>
        <w:rPr>
          <w:rFonts w:ascii="Times New Roman" w:hAnsi="Times New Roman"/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 xml:space="preserve">(Rule 14a-101) 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 xml:space="preserve">INFORMATION REQUIRED IN PROXY STATEMENT 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 xml:space="preserve">SCHEDULE 14A INFORMATION 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>Proxy Statement Pursuant to Section</w:t>
      </w:r>
      <w:r>
        <w:rPr>
          <w:rFonts w:ascii="Times New Roman" w:hAnsi="Times New Roman"/>
          <w:caps w:val="false"/>
          <w:smallCaps w:val="false"/>
          <w:sz w:val="20"/>
        </w:rPr>
        <w:t> </w:t>
      </w:r>
      <w:r>
        <w:rPr>
          <w:rFonts w:ascii="Times New Roman" w:hAnsi="Times New Roman"/>
          <w:b/>
          <w:caps w:val="false"/>
          <w:smallCaps w:val="false"/>
          <w:sz w:val="20"/>
        </w:rPr>
        <w:t xml:space="preserve">14(a) of the 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 xml:space="preserve">Securities Exchange Act of 1934 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>(Amendment No.</w:t>
      </w:r>
      <w:r>
        <w:rPr>
          <w:rFonts w:ascii="Times New Roman" w:hAnsi="Times New Roman"/>
          <w:caps w:val="false"/>
          <w:smallCaps w:val="false"/>
          <w:sz w:val="20"/>
        </w:rPr>
        <w:t>    </w:t>
      </w:r>
      <w:r>
        <w:rPr>
          <w:rFonts w:ascii="Times New Roman" w:hAnsi="Times New Roman"/>
          <w:b/>
          <w:caps w:val="false"/>
          <w:smallCaps w:val="false"/>
          <w:sz w:val="20"/>
        </w:rPr>
        <w:t xml:space="preserve">) 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Filed by the Registrant  ☒                             Filed by a Party other than the Registrant  ☐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92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669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/>
                <w:caps w:val="false"/>
                <w:smallCaps w:val="false"/>
                <w:sz w:val="20"/>
              </w:rPr>
            </w:pPr>
            <w:r>
              <w:rPr>
                <w:rFonts w:ascii="Times New Roman" w:hAnsi="Times New Roman"/>
                <w:caps w:val="false"/>
                <w:smallCaps w:val="false"/>
                <w:sz w:val="20"/>
              </w:rPr>
              <w:t>Preliminary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/>
                <w:caps w:val="false"/>
                <w:smallCaps w:val="false"/>
                <w:sz w:val="20"/>
              </w:rPr>
            </w:pPr>
            <w:r>
              <w:rPr>
                <w:rFonts w:ascii="Times New Roman" w:hAnsi="Times New Roman"/>
                <w:b/>
                <w:caps w:val="false"/>
                <w:smallCaps w:val="false"/>
                <w:sz w:val="20"/>
              </w:rPr>
              <w:t>Confidential, for Use of the Commission Only</w:t>
            </w:r>
            <w:r>
              <w:rPr>
                <w:rFonts w:ascii="Times New Roman" w:hAnsi="Times New Roman"/>
                <w:caps w:val="false"/>
                <w:smallCaps w:val="false"/>
                <w:sz w:val="20"/>
              </w:rPr>
              <w:t> </w:t>
            </w:r>
            <w:r>
              <w:rPr>
                <w:rFonts w:ascii="Times New Roman" w:hAnsi="Times New Roman"/>
                <w:b/>
                <w:caps w:val="false"/>
                <w:smallCaps w:val="false"/>
                <w:sz w:val="20"/>
              </w:rPr>
              <w:t>(as permitted by Rule 14a-6(e)(2))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/>
                <w:caps w:val="false"/>
                <w:smallCaps w:val="false"/>
                <w:sz w:val="20"/>
              </w:rPr>
            </w:pPr>
            <w:r>
              <w:rPr>
                <w:rFonts w:ascii="Times New Roman" w:hAnsi="Times New Roman"/>
                <w:caps w:val="false"/>
                <w:smallCaps w:val="false"/>
                <w:sz w:val="20"/>
              </w:rPr>
              <w:t>Definitive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/>
                <w:caps w:val="false"/>
                <w:smallCaps w:val="false"/>
                <w:sz w:val="20"/>
              </w:rPr>
            </w:pPr>
            <w:r>
              <w:rPr>
                <w:rFonts w:ascii="Times New Roman" w:hAnsi="Times New Roman"/>
                <w:caps w:val="false"/>
                <w:smallCaps w:val="false"/>
                <w:sz w:val="20"/>
              </w:rPr>
              <w:t>Definitive Additional Materials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66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/>
                <w:caps w:val="false"/>
                <w:smallCaps w:val="false"/>
                <w:sz w:val="20"/>
              </w:rPr>
            </w:pPr>
            <w:r>
              <w:rPr>
                <w:rFonts w:ascii="Times New Roman" w:hAnsi="Times New Roman"/>
                <w:caps w:val="false"/>
                <w:smallCaps w:val="false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ind w:left="16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;Times;serif" w:hAnsi="Times New Roman;Times;serif"/>
          <w:b/>
          <w:caps w:val="false"/>
          <w:smallCaps w:val="false"/>
          <w:sz w:val="40"/>
        </w:rPr>
      </w:pPr>
      <w:r>
        <w:rPr>
          <w:rFonts w:ascii="Times New Roman;Times;serif" w:hAnsi="Times New Roman;Times;serif"/>
          <w:b/>
          <w:caps w:val="false"/>
          <w:smallCaps w:val="false"/>
          <w:sz w:val="40"/>
        </w:rPr>
        <w:t xml:space="preserve">Zevra Therapeutics, Inc. 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rFonts w:ascii="Times New Roman" w:hAnsi="Times New Roman"/>
          <w:b/>
          <w:caps w:val="false"/>
          <w:smallCaps w:val="false"/>
          <w:sz w:val="20"/>
        </w:rPr>
      </w:pPr>
      <w:r>
        <w:rPr>
          <w:rFonts w:ascii="Times New Roman" w:hAnsi="Times New Roman"/>
          <w:b/>
          <w:caps w:val="false"/>
          <w:smallCaps w:val="false"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" w:hAnsi="Times New Roman"/>
          <w:caps w:val="false"/>
          <w:smallCaps w:val="false"/>
          <w:sz w:val="20"/>
        </w:rPr>
      </w:pPr>
      <w:r>
        <w:rPr>
          <w:rFonts w:ascii="Times New Roman" w:hAnsi="Times New Roman"/>
          <w:caps w:val="false"/>
          <w:smallCaps w:val="false"/>
          <w:sz w:val="20"/>
        </w:rPr>
        <w:t>Payment of Filing Fee (Check all boxes that apply):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47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824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☒</w:t>
            </w:r>
          </w:p>
        </w:tc>
        <w:tc>
          <w:tcPr>
            <w:tcW w:w="82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/>
                <w:caps w:val="false"/>
                <w:smallCaps w:val="false"/>
                <w:sz w:val="20"/>
              </w:rPr>
            </w:pPr>
            <w:r>
              <w:rPr>
                <w:rFonts w:ascii="Times New Roman" w:hAnsi="Times New Roman"/>
                <w:caps w:val="false"/>
                <w:smallCaps w:val="false"/>
                <w:sz w:val="20"/>
              </w:rPr>
              <w:t>No fee required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8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82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/>
                <w:caps w:val="false"/>
                <w:smallCaps w:val="false"/>
                <w:sz w:val="20"/>
              </w:rPr>
            </w:pPr>
            <w:r>
              <w:rPr>
                <w:rFonts w:ascii="Times New Roman" w:hAnsi="Times New Roman"/>
                <w:caps w:val="false"/>
                <w:smallCaps w:val="false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8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☐</w:t>
            </w:r>
          </w:p>
        </w:tc>
        <w:tc>
          <w:tcPr>
            <w:tcW w:w="82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/>
                <w:caps w:val="false"/>
                <w:smallCaps w:val="false"/>
                <w:sz w:val="20"/>
              </w:rPr>
            </w:pPr>
            <w:r>
              <w:rPr>
                <w:rFonts w:ascii="Times New Roman" w:hAnsi="Times New Roman"/>
                <w:caps w:val="false"/>
                <w:smallCaps w:val="false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16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3048000" cy="394398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94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/>
      </w:pPr>
      <w:r>
        <w:rPr/>
        <w:t> </w:t>
      </w:r>
    </w:p>
    <w:p>
      <w:pPr>
        <w:pStyle w:val="HorizontalLine"/>
        <w:bidi w:val="0"/>
        <w:jc w:val="center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4572000" cy="591629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91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145</Words>
  <Characters>797</Characters>
  <CharactersWithSpaces>987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