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zvra20230330_defa14a.htm"/>
      <w:bookmarkStart w:id="1" w:name="kszvra20230330_defa14a"/>
      <w:bookmarkStart w:id="2" w:name="zvra20230330_defa14a.htm"/>
      <w:bookmarkStart w:id="3" w:name="kszvra20230330_defa14a"/>
      <w:bookmarkEnd w:id="2"/>
      <w:bookmarkEnd w:id="3"/>
    </w:p>
    <w:p>
      <w:pPr>
        <w:pStyle w:val="HorizontalLine"/>
        <w:rPr/>
      </w:pPr>
      <w:r>
        <w:rPr/>
      </w:r>
    </w:p>
    <w:p>
      <w:pPr>
        <w:pStyle w:val="TextBody"/>
        <w:spacing w:before="0" w:after="0"/>
        <w:ind w:left="160" w:right="0" w:hanging="0"/>
        <w:jc w:val="center"/>
        <w:rPr>
          <w:caps w:val="false"/>
          <w:smallCaps w:val="false"/>
        </w:rPr>
      </w:pPr>
      <w:r>
        <w:rPr>
          <w:caps w:val="false"/>
          <w:smallCaps w:val="false"/>
        </w:rPr>
        <w:t> </w:t>
      </w:r>
    </w:p>
    <w:p>
      <w:pPr>
        <w:pStyle w:val="TextBody"/>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spacing w:before="0" w:after="0"/>
        <w:ind w:left="0" w:right="0" w:hanging="0"/>
        <w:rPr>
          <w:caps w:val="false"/>
          <w:smallCaps w:val="false"/>
        </w:rPr>
      </w:pPr>
      <w:r>
        <w:rPr>
          <w:caps w:val="false"/>
          <w:smallCaps w:val="false"/>
        </w:rPr>
        <w:t> </w:t>
      </w:r>
    </w:p>
    <w:p>
      <w:pPr>
        <w:pStyle w:val="HorizontalLine"/>
        <w:rPr/>
      </w:pPr>
      <w:r>
        <w:rPr/>
      </w:r>
    </w:p>
    <w:p>
      <w:pPr>
        <w:pStyle w:val="TextBody"/>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32"/>
        </w:rPr>
        <w:t>SCHEDULE 14A</w:t>
      </w:r>
      <w:r>
        <w:rPr>
          <w:rFonts w:ascii="Times New Roman" w:hAnsi="Times New Roman"/>
          <w:caps w:val="false"/>
          <w:smallCaps w:val="false"/>
          <w:sz w:val="24"/>
        </w:rPr>
        <w:t xml:space="preserve">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14a-101)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INFORMATION REQUIRED IN PROXY STATEMENT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SCHEDULE 14A INFORMATION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(Amendment No.</w:t>
      </w:r>
      <w:r>
        <w:rPr>
          <w:rFonts w:ascii="Times New Roman" w:hAnsi="Times New Roman"/>
          <w:caps w:val="false"/>
          <w:smallCaps w:val="false"/>
          <w:sz w:val="20"/>
        </w:rPr>
        <w:t>    </w:t>
      </w:r>
      <w:r>
        <w:rPr>
          <w:rFonts w:ascii="Times New Roman" w:hAnsi="Times New Roman"/>
          <w:b/>
          <w:caps w:val="false"/>
          <w:smallCaps w:val="false"/>
          <w:sz w:val="20"/>
        </w:rPr>
        <w:t xml:space="preserve">) </w:t>
      </w:r>
    </w:p>
    <w:p>
      <w:pPr>
        <w:pStyle w:val="HorizontalLine"/>
        <w:rPr/>
      </w:pPr>
      <w:r>
        <w:rPr/>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by the Registrant  ☒                             Filed by a Party other than the Registrant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spacing w:before="0" w:after="0"/>
        <w:ind w:left="0" w:right="0" w:hanging="0"/>
        <w:jc w:val="both"/>
        <w:rPr>
          <w:caps w:val="false"/>
          <w:smallCaps w:val="false"/>
        </w:rPr>
      </w:pPr>
      <w:r>
        <w:rPr>
          <w:caps w:val="false"/>
          <w:smallCaps w:val="false"/>
        </w:rPr>
        <w:t> </w:t>
      </w:r>
    </w:p>
    <w:tbl>
      <w:tblPr>
        <w:tblW w:w="6925" w:type="dxa"/>
        <w:jc w:val="left"/>
        <w:tblInd w:w="0" w:type="dxa"/>
        <w:tblCellMar>
          <w:top w:w="0" w:type="dxa"/>
          <w:left w:w="0" w:type="dxa"/>
          <w:bottom w:w="0" w:type="dxa"/>
          <w:right w:w="0" w:type="dxa"/>
        </w:tblCellMar>
      </w:tblPr>
      <w:tblGrid>
        <w:gridCol w:w="230"/>
        <w:gridCol w:w="6695"/>
      </w:tblGrid>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66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Preliminary Proxy Statement</w:t>
            </w:r>
          </w:p>
        </w:tc>
      </w:tr>
      <w:tr>
        <w:trPr/>
        <w:tc>
          <w:tcPr>
            <w:tcW w:w="230" w:type="dxa"/>
            <w:tcBorders/>
            <w:shd w:fill="auto" w:val="clear"/>
            <w:vAlign w:val="center"/>
          </w:tcPr>
          <w:p>
            <w:pPr>
              <w:pStyle w:val="TableContents"/>
              <w:spacing w:before="0" w:after="283"/>
              <w:jc w:val="both"/>
              <w:rPr/>
            </w:pPr>
            <w:r>
              <w:rPr/>
              <w:t> </w:t>
            </w:r>
          </w:p>
        </w:tc>
        <w:tc>
          <w:tcPr>
            <w:tcW w:w="6695"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66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Confidential, for Use of the Commission Only</w:t>
            </w:r>
            <w:r>
              <w:rPr>
                <w:rFonts w:ascii="Times New Roman" w:hAnsi="Times New Roman"/>
                <w:caps w:val="false"/>
                <w:smallCaps w:val="false"/>
                <w:sz w:val="20"/>
              </w:rPr>
              <w:t> </w:t>
            </w:r>
            <w:r>
              <w:rPr>
                <w:rFonts w:ascii="Times New Roman" w:hAnsi="Times New Roman"/>
                <w:b/>
                <w:caps w:val="false"/>
                <w:smallCaps w:val="false"/>
                <w:sz w:val="20"/>
              </w:rPr>
              <w:t>(as permitted by Rule 14a-6(e)(2))</w:t>
            </w:r>
          </w:p>
        </w:tc>
      </w:tr>
      <w:tr>
        <w:trPr/>
        <w:tc>
          <w:tcPr>
            <w:tcW w:w="230" w:type="dxa"/>
            <w:tcBorders/>
            <w:shd w:fill="auto" w:val="clear"/>
            <w:vAlign w:val="center"/>
          </w:tcPr>
          <w:p>
            <w:pPr>
              <w:pStyle w:val="TableContents"/>
              <w:spacing w:before="0" w:after="283"/>
              <w:jc w:val="both"/>
              <w:rPr/>
            </w:pPr>
            <w:r>
              <w:rPr/>
              <w:t> </w:t>
            </w:r>
          </w:p>
        </w:tc>
        <w:tc>
          <w:tcPr>
            <w:tcW w:w="6695"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66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Definitive Proxy Statement</w:t>
            </w:r>
          </w:p>
        </w:tc>
      </w:tr>
      <w:tr>
        <w:trPr/>
        <w:tc>
          <w:tcPr>
            <w:tcW w:w="230" w:type="dxa"/>
            <w:tcBorders/>
            <w:shd w:fill="auto" w:val="clear"/>
            <w:vAlign w:val="center"/>
          </w:tcPr>
          <w:p>
            <w:pPr>
              <w:pStyle w:val="TableContents"/>
              <w:spacing w:before="0" w:after="283"/>
              <w:jc w:val="both"/>
              <w:rPr/>
            </w:pPr>
            <w:r>
              <w:rPr/>
              <w:t> </w:t>
            </w:r>
          </w:p>
        </w:tc>
        <w:tc>
          <w:tcPr>
            <w:tcW w:w="6695"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66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Definitive Additional Materials</w:t>
            </w:r>
          </w:p>
        </w:tc>
      </w:tr>
      <w:tr>
        <w:trPr/>
        <w:tc>
          <w:tcPr>
            <w:tcW w:w="230" w:type="dxa"/>
            <w:tcBorders/>
            <w:shd w:fill="auto" w:val="clear"/>
            <w:vAlign w:val="center"/>
          </w:tcPr>
          <w:p>
            <w:pPr>
              <w:pStyle w:val="TableContents"/>
              <w:spacing w:before="0" w:after="283"/>
              <w:jc w:val="both"/>
              <w:rPr/>
            </w:pPr>
            <w:r>
              <w:rPr/>
              <w:t> </w:t>
            </w:r>
          </w:p>
        </w:tc>
        <w:tc>
          <w:tcPr>
            <w:tcW w:w="6695"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66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under §240.14a-12</w:t>
            </w:r>
          </w:p>
        </w:tc>
      </w:tr>
    </w:tbl>
    <w:p>
      <w:pPr>
        <w:pStyle w:val="TextBody"/>
        <w:spacing w:before="0" w:after="0"/>
        <w:ind w:left="160" w:right="0" w:hanging="0"/>
        <w:jc w:val="center"/>
        <w:rPr>
          <w:caps w:val="false"/>
          <w:smallCaps w:val="false"/>
        </w:rPr>
      </w:pPr>
      <w:r>
        <w:rPr>
          <w:caps w:val="false"/>
          <w:smallCaps w:val="false"/>
        </w:rPr>
        <w:t> </w:t>
      </w:r>
    </w:p>
    <w:p>
      <w:pPr>
        <w:pStyle w:val="TextBody"/>
        <w:spacing w:before="0" w:after="0"/>
        <w:ind w:left="160" w:right="0" w:hanging="0"/>
        <w:jc w:val="center"/>
        <w:rPr>
          <w:rFonts w:ascii="Times New Roman;Times;serif" w:hAnsi="Times New Roman;Times;serif"/>
          <w:b/>
          <w:caps w:val="false"/>
          <w:smallCaps w:val="false"/>
          <w:sz w:val="40"/>
        </w:rPr>
      </w:pPr>
      <w:r>
        <w:rPr>
          <w:rFonts w:ascii="Times New Roman;Times;serif" w:hAnsi="Times New Roman;Times;serif"/>
          <w:b/>
          <w:caps w:val="false"/>
          <w:smallCaps w:val="false"/>
          <w:sz w:val="40"/>
        </w:rPr>
        <w:t xml:space="preserve">Zevra Therapeutics, Inc.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of Registrant as Specified in its Charter) </w:t>
      </w:r>
    </w:p>
    <w:p>
      <w:pPr>
        <w:pStyle w:val="TextBody"/>
        <w:spacing w:before="0" w:after="0"/>
        <w:ind w:left="160" w:right="0" w:hanging="0"/>
        <w:jc w:val="center"/>
        <w:rPr>
          <w:caps w:val="false"/>
          <w:smallCaps w:val="false"/>
        </w:rPr>
      </w:pPr>
      <w:r>
        <w:rPr>
          <w:caps w:val="false"/>
          <w:smallCaps w:val="false"/>
        </w:rPr>
        <w:t>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of Person(s) Filing Proxy Statement, if Other Than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spacing w:before="0" w:after="0"/>
        <w:ind w:left="0" w:right="0" w:hanging="0"/>
        <w:jc w:val="both"/>
        <w:rPr>
          <w:caps w:val="false"/>
          <w:smallCaps w:val="false"/>
        </w:rPr>
      </w:pPr>
      <w:r>
        <w:rPr>
          <w:caps w:val="false"/>
          <w:smallCaps w:val="false"/>
        </w:rPr>
        <w:t> </w:t>
      </w:r>
    </w:p>
    <w:tbl>
      <w:tblPr>
        <w:tblW w:w="8470" w:type="dxa"/>
        <w:jc w:val="left"/>
        <w:tblInd w:w="0" w:type="dxa"/>
        <w:tblCellMar>
          <w:top w:w="0" w:type="dxa"/>
          <w:left w:w="0" w:type="dxa"/>
          <w:bottom w:w="0" w:type="dxa"/>
          <w:right w:w="0" w:type="dxa"/>
        </w:tblCellMar>
      </w:tblPr>
      <w:tblGrid>
        <w:gridCol w:w="230"/>
        <w:gridCol w:w="8240"/>
      </w:tblGrid>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824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fee required</w:t>
            </w:r>
          </w:p>
        </w:tc>
      </w:tr>
      <w:tr>
        <w:trPr/>
        <w:tc>
          <w:tcPr>
            <w:tcW w:w="230" w:type="dxa"/>
            <w:tcBorders/>
            <w:shd w:fill="auto" w:val="clear"/>
            <w:vAlign w:val="center"/>
          </w:tcPr>
          <w:p>
            <w:pPr>
              <w:pStyle w:val="TableContents"/>
              <w:spacing w:before="0" w:after="283"/>
              <w:jc w:val="both"/>
              <w:rPr/>
            </w:pPr>
            <w:r>
              <w:rPr/>
              <w:t> </w:t>
            </w:r>
          </w:p>
        </w:tc>
        <w:tc>
          <w:tcPr>
            <w:tcW w:w="8240"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824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 paid previously with preliminary materials</w:t>
            </w:r>
          </w:p>
        </w:tc>
      </w:tr>
      <w:tr>
        <w:trPr/>
        <w:tc>
          <w:tcPr>
            <w:tcW w:w="230" w:type="dxa"/>
            <w:tcBorders/>
            <w:shd w:fill="auto" w:val="clear"/>
            <w:vAlign w:val="center"/>
          </w:tcPr>
          <w:p>
            <w:pPr>
              <w:pStyle w:val="TableContents"/>
              <w:spacing w:before="0" w:after="283"/>
              <w:jc w:val="both"/>
              <w:rPr/>
            </w:pPr>
            <w:r>
              <w:rPr/>
              <w:t> </w:t>
            </w:r>
          </w:p>
        </w:tc>
        <w:tc>
          <w:tcPr>
            <w:tcW w:w="8240" w:type="dxa"/>
            <w:tcBorders/>
            <w:shd w:fill="auto" w:val="clear"/>
            <w:vAlign w:val="center"/>
          </w:tcPr>
          <w:p>
            <w:pPr>
              <w:pStyle w:val="TableContents"/>
              <w:spacing w:before="0" w:after="283"/>
              <w:jc w:val="both"/>
              <w:rPr/>
            </w:pPr>
            <w:r>
              <w:rPr/>
              <w:t> </w:t>
            </w:r>
          </w:p>
        </w:tc>
      </w:tr>
      <w:tr>
        <w:trPr/>
        <w:tc>
          <w:tcPr>
            <w:tcW w:w="23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824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 computed on table in exhibit required by Item 25(b) per Exchange Act Rules 14a-6(i)(1) and 0-11</w:t>
            </w:r>
          </w:p>
        </w:tc>
      </w:tr>
    </w:tbl>
    <w:p>
      <w:pPr>
        <w:pStyle w:val="TextBody"/>
        <w:spacing w:before="0" w:after="0"/>
        <w:ind w:left="0" w:right="0" w:hanging="0"/>
        <w:jc w:val="both"/>
        <w:rPr>
          <w:caps w:val="false"/>
          <w:smallCaps w:val="false"/>
        </w:rPr>
      </w:pPr>
      <w:r>
        <w:rPr>
          <w:caps w:val="false"/>
          <w:smallCaps w:val="false"/>
        </w:rPr>
        <w:t> </w:t>
      </w:r>
    </w:p>
    <w:p>
      <w:pPr>
        <w:pStyle w:val="HorizontalLine"/>
        <w:rPr/>
      </w:pPr>
      <w:r>
        <w:rPr/>
      </w:r>
    </w:p>
    <w:p>
      <w:pPr>
        <w:pStyle w:val="HorizontalLine"/>
        <w:rPr/>
      </w:pPr>
      <w:r>
        <w:rPr/>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Zevra Therapeutics, Inc. (the “Company” or “Zevra”) posted the following messages on Twitter and LinkedIn. These social media posts were first used on March 30,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pPr>
      <w:r>
        <w:rPr/>
        <w:drawing>
          <wp:inline distT="0" distB="0" distL="0" distR="0">
            <wp:extent cx="3924300" cy="3552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24300" cy="3552825"/>
                    </a:xfrm>
                    <a:prstGeom prst="rect">
                      <a:avLst/>
                    </a:prstGeom>
                  </pic:spPr>
                </pic:pic>
              </a:graphicData>
            </a:graphic>
          </wp:inline>
        </w:drawing>
      </w:r>
    </w:p>
    <w:p>
      <w:pPr>
        <w:pStyle w:val="TextBody"/>
        <w:jc w:val="center"/>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pPr>
      <w:r>
        <w:rPr/>
        <w:drawing>
          <wp:inline distT="0" distB="0" distL="0" distR="0">
            <wp:extent cx="3810000" cy="3524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 cy="3524250"/>
                    </a:xfrm>
                    <a:prstGeom prst="rect">
                      <a:avLst/>
                    </a:prstGeom>
                  </pic:spPr>
                </pic:pic>
              </a:graphicData>
            </a:graphic>
          </wp:inline>
        </w:drawing>
      </w:r>
    </w:p>
    <w:p>
      <w:pPr>
        <w:pStyle w:val="TextBody"/>
        <w:spacing w:before="0" w:after="0"/>
        <w:ind w:left="0" w:right="0" w:hanging="0"/>
        <w:jc w:val="center"/>
        <w:rPr/>
      </w:pPr>
      <w:r>
        <w:rPr/>
        <w:t> </w:t>
      </w:r>
    </w:p>
    <w:p>
      <w:pPr>
        <w:pStyle w:val="TextBody"/>
        <w:ind w:left="0" w:right="0" w:hanging="0"/>
        <w:jc w:val="center"/>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difference is clear – three highly qualified $ZVRA Board nominees supporting our strategy to create value versus three dissident nominees with neither relevant experience nor any new ideas. Read our letter to shareholders and see the comparison: keepzevrastrong.com.</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Zevra has filed with the Securities and Exchange Commission (the “SEC”) a definitive proxy statement on Schedule 14A, containing a form of WHITE proxy card, with respect to its solicitation of proxies for Zevra’s 2023 Annual Meeting of Stockholders. This communication is not a substitute for any proxy statement or other document that Zevra may file with the SEC in connection with any solicitation by Zevra.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INVESTORS AND SECURITY HOLDERS ARE URGED TO READ THE PROXY STATEMENT (INCLUDING ANY AMENDMENTS OR SUPPLEMENTS THERETO) FILED BY ZEVRA AND ANY OTHER RELEVANT DOCUMENTS FILED WITH THE SEC WHEN THEY BECOME AVAILABLE CAREFULLY AND IN THEIR ENTIRETY BECAUSE THEY WILL CONTAIN IMPORTANT INFORMATION ABOUT ANY SOLICITATION.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Investors and security holders may obtain copies of these documents and other documents filed with the SEC by Zevra free of charge through the website maintained by the SEC at www.sec.gov. Copies of the documents filed by Zevra are also available free of charge by accessing Zevra’s website at www.zevra.com.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communication is neither a solicitation of a proxy or consent nor a substitute for any proxy statement or other filings that may be made with the SEC. Nonetheless, Zevra, its directors and executive officers and other members of management and employees may be deemed to be participants in the solicitation of proxies with respect to a solicitation by Zevra. Information about Zevra’s executive officers and directors is available in Zevra’s definitive proxy statement for the 2023 Annual Meeting of Stockholders, which was filed with the SEC on March 15, 2023. The definitive proxy statement is available free of charge at the SEC’s website at www.sec.gov. Copies of the documents filed by Zevra are also available free of charge by accessing Zevra’s website at www.zevra.com.</w:t>
      </w:r>
    </w:p>
    <w:p>
      <w:pPr>
        <w:pStyle w:val="TextBody"/>
        <w:spacing w:before="0" w:after="0"/>
        <w:ind w:left="0" w:right="0" w:hanging="0"/>
        <w:jc w:val="center"/>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508</Words>
  <CharactersWithSpaces>3323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