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804"/>
        <w:spacing w:after="0"/>
        <w:rPr>
          <w:sz w:val="20"/>
          <w:szCs w:val="20"/>
          <w:color w:val="auto"/>
        </w:rPr>
      </w:pPr>
      <w:r>
        <w:rPr>
          <w:rFonts w:ascii="Times New Roman" w:cs="Times New Roman" w:eastAsia="Times New Roman" w:hAnsi="Times New Roman"/>
          <w:sz w:val="32"/>
          <w:szCs w:val="32"/>
          <w:b w:val="1"/>
          <w:bCs w:val="1"/>
          <w:color w:val="auto"/>
        </w:rPr>
        <w:t>Zevra Therapeutics,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Zevra Therapeutics: Social Media Guidelines All Employee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Last week, we shared an email with information about our preliminary proxy statement. Today, we want to provide clarification on our social media guidelines to ensure alignment.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encouraged to continue to like, comment, and post about our Company on social media as usual and in accordance with our internal guidelines.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support helps amplify the impact we are making in the rare disease community.</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However, it is important that you </w:t>
      </w:r>
      <w:r>
        <w:rPr>
          <w:rFonts w:ascii="Times New Roman" w:cs="Times New Roman" w:eastAsia="Times New Roman" w:hAnsi="Times New Roman"/>
          <w:sz w:val="18"/>
          <w:szCs w:val="18"/>
          <w:b w:val="1"/>
          <w:bCs w:val="1"/>
          <w:color w:val="auto"/>
        </w:rPr>
        <w:t>refrain from posting or interacting with any content related to the ongoing proxy contest</w:t>
      </w:r>
      <w:r>
        <w:rPr>
          <w:rFonts w:ascii="Times New Roman" w:cs="Times New Roman" w:eastAsia="Times New Roman" w:hAnsi="Times New Roman"/>
          <w:sz w:val="18"/>
          <w:szCs w:val="18"/>
          <w:color w:val="auto"/>
        </w:rPr>
        <w:t>. This includes liking, sharing, commenting on, posting, or re-posting about any materials related to the proxy contest, proxy statement, annual meeting, nominees for election, or stockholder vote. Maintaining this distinction is essential to ensure compliance with Company policies and regulatory requirements.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encourage you to review our standard guidance below and, if you have any questions, please contact your direct supervisor or Nichol, LaDuane, Rahsaan, or Neil.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engaging with the corporate account or creating individual content, please take note of the following.</w:t>
      </w:r>
    </w:p>
    <w:p>
      <w:pPr>
        <w:spacing w:after="0" w:line="13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t>
      </w:r>
    </w:p>
    <w:p>
      <w:pPr>
        <w:spacing w:after="0" w:line="131" w:lineRule="exact"/>
        <w:rPr>
          <w:sz w:val="20"/>
          <w:szCs w:val="20"/>
          <w:color w:val="auto"/>
        </w:rPr>
      </w:pPr>
    </w:p>
    <w:p>
      <w:pPr>
        <w:ind w:left="2080" w:hanging="545"/>
        <w:spacing w:after="0"/>
        <w:tabs>
          <w:tab w:leader="none" w:pos="2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Feel free to react and reshare Zevra content posted by the corporate social media account.</w:t>
      </w:r>
    </w:p>
    <w:p>
      <w:pPr>
        <w:spacing w:after="0" w:line="130" w:lineRule="exact"/>
        <w:rPr>
          <w:rFonts w:ascii="Times New Roman" w:cs="Times New Roman" w:eastAsia="Times New Roman" w:hAnsi="Times New Roman"/>
          <w:sz w:val="18"/>
          <w:szCs w:val="18"/>
          <w:color w:val="auto"/>
        </w:rPr>
      </w:pPr>
    </w:p>
    <w:p>
      <w:pPr>
        <w:ind w:left="2840" w:hanging="320"/>
        <w:spacing w:after="0"/>
        <w:tabs>
          <w:tab w:leader="none" w:pos="28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Like/react (any content).</w:t>
      </w:r>
    </w:p>
    <w:p>
      <w:pPr>
        <w:spacing w:after="0" w:line="130" w:lineRule="exact"/>
        <w:rPr>
          <w:rFonts w:ascii="Times New Roman" w:cs="Times New Roman" w:eastAsia="Times New Roman" w:hAnsi="Times New Roman"/>
          <w:sz w:val="18"/>
          <w:szCs w:val="18"/>
          <w:color w:val="auto"/>
        </w:rPr>
      </w:pPr>
    </w:p>
    <w:p>
      <w:pPr>
        <w:ind w:left="2840" w:hanging="320"/>
        <w:spacing w:after="0"/>
        <w:tabs>
          <w:tab w:leader="none" w:pos="28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Reshare without commentary (any content).</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Feel free to comment on posts that do not mention NPC/MIPLYFFA, UCD/OLPRUVA in order to:</w:t>
      </w:r>
    </w:p>
    <w:p>
      <w:pPr>
        <w:spacing w:after="0" w:line="130" w:lineRule="exact"/>
        <w:rPr>
          <w:rFonts w:ascii="Times New Roman" w:cs="Times New Roman" w:eastAsia="Times New Roman" w:hAnsi="Times New Roman"/>
          <w:sz w:val="18"/>
          <w:szCs w:val="18"/>
          <w:color w:val="auto"/>
        </w:rPr>
      </w:pPr>
    </w:p>
    <w:p>
      <w:pPr>
        <w:ind w:left="2840" w:hanging="320"/>
        <w:spacing w:after="0"/>
        <w:tabs>
          <w:tab w:leader="none" w:pos="28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 excitement about a corporate accomplishment, upcoming/recently completed event.</w:t>
      </w:r>
    </w:p>
    <w:p>
      <w:pPr>
        <w:spacing w:after="0" w:line="130" w:lineRule="exact"/>
        <w:rPr>
          <w:rFonts w:ascii="Times New Roman" w:cs="Times New Roman" w:eastAsia="Times New Roman" w:hAnsi="Times New Roman"/>
          <w:sz w:val="18"/>
          <w:szCs w:val="18"/>
          <w:color w:val="auto"/>
        </w:rPr>
      </w:pPr>
    </w:p>
    <w:p>
      <w:pPr>
        <w:ind w:left="2840" w:hanging="320"/>
        <w:spacing w:after="0"/>
        <w:tabs>
          <w:tab w:leader="none" w:pos="28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Celebrate a fellow team member or holiday.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branded products.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medical, clinical, commercial, or financial claims around Zevra’s products, services, or plans.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or comment on the proxy contest, proxy statement, annual meeting, nominees for election, or stockholder vote.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commitment to Zevra and the patients we serve.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Communications</w:t>
      </w:r>
    </w:p>
    <w:p>
      <w:pPr>
        <w:sectPr>
          <w:pgSz w:w="11900" w:h="16838" w:orient="portrait"/>
          <w:cols w:equalWidth="0" w:num="1">
            <w:col w:w="10960"/>
          </w:cols>
          <w:pgMar w:left="440" w:top="266" w:right="4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1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color w:val="auto"/>
        </w:rPr>
        <w:t xml:space="preserve">Zevra intends to file with the SEC a definitive proxy statement on Schedule 14A, containing a form of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with respect to its solicitation of proxies for the 2025 Annual Meeting of Stockholders.</w:t>
      </w:r>
    </w:p>
    <w:p>
      <w:pPr>
        <w:spacing w:after="0" w:line="15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INVESTORS AND SECURITY HOLDERS ARE URGED TO READ CAREFULLY AND IN THEIR ENTIRETY THE PROXY STATEMENT (INCLUDING ANY AMENDMENTS OR SUPPLEMENTS THERETO) THAT WILL BE FILED BY ZEVRA, AND ANY OTHER RELEVANT DOCUMENTS TO BE FILED BY ZEVRA WITH THE SEC WHEN THEY BECOME AVAILABLE, BECAUSE THEY WILL CONTAIN IMPORTANT INFORMATION ABOUT ANY SOLICITATION.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Investors and security holders may obtain copies of these documents and other documents filed with the SEC by Zevra free of charge through the website maintained by the SEC at www.sec.gov. Copies of the documents filed by Zevra are also available free of charge by accessing Zevra’s investor relations website at </w:t>
      </w:r>
      <w:r>
        <w:rPr>
          <w:rFonts w:ascii="Times New Roman" w:cs="Times New Roman" w:eastAsia="Times New Roman" w:hAnsi="Times New Roman"/>
          <w:sz w:val="18"/>
          <w:szCs w:val="18"/>
          <w:u w:val="single" w:color="auto"/>
          <w:color w:val="auto"/>
        </w:rPr>
        <w:t>investors.zevra.com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Zevra, its directors, executive officers, and employees may be deemed to be participants in the solicitation of proxies with respect to a solicitation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Zevra. Information about Zevra’s executive officers and directors is available under the heading “Information about our Executive Officers and</w:t>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in Part I of Zevra’s </w:t>
      </w:r>
      <w:hyperlink r:id="rId17">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which was filed with the SEC on March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under the headings “Proposal 1: Election of Directors,” “Executive Officers,” “Security Ownership of Certain Beneficial Owners and Management”</w:t>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“Executive Compensation,” and “Director Compensation” in Zevra’s </w:t>
      </w:r>
      <w:hyperlink r:id="rId18">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its annual meeting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held in 2024, which was filed with the SEC on April 3, 2024. Changes in the holdings of our directors and executive officers of Zevra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that were reported in such definitive proxy statement are reflected in the following Forms 3 and Forms 4 filed with the SEC by the persons and</w:t>
      </w:r>
    </w:p>
    <w:p>
      <w:pPr>
        <w:spacing w:after="0" w:line="21"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dates noted: a Form 3 filed with the SEC by Rahsaan W. Thompson (</w:t>
      </w:r>
      <w:hyperlink r:id="rId19">
        <w:r>
          <w:rPr>
            <w:rFonts w:ascii="Times New Roman" w:cs="Times New Roman" w:eastAsia="Times New Roman" w:hAnsi="Times New Roman"/>
            <w:sz w:val="18"/>
            <w:szCs w:val="18"/>
            <w:u w:val="single" w:color="auto"/>
            <w:color w:val="0000EE"/>
          </w:rPr>
          <w:t>June 25, 2024</w:t>
        </w:r>
      </w:hyperlink>
      <w:r>
        <w:rPr>
          <w:rFonts w:ascii="Times New Roman" w:cs="Times New Roman" w:eastAsia="Times New Roman" w:hAnsi="Times New Roman"/>
          <w:sz w:val="18"/>
          <w:szCs w:val="18"/>
          <w:color w:val="auto"/>
        </w:rPr>
        <w:t>), a Form 3 filed by Adrian W. Quartel (</w:t>
      </w:r>
      <w:hyperlink r:id="rId20">
        <w:r>
          <w:rPr>
            <w:rFonts w:ascii="Times New Roman" w:cs="Times New Roman" w:eastAsia="Times New Roman" w:hAnsi="Times New Roman"/>
            <w:sz w:val="18"/>
            <w:szCs w:val="18"/>
            <w:u w:val="single" w:color="auto"/>
            <w:color w:val="0000EE"/>
          </w:rPr>
          <w:t>March 27, 2025</w:t>
        </w:r>
      </w:hyperlink>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hyperlink r:id="rId21">
        <w:r>
          <w:rPr>
            <w:rFonts w:ascii="Times New Roman" w:cs="Times New Roman" w:eastAsia="Times New Roman" w:hAnsi="Times New Roman"/>
            <w:sz w:val="18"/>
            <w:szCs w:val="18"/>
            <w:color w:val="auto"/>
          </w:rPr>
          <w:t>the following Forms 4: Thomas Anderson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auto"/>
          </w:rPr>
          <w:t>), Alvin Shih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auto"/>
          </w:rPr>
          <w:t>), Corey M. Watton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auto"/>
          </w:rPr>
          <w:t>), Douglas W. Calder (</w:t>
        </w:r>
        <w:r>
          <w:rPr>
            <w:rFonts w:ascii="Times New Roman" w:cs="Times New Roman" w:eastAsia="Times New Roman" w:hAnsi="Times New Roman"/>
            <w:sz w:val="18"/>
            <w:szCs w:val="18"/>
            <w:u w:val="single" w:color="auto"/>
            <w:color w:val="0000EE"/>
          </w:rPr>
          <w:t>May</w:t>
        </w:r>
      </w:hyperlink>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15, 2024</w:t>
        </w:r>
        <w:r>
          <w:rPr>
            <w:rFonts w:ascii="Times New Roman" w:cs="Times New Roman" w:eastAsia="Times New Roman" w:hAnsi="Times New Roman"/>
            <w:sz w:val="18"/>
            <w:szCs w:val="18"/>
            <w:color w:val="000000"/>
          </w:rPr>
          <w:t>), Tamara A. Favorito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000000"/>
          </w:rPr>
          <w:t>), Wendy L. Dixon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000000"/>
          </w:rPr>
          <w:t>), John B. Bode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000000"/>
          </w:rPr>
          <w:t>), Rahsaan W. Thompson (</w:t>
        </w:r>
        <w:r>
          <w:rPr>
            <w:rFonts w:ascii="Times New Roman" w:cs="Times New Roman" w:eastAsia="Times New Roman" w:hAnsi="Times New Roman"/>
            <w:sz w:val="18"/>
            <w:szCs w:val="18"/>
            <w:u w:val="single" w:color="auto"/>
            <w:color w:val="0000EE"/>
          </w:rPr>
          <w:t>June 25,</w:t>
        </w:r>
      </w:hyperlink>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John B. Bode (</w:t>
        </w:r>
      </w:hyperlink>
      <w:hyperlink r:id="rId23">
        <w:r>
          <w:rPr>
            <w:rFonts w:ascii="Times New Roman" w:cs="Times New Roman" w:eastAsia="Times New Roman" w:hAnsi="Times New Roman"/>
            <w:sz w:val="18"/>
            <w:szCs w:val="18"/>
            <w:u w:val="single" w:color="auto"/>
            <w:color w:val="0000EE"/>
          </w:rPr>
          <w:t>July 15, 2024</w:t>
        </w:r>
      </w:hyperlink>
      <w:hyperlink r:id="rId22">
        <w:r>
          <w:rPr>
            <w:rFonts w:ascii="Times New Roman" w:cs="Times New Roman" w:eastAsia="Times New Roman" w:hAnsi="Times New Roman"/>
            <w:sz w:val="18"/>
            <w:szCs w:val="18"/>
            <w:color w:val="000000"/>
          </w:rPr>
          <w:t>), Thomas Anderson (</w:t>
        </w:r>
      </w:hyperlink>
      <w:hyperlink r:id="rId24">
        <w:r>
          <w:rPr>
            <w:rFonts w:ascii="Times New Roman" w:cs="Times New Roman" w:eastAsia="Times New Roman" w:hAnsi="Times New Roman"/>
            <w:sz w:val="18"/>
            <w:szCs w:val="18"/>
            <w:u w:val="single" w:color="auto"/>
            <w:color w:val="0000EE"/>
          </w:rPr>
          <w:t>July 16, 2024</w:t>
        </w:r>
      </w:hyperlink>
      <w:hyperlink r:id="rId22">
        <w:r>
          <w:rPr>
            <w:rFonts w:ascii="Times New Roman" w:cs="Times New Roman" w:eastAsia="Times New Roman" w:hAnsi="Times New Roman"/>
            <w:sz w:val="18"/>
            <w:szCs w:val="18"/>
            <w:color w:val="000000"/>
          </w:rPr>
          <w:t>), R. LaDuane Clifton (</w:t>
        </w:r>
      </w:hyperlink>
      <w:hyperlink r:id="rId25">
        <w:r>
          <w:rPr>
            <w:rFonts w:ascii="Times New Roman" w:cs="Times New Roman" w:eastAsia="Times New Roman" w:hAnsi="Times New Roman"/>
            <w:sz w:val="18"/>
            <w:szCs w:val="18"/>
            <w:u w:val="single" w:color="auto"/>
            <w:color w:val="0000EE"/>
          </w:rPr>
          <w:t>July 17, 2024</w:t>
        </w:r>
      </w:hyperlink>
      <w:hyperlink r:id="rId22">
        <w:r>
          <w:rPr>
            <w:rFonts w:ascii="Times New Roman" w:cs="Times New Roman" w:eastAsia="Times New Roman" w:hAnsi="Times New Roman"/>
            <w:sz w:val="18"/>
            <w:szCs w:val="18"/>
            <w:color w:val="000000"/>
          </w:rPr>
          <w:t>), Corey M. Watton (</w:t>
        </w:r>
      </w:hyperlink>
      <w:hyperlink r:id="rId26">
        <w:r>
          <w:rPr>
            <w:rFonts w:ascii="Times New Roman" w:cs="Times New Roman" w:eastAsia="Times New Roman" w:hAnsi="Times New Roman"/>
            <w:sz w:val="18"/>
            <w:szCs w:val="18"/>
            <w:u w:val="single" w:color="auto"/>
            <w:color w:val="0000EE"/>
          </w:rPr>
          <w:t>October 16, 2024</w:t>
        </w:r>
      </w:hyperlink>
      <w:r>
        <w:rPr>
          <w:rFonts w:ascii="Times New Roman" w:cs="Times New Roman" w:eastAsia="Times New Roman" w:hAnsi="Times New Roman"/>
          <w:sz w:val="18"/>
          <w:szCs w:val="18"/>
          <w:color w:val="000000"/>
        </w:rPr>
        <w:t>),</w:t>
      </w:r>
    </w:p>
    <w:p>
      <w:pPr>
        <w:spacing w:after="0" w:line="9"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color w:val="auto"/>
        </w:rPr>
      </w:pPr>
      <w:hyperlink r:id="rId27">
        <w:r>
          <w:rPr>
            <w:rFonts w:ascii="Times New Roman" w:cs="Times New Roman" w:eastAsia="Times New Roman" w:hAnsi="Times New Roman"/>
            <w:sz w:val="18"/>
            <w:szCs w:val="18"/>
            <w:color w:val="auto"/>
          </w:rPr>
          <w:t>Neil F. McFarlane (</w:t>
        </w:r>
        <w:r>
          <w:rPr>
            <w:rFonts w:ascii="Times New Roman" w:cs="Times New Roman" w:eastAsia="Times New Roman" w:hAnsi="Times New Roman"/>
            <w:sz w:val="18"/>
            <w:szCs w:val="18"/>
            <w:u w:val="single" w:color="auto"/>
            <w:color w:val="0000EE"/>
          </w:rPr>
          <w:t>February 3, 2025</w:t>
        </w:r>
        <w:r>
          <w:rPr>
            <w:rFonts w:ascii="Times New Roman" w:cs="Times New Roman" w:eastAsia="Times New Roman" w:hAnsi="Times New Roman"/>
            <w:sz w:val="18"/>
            <w:szCs w:val="18"/>
            <w:color w:val="auto"/>
          </w:rPr>
          <w:t>), R. LaDuane Clifton (</w:t>
        </w:r>
        <w:r>
          <w:rPr>
            <w:rFonts w:ascii="Times New Roman" w:cs="Times New Roman" w:eastAsia="Times New Roman" w:hAnsi="Times New Roman"/>
            <w:sz w:val="18"/>
            <w:szCs w:val="18"/>
            <w:u w:val="single" w:color="auto"/>
            <w:color w:val="0000EE"/>
          </w:rPr>
          <w:t>February 3, 2025</w:t>
        </w:r>
        <w:r>
          <w:rPr>
            <w:rFonts w:ascii="Times New Roman" w:cs="Times New Roman" w:eastAsia="Times New Roman" w:hAnsi="Times New Roman"/>
            <w:sz w:val="18"/>
            <w:szCs w:val="18"/>
            <w:color w:val="auto"/>
          </w:rPr>
          <w:t>), Joshua Schafer (</w:t>
        </w:r>
        <w:r>
          <w:rPr>
            <w:rFonts w:ascii="Times New Roman" w:cs="Times New Roman" w:eastAsia="Times New Roman" w:hAnsi="Times New Roman"/>
            <w:sz w:val="18"/>
            <w:szCs w:val="18"/>
            <w:u w:val="single" w:color="auto"/>
            <w:color w:val="0000EE"/>
          </w:rPr>
          <w:t>February 3, 2025</w:t>
        </w:r>
        <w:r>
          <w:rPr>
            <w:rFonts w:ascii="Times New Roman" w:cs="Times New Roman" w:eastAsia="Times New Roman" w:hAnsi="Times New Roman"/>
            <w:sz w:val="18"/>
            <w:szCs w:val="18"/>
            <w:color w:val="auto"/>
          </w:rPr>
          <w:t>), Rahsaan W. Thompson (</w:t>
        </w:r>
        <w:r>
          <w:rPr>
            <w:rFonts w:ascii="Times New Roman" w:cs="Times New Roman" w:eastAsia="Times New Roman" w:hAnsi="Times New Roman"/>
            <w:sz w:val="18"/>
            <w:szCs w:val="18"/>
            <w:u w:val="single" w:color="auto"/>
            <w:color w:val="0000EE"/>
          </w:rPr>
          <w:t>February</w:t>
        </w:r>
      </w:hyperlink>
    </w:p>
    <w:p>
      <w:pPr>
        <w:spacing w:after="0" w:line="9"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u w:val="single" w:color="auto"/>
            <w:color w:val="0000EE"/>
          </w:rPr>
          <w:t>3, 2025</w:t>
        </w:r>
        <w:r>
          <w:rPr>
            <w:rFonts w:ascii="Times New Roman" w:cs="Times New Roman" w:eastAsia="Times New Roman" w:hAnsi="Times New Roman"/>
            <w:sz w:val="18"/>
            <w:szCs w:val="18"/>
            <w:color w:val="000000"/>
          </w:rPr>
          <w:t>), Neil F. McFarlane (</w:t>
        </w:r>
      </w:hyperlink>
      <w:hyperlink r:id="rId28">
        <w:r>
          <w:rPr>
            <w:rFonts w:ascii="Times New Roman" w:cs="Times New Roman" w:eastAsia="Times New Roman" w:hAnsi="Times New Roman"/>
            <w:sz w:val="18"/>
            <w:szCs w:val="18"/>
            <w:u w:val="single" w:color="auto"/>
            <w:color w:val="0000EE"/>
          </w:rPr>
          <w:t>February 10, 2025</w:t>
        </w:r>
      </w:hyperlink>
      <w:hyperlink r:id="rId27">
        <w:r>
          <w:rPr>
            <w:rFonts w:ascii="Times New Roman" w:cs="Times New Roman" w:eastAsia="Times New Roman" w:hAnsi="Times New Roman"/>
            <w:sz w:val="18"/>
            <w:szCs w:val="18"/>
            <w:color w:val="000000"/>
          </w:rPr>
          <w:t>), Neil F. McFarlane (</w:t>
        </w:r>
      </w:hyperlink>
      <w:hyperlink r:id="rId29">
        <w:r>
          <w:rPr>
            <w:rFonts w:ascii="Times New Roman" w:cs="Times New Roman" w:eastAsia="Times New Roman" w:hAnsi="Times New Roman"/>
            <w:sz w:val="18"/>
            <w:szCs w:val="18"/>
            <w:u w:val="single" w:color="auto"/>
            <w:color w:val="0000EE"/>
          </w:rPr>
          <w:t>February 14, 2025</w:t>
        </w:r>
      </w:hyperlink>
      <w:hyperlink r:id="rId27">
        <w:r>
          <w:rPr>
            <w:rFonts w:ascii="Times New Roman" w:cs="Times New Roman" w:eastAsia="Times New Roman" w:hAnsi="Times New Roman"/>
            <w:sz w:val="18"/>
            <w:szCs w:val="18"/>
            <w:color w:val="000000"/>
          </w:rPr>
          <w:t>), R. LaDuane Clifton (</w:t>
        </w:r>
      </w:hyperlink>
      <w:hyperlink r:id="rId30">
        <w:r>
          <w:rPr>
            <w:rFonts w:ascii="Times New Roman" w:cs="Times New Roman" w:eastAsia="Times New Roman" w:hAnsi="Times New Roman"/>
            <w:sz w:val="18"/>
            <w:szCs w:val="18"/>
            <w:u w:val="single" w:color="auto"/>
            <w:color w:val="0000EE"/>
          </w:rPr>
          <w:t>February 14, 2025</w:t>
        </w:r>
      </w:hyperlink>
      <w:hyperlink r:id="rId27">
        <w:r>
          <w:rPr>
            <w:rFonts w:ascii="Times New Roman" w:cs="Times New Roman" w:eastAsia="Times New Roman" w:hAnsi="Times New Roman"/>
            <w:sz w:val="18"/>
            <w:szCs w:val="18"/>
            <w:color w:val="000000"/>
          </w:rPr>
          <w:t>), Joshua Schafer</w:t>
        </w:r>
      </w:hyperlink>
    </w:p>
    <w:p>
      <w:pPr>
        <w:spacing w:after="0" w:line="9"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31">
        <w:r>
          <w:rPr>
            <w:rFonts w:ascii="Times New Roman" w:cs="Times New Roman" w:eastAsia="Times New Roman" w:hAnsi="Times New Roman"/>
            <w:sz w:val="18"/>
            <w:szCs w:val="18"/>
            <w:u w:val="single" w:color="auto"/>
            <w:color w:val="0000EE"/>
          </w:rPr>
          <w:t>February 14, 2025</w:t>
        </w:r>
      </w:hyperlink>
      <w:r>
        <w:rPr>
          <w:rFonts w:ascii="Times New Roman" w:cs="Times New Roman" w:eastAsia="Times New Roman" w:hAnsi="Times New Roman"/>
          <w:sz w:val="18"/>
          <w:szCs w:val="18"/>
          <w:color w:val="auto"/>
        </w:rPr>
        <w:t>), John B. Bode (</w:t>
      </w:r>
      <w:hyperlink r:id="rId32">
        <w:r>
          <w:rPr>
            <w:rFonts w:ascii="Times New Roman" w:cs="Times New Roman" w:eastAsia="Times New Roman" w:hAnsi="Times New Roman"/>
            <w:sz w:val="18"/>
            <w:szCs w:val="18"/>
            <w:u w:val="single" w:color="auto"/>
            <w:color w:val="0000EE"/>
          </w:rPr>
          <w:t>March 21, 2025</w:t>
        </w:r>
      </w:hyperlink>
      <w:r>
        <w:rPr>
          <w:rFonts w:ascii="Times New Roman" w:cs="Times New Roman" w:eastAsia="Times New Roman" w:hAnsi="Times New Roman"/>
          <w:sz w:val="18"/>
          <w:szCs w:val="18"/>
          <w:color w:val="auto"/>
        </w:rPr>
        <w:t>), Adrian W. Quartel (</w:t>
      </w:r>
      <w:hyperlink r:id="rId33">
        <w:r>
          <w:rPr>
            <w:rFonts w:ascii="Times New Roman" w:cs="Times New Roman" w:eastAsia="Times New Roman" w:hAnsi="Times New Roman"/>
            <w:sz w:val="18"/>
            <w:szCs w:val="18"/>
            <w:u w:val="single" w:color="auto"/>
            <w:color w:val="0000EE"/>
          </w:rPr>
          <w:t>March 27, 2025</w:t>
        </w:r>
      </w:hyperlink>
      <w:r>
        <w:rPr>
          <w:rFonts w:ascii="Times New Roman" w:cs="Times New Roman" w:eastAsia="Times New Roman" w:hAnsi="Times New Roman"/>
          <w:sz w:val="18"/>
          <w:szCs w:val="18"/>
          <w:color w:val="auto"/>
        </w:rPr>
        <w:t>) and Corey M. Watton (</w:t>
      </w:r>
      <w:hyperlink r:id="rId34">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).These documents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are available free of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Copies of the documents are also available free of charge by accessing Zevra’s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website at </w:t>
      </w:r>
      <w:r>
        <w:rPr>
          <w:rFonts w:ascii="Times New Roman" w:cs="Times New Roman" w:eastAsia="Times New Roman" w:hAnsi="Times New Roman"/>
          <w:sz w:val="18"/>
          <w:szCs w:val="18"/>
          <w:u w:val="single" w:color="auto"/>
          <w:color w:val="auto"/>
        </w:rPr>
        <w:t>investors.zevra.com</w:t>
      </w:r>
      <w:r>
        <w:rPr>
          <w:rFonts w:ascii="Times New Roman" w:cs="Times New Roman" w:eastAsia="Times New Roman" w:hAnsi="Times New Roman"/>
          <w:sz w:val="18"/>
          <w:szCs w:val="18"/>
          <w:color w:val="auto"/>
        </w:rPr>
        <w:t>.</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hyperlink" Target="http://www.sec.gov/ix?doc=/Archives/edgar/data/1434647/000143774925007320/zvra20241231_10k.htm" TargetMode="External"/><Relationship Id="rId18" Type="http://schemas.openxmlformats.org/officeDocument/2006/relationships/hyperlink" Target="http://www.sec.gov/ix?doc=/Archives/edgar/data/1434647/000143774924010874/zvra20240303_def14a.htm" TargetMode="External"/><Relationship Id="rId19" Type="http://schemas.openxmlformats.org/officeDocument/2006/relationships/hyperlink" Target="http://www.sec.gov/Archives/edgar/data/1434647/000143774924021189/xslF345X02/rdgdoc.xml" TargetMode="External"/><Relationship Id="rId20" Type="http://schemas.openxmlformats.org/officeDocument/2006/relationships/hyperlink" Target="http://www.sec.gov/Archives/edgar/data/1434647/000143774925009676/xslF345X02/rdgdoc.xml" TargetMode="External"/><Relationship Id="rId21" Type="http://schemas.openxmlformats.org/officeDocument/2006/relationships/hyperlink" Target="http://www.sec.gov/Archives/edgar/data/1434647/000143774924017181/xslF345X05/rdgdoc.xml" TargetMode="External"/><Relationship Id="rId22" Type="http://schemas.openxmlformats.org/officeDocument/2006/relationships/hyperlink" Target="http://www.sec.gov/Archives/edgar/data/1434647/000143774924021191/xslF345X05/rdgdoc.xml" TargetMode="External"/><Relationship Id="rId23" Type="http://schemas.openxmlformats.org/officeDocument/2006/relationships/hyperlink" Target="http://www.sec.gov/Archives/edgar/data/1434647/000143774924022734/xslF345X05/rdgdoc.xml" TargetMode="External"/><Relationship Id="rId24" Type="http://schemas.openxmlformats.org/officeDocument/2006/relationships/hyperlink" Target="http://www.sec.gov/Archives/edgar/data/1434647/000143774924022829/xslF345X05/rdgdoc.xml" TargetMode="External"/><Relationship Id="rId25" Type="http://schemas.openxmlformats.org/officeDocument/2006/relationships/hyperlink" Target="http://www.sec.gov/Archives/edgar/data/1434647/000143774924022939/xslF345X05/rdgdoc.xml" TargetMode="External"/><Relationship Id="rId26" Type="http://schemas.openxmlformats.org/officeDocument/2006/relationships/hyperlink" Target="http://www.sec.gov/Archives/edgar/data/1434647/000143774924031367/xslF345X05/rdgdoc.xml" TargetMode="External"/><Relationship Id="rId27" Type="http://schemas.openxmlformats.org/officeDocument/2006/relationships/hyperlink" Target="http://www.sec.gov/Archives/edgar/data/1434647/000143774925002628/xslF345X05/rdgdoc.xml" TargetMode="External"/><Relationship Id="rId28" Type="http://schemas.openxmlformats.org/officeDocument/2006/relationships/hyperlink" Target="http://www.sec.gov/Archives/edgar/data/1434647/000143774925003328/xslF345X05/rdgdoc.xml" TargetMode="External"/><Relationship Id="rId29" Type="http://schemas.openxmlformats.org/officeDocument/2006/relationships/hyperlink" Target="http://www.sec.gov/Archives/edgar/data/1434647/000143774925004067/xslF345X05/rdgdoc.xml" TargetMode="External"/><Relationship Id="rId30" Type="http://schemas.openxmlformats.org/officeDocument/2006/relationships/hyperlink" Target="http://www.sec.gov/Archives/edgar/data/1434647/000143774925004068/xslF345X05/rdgdoc.xml" TargetMode="External"/><Relationship Id="rId31" Type="http://schemas.openxmlformats.org/officeDocument/2006/relationships/hyperlink" Target="http://www.sec.gov/Archives/edgar/data/1434647/000143774925004069/xslF345X05/rdgdoc.xml" TargetMode="External"/><Relationship Id="rId32" Type="http://schemas.openxmlformats.org/officeDocument/2006/relationships/hyperlink" Target="http://www.sec.gov/Archives/edgar/data/1434647/000143774925008738/xslF345X05/rdgdoc.xml" TargetMode="External"/><Relationship Id="rId33" Type="http://schemas.openxmlformats.org/officeDocument/2006/relationships/hyperlink" Target="http://www.sec.gov/Archives/edgar/data/1434647/000143774925009677/xslF345X05/rdgdoc.xml" TargetMode="External"/><Relationship Id="rId34" Type="http://schemas.openxmlformats.org/officeDocument/2006/relationships/hyperlink" Target="http://www.sec.gov/Archives/edgar/data/1434647/000143774925010332/xslF345X05/rdgdoc.x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2025-04-07T15:35:07Z</dcterms:created>
  <dcterms:modified xsi:type="dcterms:W3CDTF">2025-04-07T15:35:07Z</dcterms:modified>
</cp:coreProperties>
</file>