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541020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193675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660" w:right="1580" w:hanging="3653"/>
        <w:spacing w:after="0" w:line="490" w:lineRule="auto"/>
        <w:tabs>
          <w:tab w:leader="none" w:pos="5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380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-8255</wp:posOffset>
            </wp:positionV>
            <wp:extent cx="625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187325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KemPharm,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380" w:type="dxa"/>
        <w:tblCellMar>
          <w:top w:w="0" w:type="dxa"/>
          <w:left w:w="0" w:type="dxa"/>
          <w:bottom w:w="0" w:type="dxa"/>
          <w:right w:w="0" w:type="dxa"/>
        </w:tblCellMar>
      </w:tblPr>
      <w:tr>
        <w:trPr>
          <w:trHeight w:val="215"/>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850"/>
              <w:spacing w:after="0"/>
              <w:rPr>
                <w:sz w:val="20"/>
                <w:szCs w:val="20"/>
                <w:color w:val="auto"/>
              </w:rPr>
            </w:pPr>
            <w:r>
              <w:rPr>
                <w:rFonts w:ascii="Arial" w:cs="Arial" w:eastAsia="Arial" w:hAnsi="Arial"/>
                <w:sz w:val="18"/>
                <w:szCs w:val="18"/>
                <w:b w:val="1"/>
                <w:bCs w:val="1"/>
                <w:color w:val="auto"/>
              </w:rPr>
              <w:t>20-5894398</w:t>
            </w:r>
          </w:p>
        </w:tc>
      </w:tr>
      <w:tr>
        <w:trPr>
          <w:trHeight w:val="234"/>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1"/>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1180 Celebration Boulevard, Suite 103, Celebration, FL</w:t>
            </w:r>
          </w:p>
        </w:tc>
        <w:tc>
          <w:tcPr>
            <w:tcW w:w="3200" w:type="dxa"/>
            <w:vAlign w:val="bottom"/>
          </w:tcPr>
          <w:p>
            <w:pPr>
              <w:jc w:val="right"/>
              <w:ind w:right="1050"/>
              <w:spacing w:after="0"/>
              <w:rPr>
                <w:sz w:val="20"/>
                <w:szCs w:val="20"/>
                <w:color w:val="auto"/>
              </w:rPr>
            </w:pPr>
            <w:r>
              <w:rPr>
                <w:rFonts w:ascii="Arial" w:cs="Arial" w:eastAsia="Arial" w:hAnsi="Arial"/>
                <w:sz w:val="18"/>
                <w:szCs w:val="18"/>
                <w:b w:val="1"/>
                <w:bCs w:val="1"/>
                <w:color w:val="auto"/>
              </w:rPr>
              <w:t>34747</w:t>
            </w:r>
          </w:p>
        </w:tc>
      </w:tr>
      <w:tr>
        <w:trPr>
          <w:trHeight w:val="234"/>
        </w:trPr>
        <w:tc>
          <w:tcPr>
            <w:tcW w:w="628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(Zip Code)</w:t>
            </w:r>
          </w:p>
        </w:tc>
      </w:tr>
      <w:tr>
        <w:trPr>
          <w:trHeight w:val="430"/>
        </w:trPr>
        <w:tc>
          <w:tcPr>
            <w:tcW w:w="6280" w:type="dxa"/>
            <w:vAlign w:val="bottom"/>
          </w:tcPr>
          <w:p>
            <w:pPr>
              <w:jc w:val="right"/>
              <w:ind w:right="390"/>
              <w:spacing w:after="0"/>
              <w:rPr>
                <w:sz w:val="20"/>
                <w:szCs w:val="20"/>
                <w:color w:val="auto"/>
              </w:rPr>
            </w:pPr>
            <w:r>
              <w:rPr>
                <w:rFonts w:ascii="Arial" w:cs="Arial" w:eastAsia="Arial" w:hAnsi="Arial"/>
                <w:sz w:val="18"/>
                <w:szCs w:val="18"/>
                <w:b w:val="1"/>
                <w:bCs w:val="1"/>
                <w:color w:val="auto"/>
              </w:rPr>
              <w:t>(321) 939-3416</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1150" w:type="dxa"/>
        <w:tblCellMar>
          <w:top w:w="0" w:type="dxa"/>
          <w:left w:w="0" w:type="dxa"/>
          <w:bottom w:w="0" w:type="dxa"/>
          <w:right w:w="0" w:type="dxa"/>
        </w:tblCellMar>
      </w:tblPr>
      <w:tr>
        <w:trPr>
          <w:trHeight w:val="214"/>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124"/>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00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0"/>
              </w:rPr>
              <w:t>Common</w:t>
            </w:r>
          </w:p>
        </w:tc>
        <w:tc>
          <w:tcPr>
            <w:tcW w:w="30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KMPH</w:t>
            </w:r>
          </w:p>
        </w:tc>
        <w:tc>
          <w:tcPr>
            <w:tcW w:w="2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26"/>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1"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2"/>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80"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Total shares of common stock outstanding as of November 9, 2021: 35,319,426</w:t>
      </w:r>
    </w:p>
    <w:p>
      <w:pPr>
        <w:sectPr>
          <w:pgSz w:w="11900" w:h="16838" w:orient="portrait"/>
          <w:cols w:equalWidth="0" w:num="1">
            <w:col w:w="11240"/>
          </w:cols>
          <w:pgMar w:left="320" w:top="109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259715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302260</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720090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7"/>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INDEX</w:t>
            </w: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gridSpan w:val="12"/>
          </w:tcPr>
          <w:p>
            <w:pPr>
              <w:jc w:val="center"/>
              <w:ind w:right="3880"/>
              <w:spacing w:after="0"/>
              <w:rPr>
                <w:sz w:val="20"/>
                <w:szCs w:val="20"/>
                <w:color w:val="auto"/>
              </w:rPr>
            </w:pPr>
            <w:r>
              <w:rPr>
                <w:rFonts w:ascii="Arial" w:cs="Arial" w:eastAsia="Arial" w:hAnsi="Arial"/>
                <w:sz w:val="18"/>
                <w:szCs w:val="18"/>
                <w:b w:val="1"/>
                <w:bCs w:val="1"/>
                <w:color w:val="auto"/>
              </w:rPr>
              <w:t>KEMPHARM, INC.</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40" w:type="dxa"/>
            <w:vAlign w:val="bottom"/>
            <w:gridSpan w:val="12"/>
          </w:tcPr>
          <w:p>
            <w:pPr>
              <w:jc w:val="center"/>
              <w:ind w:right="3880"/>
              <w:spacing w:after="0"/>
              <w:rPr>
                <w:sz w:val="20"/>
                <w:szCs w:val="20"/>
                <w:color w:val="auto"/>
              </w:rPr>
            </w:pPr>
            <w:r>
              <w:rPr>
                <w:rFonts w:ascii="Arial" w:cs="Arial" w:eastAsia="Arial" w:hAnsi="Arial"/>
                <w:sz w:val="18"/>
                <w:szCs w:val="18"/>
                <w:b w:val="1"/>
                <w:bCs w:val="1"/>
                <w:color w:val="auto"/>
                <w:w w:val="97"/>
              </w:rPr>
              <w:t>FORM 10-Q</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380" w:type="dxa"/>
            <w:vAlign w:val="bottom"/>
            <w:gridSpan w:val="14"/>
            <w:shd w:val="clear" w:color="auto" w:fill="CCEEFF"/>
          </w:tcPr>
          <w:p>
            <w:pPr>
              <w:jc w:val="center"/>
              <w:ind w:right="3160"/>
              <w:spacing w:after="0" w:line="175"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2140" w:type="dxa"/>
            <w:vAlign w:val="bottom"/>
            <w:tcBorders>
              <w:bottom w:val="single" w:sz="8" w:color="0000EE"/>
            </w:tcBorders>
            <w:gridSpan w:val="9"/>
            <w:shd w:val="clear" w:color="auto" w:fill="CCEEFF"/>
          </w:tcPr>
          <w:p>
            <w:pPr>
              <w:spacing w:after="0" w:line="175"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FINANCIAL STATEMENTS</w:t>
              </w:r>
            </w:hyperlink>
          </w:p>
        </w:tc>
        <w:tc>
          <w:tcPr>
            <w:tcW w:w="7400" w:type="dxa"/>
            <w:vAlign w:val="bottom"/>
            <w:tcBorders>
              <w:bottom w:val="single" w:sz="8" w:color="CCEEFF"/>
            </w:tcBorders>
            <w:gridSpan w:val="18"/>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5"/>
          </w:tcPr>
          <w:p>
            <w:pPr>
              <w:spacing w:after="0" w:line="175"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SEPTEMBER 30, 2021 (UNAUDITED) AND DECEMBER 31, 2020</w:t>
              </w:r>
            </w:hyperlink>
          </w:p>
        </w:tc>
        <w:tc>
          <w:tcPr>
            <w:tcW w:w="380" w:type="dxa"/>
            <w:vAlign w:val="bottom"/>
            <w:gridSpan w:val="5"/>
          </w:tcPr>
          <w:p>
            <w:pPr>
              <w:jc w:val="center"/>
              <w:ind w:left="90"/>
              <w:spacing w:after="0" w:line="175"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0000EE"/>
            </w:tcBorders>
            <w:gridSpan w:val="22"/>
            <w:shd w:val="clear" w:color="auto" w:fill="CCEEFF"/>
          </w:tcPr>
          <w:p>
            <w:pPr>
              <w:spacing w:after="0" w:line="175"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STATEMENTS OF OPERATIONS FOR THE THREE AND NINE MONTHS ENDED</w:t>
              </w:r>
            </w:hyperlink>
          </w:p>
        </w:tc>
        <w:tc>
          <w:tcPr>
            <w:tcW w:w="840" w:type="dxa"/>
            <w:vAlign w:val="bottom"/>
            <w:tcBorders>
              <w:bottom w:val="single" w:sz="8" w:color="CCEEFF"/>
            </w:tcBorders>
            <w:gridSpan w:val="3"/>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540" w:type="dxa"/>
            <w:vAlign w:val="bottom"/>
            <w:gridSpan w:val="10"/>
            <w:shd w:val="clear" w:color="auto" w:fill="CCEEFF"/>
          </w:tcPr>
          <w:p>
            <w:pPr>
              <w:spacing w:after="0" w:line="195"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SEPTEMBER 30, 2021 AND 2020</w:t>
              </w:r>
            </w:hyperlink>
          </w:p>
        </w:tc>
        <w:tc>
          <w:tcPr>
            <w:tcW w:w="6840" w:type="dxa"/>
            <w:vAlign w:val="bottom"/>
            <w:gridSpan w:val="15"/>
            <w:shd w:val="clear" w:color="auto" w:fill="CCEEFF"/>
          </w:tcPr>
          <w:p>
            <w:pPr>
              <w:spacing w:after="0"/>
              <w:rPr>
                <w:sz w:val="16"/>
                <w:szCs w:val="16"/>
                <w:color w:val="auto"/>
              </w:rPr>
            </w:pPr>
          </w:p>
        </w:tc>
        <w:tc>
          <w:tcPr>
            <w:tcW w:w="240" w:type="dxa"/>
            <w:vAlign w:val="bottom"/>
            <w:gridSpan w:val="3"/>
            <w:shd w:val="clear" w:color="auto" w:fill="CCEEFF"/>
          </w:tcPr>
          <w:p>
            <w:pPr>
              <w:spacing w:after="0"/>
              <w:rPr>
                <w:sz w:val="16"/>
                <w:szCs w:val="16"/>
                <w:color w:val="auto"/>
              </w:rPr>
            </w:pPr>
          </w:p>
        </w:tc>
        <w:tc>
          <w:tcPr>
            <w:tcW w:w="140" w:type="dxa"/>
            <w:vAlign w:val="bottom"/>
            <w:gridSpan w:val="2"/>
            <w:shd w:val="clear" w:color="auto" w:fill="CCEEFF"/>
          </w:tcPr>
          <w:p>
            <w:pPr>
              <w:jc w:val="center"/>
              <w:ind w:right="60"/>
              <w:spacing w:after="0" w:line="195"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tcBorders>
              <w:bottom w:val="single" w:sz="8" w:color="0000EE"/>
            </w:tcBorders>
            <w:gridSpan w:val="21"/>
          </w:tcPr>
          <w:p>
            <w:pPr>
              <w:spacing w:after="0" w:line="175"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STATEMENTS OF STOCKHOLDERS' EQUITY (DEFICIT) FOR THE THREE AND</w:t>
              </w:r>
            </w:hyperlink>
          </w:p>
        </w:tc>
        <w:tc>
          <w:tcPr>
            <w:tcW w:w="86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25"/>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NINE MONTHS ENDED SEPTEMBER 30, 2021 AND 2020</w:t>
              </w:r>
            </w:hyperlink>
          </w:p>
        </w:tc>
        <w:tc>
          <w:tcPr>
            <w:tcW w:w="380" w:type="dxa"/>
            <w:vAlign w:val="bottom"/>
            <w:gridSpan w:val="5"/>
          </w:tcPr>
          <w:p>
            <w:pPr>
              <w:jc w:val="center"/>
              <w:ind w:left="90"/>
              <w:spacing w:after="0" w:line="195"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5"/>
            <w:shd w:val="clear" w:color="auto" w:fill="CCEEFF"/>
          </w:tcPr>
          <w:p>
            <w:pPr>
              <w:spacing w:after="0" w:line="175"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UNAUDITED CONDENSED STATEMENTS OF CASH FLOWS FOR THE NINE MONTHS ENDED SEPTEMBER 30, 2021</w:t>
              </w:r>
            </w:hyperlink>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260" w:type="dxa"/>
            <w:vAlign w:val="bottom"/>
            <w:tcBorders>
              <w:top w:val="single" w:sz="8" w:color="0000EE"/>
            </w:tcBorders>
            <w:gridSpan w:val="24"/>
            <w:shd w:val="clear" w:color="auto" w:fill="CCEEFF"/>
          </w:tcPr>
          <w:p>
            <w:pPr>
              <w:spacing w:after="0" w:line="195" w:lineRule="exact"/>
              <w:rPr>
                <w:rFonts w:ascii="Arial" w:cs="Arial" w:eastAsia="Arial" w:hAnsi="Arial"/>
                <w:sz w:val="18"/>
                <w:szCs w:val="18"/>
                <w:color w:val="0000EE"/>
              </w:rPr>
            </w:pPr>
            <w:hyperlink w:anchor="page9">
              <w:r>
                <w:rPr>
                  <w:rFonts w:ascii="Arial" w:cs="Arial" w:eastAsia="Arial" w:hAnsi="Arial"/>
                  <w:sz w:val="18"/>
                  <w:szCs w:val="18"/>
                  <w:color w:val="0000EE"/>
                </w:rPr>
                <w:t>AND 2020</w:t>
              </w:r>
            </w:hyperlink>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gridSpan w:val="5"/>
            <w:shd w:val="clear" w:color="auto" w:fill="CCEEFF"/>
          </w:tcPr>
          <w:p>
            <w:pPr>
              <w:jc w:val="center"/>
              <w:ind w:left="90"/>
              <w:spacing w:after="0" w:line="195"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5"/>
          </w:tcPr>
          <w:p>
            <w:pPr>
              <w:spacing w:after="0" w:line="175"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FINANCIAL STATEMENTS</w:t>
              </w:r>
            </w:hyperlink>
          </w:p>
        </w:tc>
        <w:tc>
          <w:tcPr>
            <w:tcW w:w="380" w:type="dxa"/>
            <w:vAlign w:val="bottom"/>
            <w:gridSpan w:val="5"/>
          </w:tcPr>
          <w:p>
            <w:pPr>
              <w:jc w:val="center"/>
              <w:ind w:left="90"/>
              <w:spacing w:after="0" w:line="175"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9540" w:type="dxa"/>
            <w:vAlign w:val="bottom"/>
            <w:gridSpan w:val="27"/>
            <w:shd w:val="clear" w:color="auto" w:fill="CCEEFF"/>
          </w:tcPr>
          <w:p>
            <w:pPr>
              <w:spacing w:after="0" w:line="175"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3.</w:t>
            </w:r>
          </w:p>
        </w:tc>
        <w:tc>
          <w:tcPr>
            <w:tcW w:w="8860" w:type="dxa"/>
            <w:vAlign w:val="bottom"/>
            <w:gridSpan w:val="25"/>
          </w:tcPr>
          <w:p>
            <w:pPr>
              <w:spacing w:after="0" w:line="175"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680" w:type="dxa"/>
            <w:vAlign w:val="bottom"/>
            <w:gridSpan w:val="2"/>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540" w:type="dxa"/>
            <w:vAlign w:val="bottom"/>
            <w:gridSpan w:val="27"/>
            <w:shd w:val="clear" w:color="auto" w:fill="CCEEFF"/>
          </w:tcPr>
          <w:p>
            <w:pPr>
              <w:spacing w:after="0" w:line="175"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360" w:type="dxa"/>
            <w:vAlign w:val="bottom"/>
            <w:gridSpan w:val="13"/>
            <w:shd w:val="clear" w:color="auto" w:fill="CCEEFF"/>
          </w:tcPr>
          <w:p>
            <w:pPr>
              <w:jc w:val="center"/>
              <w:ind w:right="3180"/>
              <w:spacing w:after="0" w:line="175"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 OTHER INFORMATION</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9540" w:type="dxa"/>
            <w:vAlign w:val="bottom"/>
            <w:gridSpan w:val="27"/>
            <w:shd w:val="clear" w:color="auto" w:fill="CCEEFF"/>
          </w:tcPr>
          <w:p>
            <w:pPr>
              <w:spacing w:after="0" w:line="175"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1A.</w:t>
            </w:r>
          </w:p>
        </w:tc>
        <w:tc>
          <w:tcPr>
            <w:tcW w:w="1860" w:type="dxa"/>
            <w:vAlign w:val="bottom"/>
            <w:gridSpan w:val="7"/>
          </w:tcPr>
          <w:p>
            <w:pPr>
              <w:spacing w:after="0" w:line="175"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7680" w:type="dxa"/>
            <w:vAlign w:val="bottom"/>
            <w:gridSpan w:val="20"/>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6040" w:type="dxa"/>
            <w:vAlign w:val="bottom"/>
            <w:gridSpan w:val="18"/>
            <w:shd w:val="clear" w:color="auto" w:fill="CCEEFF"/>
          </w:tcPr>
          <w:p>
            <w:pPr>
              <w:spacing w:after="0" w:line="175"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UNREGISTERED SALES OF EQUITY SECURITIES AND USE OF PROCEEDS</w:t>
              </w:r>
            </w:hyperlink>
          </w:p>
        </w:tc>
        <w:tc>
          <w:tcPr>
            <w:tcW w:w="3500" w:type="dxa"/>
            <w:vAlign w:val="bottom"/>
            <w:gridSpan w:val="9"/>
            <w:shd w:val="clear" w:color="auto" w:fill="CCEEFF"/>
          </w:tcPr>
          <w:p>
            <w:pPr>
              <w:spacing w:after="0"/>
              <w:rPr>
                <w:sz w:val="15"/>
                <w:szCs w:val="15"/>
                <w:color w:val="auto"/>
              </w:rPr>
            </w:pPr>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3.</w:t>
            </w:r>
          </w:p>
        </w:tc>
        <w:tc>
          <w:tcPr>
            <w:tcW w:w="6040" w:type="dxa"/>
            <w:vAlign w:val="bottom"/>
            <w:gridSpan w:val="18"/>
          </w:tcPr>
          <w:p>
            <w:pPr>
              <w:spacing w:after="0" w:line="175" w:lineRule="exact"/>
              <w:rPr>
                <w:rFonts w:ascii="Arial" w:cs="Arial" w:eastAsia="Arial" w:hAnsi="Arial"/>
                <w:sz w:val="18"/>
                <w:szCs w:val="18"/>
                <w:color w:val="0000EE"/>
              </w:rPr>
            </w:pPr>
            <w:hyperlink w:anchor="page107">
              <w:r>
                <w:rPr>
                  <w:rFonts w:ascii="Arial" w:cs="Arial" w:eastAsia="Arial" w:hAnsi="Arial"/>
                  <w:sz w:val="18"/>
                  <w:szCs w:val="18"/>
                  <w:color w:val="0000EE"/>
                </w:rPr>
                <w:t>DEFAULTS UPON SENIOR SECURITIES</w:t>
              </w:r>
            </w:hyperlink>
          </w:p>
        </w:tc>
        <w:tc>
          <w:tcPr>
            <w:tcW w:w="3500" w:type="dxa"/>
            <w:vAlign w:val="bottom"/>
            <w:gridSpan w:val="9"/>
          </w:tcPr>
          <w:p>
            <w:pPr>
              <w:spacing w:after="0"/>
              <w:rPr>
                <w:sz w:val="15"/>
                <w:szCs w:val="15"/>
                <w:color w:val="auto"/>
              </w:rPr>
            </w:pPr>
          </w:p>
        </w:tc>
        <w:tc>
          <w:tcPr>
            <w:tcW w:w="560" w:type="dxa"/>
            <w:vAlign w:val="bottom"/>
            <w:gridSpan w:val="7"/>
          </w:tcPr>
          <w:p>
            <w:pPr>
              <w:jc w:val="center"/>
              <w:spacing w:after="0" w:line="175"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540" w:type="dxa"/>
            <w:vAlign w:val="bottom"/>
            <w:gridSpan w:val="27"/>
            <w:shd w:val="clear" w:color="auto" w:fill="CCEEFF"/>
          </w:tcPr>
          <w:p>
            <w:pPr>
              <w:spacing w:after="0" w:line="175" w:lineRule="exact"/>
              <w:rPr>
                <w:rFonts w:ascii="Arial" w:cs="Arial" w:eastAsia="Arial" w:hAnsi="Arial"/>
                <w:sz w:val="18"/>
                <w:szCs w:val="18"/>
                <w:color w:val="0000EE"/>
              </w:rPr>
            </w:pPr>
            <w:hyperlink w:anchor="page107">
              <w:r>
                <w:rPr>
                  <w:rFonts w:ascii="Arial" w:cs="Arial" w:eastAsia="Arial" w:hAnsi="Arial"/>
                  <w:sz w:val="18"/>
                  <w:szCs w:val="18"/>
                  <w:color w:val="0000EE"/>
                </w:rPr>
                <w:t>MINE SAFETY DISCLOSURES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5.</w:t>
            </w:r>
          </w:p>
        </w:tc>
        <w:tc>
          <w:tcPr>
            <w:tcW w:w="2420" w:type="dxa"/>
            <w:vAlign w:val="bottom"/>
            <w:gridSpan w:val="10"/>
          </w:tcPr>
          <w:p>
            <w:pPr>
              <w:spacing w:after="0" w:line="175" w:lineRule="exact"/>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7120" w:type="dxa"/>
            <w:vAlign w:val="bottom"/>
            <w:gridSpan w:val="17"/>
          </w:tcPr>
          <w:p>
            <w:pPr>
              <w:spacing w:after="0"/>
              <w:rPr>
                <w:sz w:val="15"/>
                <w:szCs w:val="15"/>
                <w:color w:val="auto"/>
              </w:rPr>
            </w:pPr>
          </w:p>
        </w:tc>
        <w:tc>
          <w:tcPr>
            <w:tcW w:w="560" w:type="dxa"/>
            <w:vAlign w:val="bottom"/>
            <w:gridSpan w:val="7"/>
          </w:tcPr>
          <w:p>
            <w:pPr>
              <w:jc w:val="center"/>
              <w:spacing w:after="0" w:line="175"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6.</w:t>
            </w:r>
          </w:p>
        </w:tc>
        <w:tc>
          <w:tcPr>
            <w:tcW w:w="9540" w:type="dxa"/>
            <w:vAlign w:val="bottom"/>
            <w:gridSpan w:val="27"/>
            <w:shd w:val="clear" w:color="auto" w:fill="CCEEFF"/>
          </w:tcPr>
          <w:p>
            <w:pPr>
              <w:spacing w:after="0" w:line="175" w:lineRule="exact"/>
              <w:rPr>
                <w:rFonts w:ascii="Arial" w:cs="Arial" w:eastAsia="Arial" w:hAnsi="Arial"/>
                <w:sz w:val="18"/>
                <w:szCs w:val="18"/>
                <w:color w:val="0000EE"/>
              </w:rPr>
            </w:pPr>
            <w:hyperlink w:anchor="page108">
              <w:r>
                <w:rPr>
                  <w:rFonts w:ascii="Arial" w:cs="Arial" w:eastAsia="Arial" w:hAnsi="Arial"/>
                  <w:sz w:val="18"/>
                  <w:szCs w:val="18"/>
                  <w:color w:val="0000EE"/>
                </w:rPr>
                <w:t>EXHIBITS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540" w:type="dxa"/>
            <w:vAlign w:val="bottom"/>
            <w:gridSpan w:val="27"/>
            <w:shd w:val="clear" w:color="auto" w:fill="CCEEFF"/>
          </w:tcPr>
          <w:p>
            <w:pPr>
              <w:spacing w:after="0" w:line="175" w:lineRule="exact"/>
              <w:rPr>
                <w:rFonts w:ascii="Arial" w:cs="Arial" w:eastAsia="Arial" w:hAnsi="Arial"/>
                <w:sz w:val="18"/>
                <w:szCs w:val="18"/>
                <w:color w:val="0000EE"/>
              </w:rPr>
            </w:pPr>
            <w:hyperlink w:anchor="page109">
              <w:r>
                <w:rPr>
                  <w:rFonts w:ascii="Arial" w:cs="Arial" w:eastAsia="Arial" w:hAnsi="Arial"/>
                  <w:sz w:val="18"/>
                  <w:szCs w:val="18"/>
                  <w:color w:val="0000EE"/>
                </w:rPr>
                <w:t>SIGNATURES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106</w:t>
              </w:r>
            </w:hyperlink>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KEMPHARM, INC.</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7"/>
              </w:rPr>
              <w:t>CONDENSED BALANCE SHEETS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131,503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Accounts and other receivables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137,186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67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loans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Convertible notes, less current portion, net</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67,658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and warrant liability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Operating lease liabilities, less current portion</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77,621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D)</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Undesignated preferred stock, $0.0001 par value, 10,000,000 shares authorized, no shares issued or</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outstanding as of September 30, 2021; 9,961,846 shares authorized, no shares issued or outstanding as of</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4"/>
              </w:rPr>
              <w:t>Common stock, $0.0001  par  value,  250,000,000  shares  authorized,  35,317,313  shares  issued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w w:val="91"/>
              </w:rPr>
              <w:t>outstanding as of September 30, 2021; 4,537,321 shares issued and outstanding as of December 31, 2020</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131,737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(66,412)</w:t>
            </w:r>
          </w:p>
        </w:tc>
        <w:tc>
          <w:tcPr>
            <w:tcW w:w="0" w:type="dxa"/>
            <w:vAlign w:val="bottom"/>
          </w:tcPr>
          <w:p>
            <w:pPr>
              <w:spacing w:after="0"/>
              <w:rPr>
                <w:sz w:val="1"/>
                <w:szCs w:val="1"/>
                <w:color w:val="auto"/>
              </w:rPr>
            </w:pPr>
          </w:p>
        </w:tc>
      </w:tr>
      <w:tr>
        <w:trPr>
          <w:trHeight w:val="208"/>
        </w:trPr>
        <w:tc>
          <w:tcPr>
            <w:tcW w:w="800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 (deficit)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137,186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80" w:type="dxa"/>
            <w:vAlign w:val="bottom"/>
            <w:gridSpan w:val="4"/>
          </w:tcPr>
          <w:p>
            <w:pPr>
              <w:jc w:val="center"/>
              <w:ind w:left="2510"/>
              <w:spacing w:after="0"/>
              <w:rPr>
                <w:sz w:val="20"/>
                <w:szCs w:val="20"/>
                <w:color w:val="auto"/>
              </w:rPr>
            </w:pPr>
            <w:r>
              <w:rPr>
                <w:rFonts w:ascii="Arial" w:cs="Arial" w:eastAsia="Arial" w:hAnsi="Arial"/>
                <w:sz w:val="18"/>
                <w:szCs w:val="18"/>
                <w:b w:val="1"/>
                <w:bCs w:val="1"/>
                <w:color w:val="auto"/>
              </w:rPr>
              <w:t>KEMPHARM, INC.</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00" w:type="dxa"/>
            <w:vAlign w:val="bottom"/>
            <w:gridSpan w:val="6"/>
          </w:tcPr>
          <w:p>
            <w:pPr>
              <w:jc w:val="center"/>
              <w:ind w:left="1290"/>
              <w:spacing w:after="0"/>
              <w:rPr>
                <w:sz w:val="20"/>
                <w:szCs w:val="20"/>
                <w:color w:val="auto"/>
              </w:rPr>
            </w:pPr>
            <w:r>
              <w:rPr>
                <w:rFonts w:ascii="Arial" w:cs="Arial" w:eastAsia="Arial" w:hAnsi="Arial"/>
                <w:sz w:val="18"/>
                <w:szCs w:val="18"/>
                <w:b w:val="1"/>
                <w:bCs w:val="1"/>
                <w:color w:val="auto"/>
                <w:w w:val="98"/>
              </w:rPr>
              <w:t>UNAUDITED CONDENSED STATEMENTS OF OPERATIONS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80" w:type="dxa"/>
            <w:vAlign w:val="bottom"/>
            <w:gridSpan w:val="5"/>
          </w:tcPr>
          <w:p>
            <w:pPr>
              <w:jc w:val="center"/>
              <w:ind w:left="2210"/>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24"/>
                <w:szCs w:val="24"/>
                <w:color w:val="auto"/>
              </w:rPr>
            </w:pPr>
          </w:p>
        </w:tc>
        <w:tc>
          <w:tcPr>
            <w:tcW w:w="25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26,068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Royalty and direct contract acquisition costs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Severance expense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10,571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Interest expense related to amortization of debt issuance costs and discount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Interest expense on principal</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98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(60,194)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Basic net loss per share of common stock:</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(0.05)</w:t>
            </w:r>
          </w:p>
        </w:tc>
        <w:tc>
          <w:tcPr>
            <w:tcW w:w="12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(2.16)</w:t>
            </w:r>
          </w:p>
        </w:tc>
        <w:tc>
          <w:tcPr>
            <w:tcW w:w="34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Diluted net loss per share of common stock:</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of common stock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35,217,953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4,425,474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27,904,711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3,794,840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Borders>
              <w:bottom w:val="single" w:sz="8" w:color="CCEEFF"/>
            </w:tcBorders>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35,217,953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99"/>
              </w:rPr>
              <w:t>4,425,474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97"/>
              </w:rPr>
              <w:t>27,904,711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3,794,840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Series B-1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Series B-2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Convertible</w:t>
            </w:r>
          </w:p>
        </w:tc>
        <w:tc>
          <w:tcPr>
            <w:tcW w:w="120" w:type="dxa"/>
            <w:vAlign w:val="bottom"/>
          </w:tcPr>
          <w:p>
            <w:pPr>
              <w:spacing w:after="0"/>
              <w:rPr>
                <w:sz w:val="17"/>
                <w:szCs w:val="17"/>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Convertible</w:t>
            </w:r>
          </w:p>
        </w:tc>
        <w:tc>
          <w:tcPr>
            <w:tcW w:w="11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6"/>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98"/>
        </w:trPr>
        <w:tc>
          <w:tcPr>
            <w:tcW w:w="2060" w:type="dxa"/>
            <w:vAlign w:val="bottom"/>
            <w:gridSpan w:val="5"/>
            <w:shd w:val="clear" w:color="auto" w:fill="CCEEFF"/>
          </w:tcPr>
          <w:p>
            <w:pPr>
              <w:jc w:val="right"/>
              <w:ind w:right="39"/>
              <w:spacing w:after="0"/>
              <w:rPr>
                <w:sz w:val="20"/>
                <w:szCs w:val="20"/>
                <w:color w:val="auto"/>
              </w:rPr>
            </w:pPr>
            <w:r>
              <w:rPr>
                <w:rFonts w:ascii="Arial" w:cs="Arial" w:eastAsia="Arial" w:hAnsi="Arial"/>
                <w:sz w:val="16"/>
                <w:szCs w:val="16"/>
                <w:color w:val="auto"/>
                <w:w w:val="88"/>
              </w:rPr>
              <w:t>Balance as of January 1, 2021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(258,474)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(66,412)</w:t>
            </w:r>
          </w:p>
        </w:tc>
        <w:tc>
          <w:tcPr>
            <w:tcW w:w="0" w:type="dxa"/>
            <w:vAlign w:val="bottom"/>
          </w:tcPr>
          <w:p>
            <w:pPr>
              <w:spacing w:after="0"/>
              <w:rPr>
                <w:sz w:val="1"/>
                <w:szCs w:val="1"/>
                <w:color w:val="auto"/>
              </w:rPr>
            </w:pPr>
          </w:p>
        </w:tc>
      </w:tr>
      <w:tr>
        <w:trPr>
          <w:trHeight w:val="195"/>
        </w:trPr>
        <w:tc>
          <w:tcPr>
            <w:tcW w:w="800" w:type="dxa"/>
            <w:vAlign w:val="bottom"/>
            <w:tcBorders>
              <w:top w:val="single" w:sz="8" w:color="CCEEFF"/>
            </w:tcBorders>
          </w:tcPr>
          <w:p>
            <w:pPr>
              <w:ind w:left="16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(10,296)</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(10,296)</w:t>
            </w:r>
          </w:p>
        </w:tc>
        <w:tc>
          <w:tcPr>
            <w:tcW w:w="0" w:type="dxa"/>
            <w:vAlign w:val="bottom"/>
          </w:tcPr>
          <w:p>
            <w:pPr>
              <w:spacing w:after="0"/>
              <w:rPr>
                <w:sz w:val="1"/>
                <w:szCs w:val="1"/>
                <w:color w:val="auto"/>
              </w:rPr>
            </w:pPr>
          </w:p>
        </w:tc>
      </w:tr>
      <w:tr>
        <w:trPr>
          <w:trHeight w:val="192"/>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7"/>
              </w:rPr>
              <w:t>Stock-based</w:t>
            </w:r>
          </w:p>
        </w:tc>
        <w:tc>
          <w:tcPr>
            <w:tcW w:w="1520" w:type="dxa"/>
            <w:vAlign w:val="bottom"/>
            <w:gridSpan w:val="5"/>
            <w:shd w:val="clear" w:color="auto" w:fill="CCEEFF"/>
          </w:tcPr>
          <w:p>
            <w:pPr>
              <w:jc w:val="right"/>
              <w:ind w:right="142"/>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160"/>
              <w:spacing w:after="0"/>
              <w:rPr>
                <w:sz w:val="20"/>
                <w:szCs w:val="20"/>
                <w:color w:val="auto"/>
              </w:rPr>
            </w:pPr>
            <w:r>
              <w:rPr>
                <w:rFonts w:ascii="Arial" w:cs="Arial" w:eastAsia="Arial" w:hAnsi="Arial"/>
                <w:sz w:val="16"/>
                <w:szCs w:val="16"/>
                <w:color w:val="auto"/>
              </w:rPr>
              <w:t>connection</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with</w:t>
            </w:r>
          </w:p>
        </w:tc>
        <w:tc>
          <w:tcPr>
            <w:tcW w:w="860" w:type="dxa"/>
            <w:vAlign w:val="bottom"/>
            <w:gridSpan w:val="3"/>
          </w:tcPr>
          <w:p>
            <w:pPr>
              <w:jc w:val="right"/>
              <w:ind w:right="142"/>
              <w:spacing w:after="0"/>
              <w:rPr>
                <w:sz w:val="20"/>
                <w:szCs w:val="20"/>
                <w:color w:val="auto"/>
              </w:rPr>
            </w:pPr>
            <w:r>
              <w:rPr>
                <w:rFonts w:ascii="Arial" w:cs="Arial" w:eastAsia="Arial" w:hAnsi="Arial"/>
                <w:sz w:val="16"/>
                <w:szCs w:val="16"/>
                <w:color w:val="auto"/>
              </w:rPr>
              <w:t>Public</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Offering, net of discounts and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160"/>
              <w:spacing w:after="0"/>
              <w:rPr>
                <w:sz w:val="20"/>
                <w:szCs w:val="20"/>
                <w:color w:val="auto"/>
              </w:rPr>
            </w:pPr>
            <w:r>
              <w:rPr>
                <w:rFonts w:ascii="Arial" w:cs="Arial" w:eastAsia="Arial" w:hAnsi="Arial"/>
                <w:sz w:val="16"/>
                <w:szCs w:val="16"/>
                <w:color w:val="auto"/>
              </w:rPr>
              <w:t>commissions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49,284</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49,285</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warrants in the January 2021</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Inducement Transaction, net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6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w w:val="96"/>
              </w:rPr>
              <w:t>discounts and commissions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40,391</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gridSpan w:val="5"/>
          </w:tcPr>
          <w:p>
            <w:pPr>
              <w:ind w:left="160"/>
              <w:spacing w:after="0"/>
              <w:rPr>
                <w:sz w:val="20"/>
                <w:szCs w:val="20"/>
                <w:color w:val="auto"/>
              </w:rPr>
            </w:pPr>
            <w:r>
              <w:rPr>
                <w:rFonts w:ascii="Arial" w:cs="Arial" w:eastAsia="Arial" w:hAnsi="Arial"/>
                <w:sz w:val="16"/>
                <w:szCs w:val="16"/>
                <w:color w:val="auto"/>
              </w:rPr>
              <w:t>common stock warrants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25,593</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25,593</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Fair value of warrants issued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connection</w:t>
            </w:r>
          </w:p>
        </w:tc>
        <w:tc>
          <w:tcPr>
            <w:tcW w:w="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with the</w:t>
            </w:r>
          </w:p>
        </w:tc>
        <w:tc>
          <w:tcPr>
            <w:tcW w:w="860" w:type="dxa"/>
            <w:vAlign w:val="bottom"/>
            <w:gridSpan w:val="3"/>
            <w:shd w:val="clear" w:color="auto" w:fill="CCEEFF"/>
          </w:tcPr>
          <w:p>
            <w:pPr>
              <w:jc w:val="right"/>
              <w:ind w:right="142"/>
              <w:spacing w:after="0"/>
              <w:rPr>
                <w:sz w:val="20"/>
                <w:szCs w:val="20"/>
                <w:color w:val="auto"/>
              </w:rPr>
            </w:pPr>
            <w:r>
              <w:rPr>
                <w:rFonts w:ascii="Arial" w:cs="Arial" w:eastAsia="Arial" w:hAnsi="Arial"/>
                <w:sz w:val="16"/>
                <w:szCs w:val="16"/>
                <w:color w:val="auto"/>
                <w:w w:val="87"/>
              </w:rPr>
              <w:t>Exchange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9"/>
              </w:rPr>
              <w:t>Agreement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15,990</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Fair  value  of  Series  B-2</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tcPr>
          <w:p>
            <w:pPr>
              <w:ind w:left="160"/>
              <w:spacing w:after="0"/>
              <w:rPr>
                <w:sz w:val="20"/>
                <w:szCs w:val="20"/>
                <w:color w:val="auto"/>
              </w:rPr>
            </w:pPr>
            <w:r>
              <w:rPr>
                <w:rFonts w:ascii="Arial" w:cs="Arial" w:eastAsia="Arial" w:hAnsi="Arial"/>
                <w:sz w:val="16"/>
                <w:szCs w:val="16"/>
                <w:color w:val="auto"/>
                <w:w w:val="92"/>
              </w:rPr>
              <w:t>Preferred</w:t>
            </w:r>
          </w:p>
        </w:tc>
        <w:tc>
          <w:tcPr>
            <w:tcW w:w="16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Stock</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issued</w:t>
            </w:r>
          </w:p>
        </w:tc>
        <w:tc>
          <w:tcPr>
            <w:tcW w:w="420" w:type="dxa"/>
            <w:vAlign w:val="bottom"/>
            <w:gridSpan w:val="2"/>
          </w:tcPr>
          <w:p>
            <w:pPr>
              <w:jc w:val="right"/>
              <w:ind w:right="142"/>
              <w:spacing w:after="0"/>
              <w:rPr>
                <w:sz w:val="20"/>
                <w:szCs w:val="20"/>
                <w:color w:val="auto"/>
              </w:rPr>
            </w:pPr>
            <w:r>
              <w:rPr>
                <w:rFonts w:ascii="Arial" w:cs="Arial" w:eastAsia="Arial" w:hAnsi="Arial"/>
                <w:sz w:val="16"/>
                <w:szCs w:val="16"/>
                <w:color w:val="auto"/>
              </w:rPr>
              <w:t>in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accordance with the Exchange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160"/>
              <w:spacing w:after="0"/>
              <w:rPr>
                <w:sz w:val="20"/>
                <w:szCs w:val="20"/>
                <w:color w:val="auto"/>
              </w:rPr>
            </w:pPr>
            <w:r>
              <w:rPr>
                <w:rFonts w:ascii="Arial" w:cs="Arial" w:eastAsia="Arial" w:hAnsi="Arial"/>
                <w:sz w:val="16"/>
                <w:szCs w:val="16"/>
                <w:color w:val="auto"/>
                <w:w w:val="99"/>
              </w:rPr>
              <w:t>Agreement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29,056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29,056</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as a</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result of Series B-2 Preferred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Stock conversion</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29,055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Fair value of warrants issued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160"/>
              <w:spacing w:after="0"/>
              <w:rPr>
                <w:sz w:val="20"/>
                <w:szCs w:val="20"/>
                <w:color w:val="auto"/>
              </w:rPr>
            </w:pPr>
            <w:r>
              <w:rPr>
                <w:rFonts w:ascii="Arial" w:cs="Arial" w:eastAsia="Arial" w:hAnsi="Arial"/>
                <w:sz w:val="16"/>
                <w:szCs w:val="16"/>
                <w:color w:val="auto"/>
              </w:rPr>
              <w:t>connection</w:t>
            </w:r>
          </w:p>
        </w:tc>
        <w:tc>
          <w:tcPr>
            <w:tcW w:w="460" w:type="dxa"/>
            <w:vAlign w:val="bottom"/>
          </w:tcPr>
          <w:p>
            <w:pPr>
              <w:ind w:left="60"/>
              <w:spacing w:after="0"/>
              <w:rPr>
                <w:sz w:val="20"/>
                <w:szCs w:val="20"/>
                <w:color w:val="auto"/>
              </w:rPr>
            </w:pPr>
            <w:r>
              <w:rPr>
                <w:rFonts w:ascii="Arial" w:cs="Arial" w:eastAsia="Arial" w:hAnsi="Arial"/>
                <w:sz w:val="16"/>
                <w:szCs w:val="16"/>
                <w:color w:val="auto"/>
              </w:rPr>
              <w:t>with</w:t>
            </w:r>
          </w:p>
        </w:tc>
        <w:tc>
          <w:tcPr>
            <w:tcW w:w="200" w:type="dxa"/>
            <w:vAlign w:val="bottom"/>
          </w:tcPr>
          <w:p>
            <w:pPr>
              <w:ind w:left="20"/>
              <w:spacing w:after="0"/>
              <w:rPr>
                <w:sz w:val="20"/>
                <w:szCs w:val="20"/>
                <w:color w:val="auto"/>
              </w:rPr>
            </w:pPr>
            <w:r>
              <w:rPr>
                <w:rFonts w:ascii="Arial" w:cs="Arial" w:eastAsia="Arial" w:hAnsi="Arial"/>
                <w:sz w:val="16"/>
                <w:szCs w:val="16"/>
                <w:color w:val="auto"/>
                <w:w w:val="71"/>
              </w:rPr>
              <w:t>the</w:t>
            </w:r>
          </w:p>
        </w:tc>
        <w:tc>
          <w:tcPr>
            <w:tcW w:w="860" w:type="dxa"/>
            <w:vAlign w:val="bottom"/>
            <w:gridSpan w:val="3"/>
          </w:tcPr>
          <w:p>
            <w:pPr>
              <w:jc w:val="right"/>
              <w:ind w:right="142"/>
              <w:spacing w:after="0"/>
              <w:rPr>
                <w:sz w:val="20"/>
                <w:szCs w:val="20"/>
                <w:color w:val="auto"/>
              </w:rPr>
            </w:pPr>
            <w:r>
              <w:rPr>
                <w:rFonts w:ascii="Arial" w:cs="Arial" w:eastAsia="Arial" w:hAnsi="Arial"/>
                <w:sz w:val="16"/>
                <w:szCs w:val="16"/>
                <w:color w:val="auto"/>
              </w:rPr>
              <w:t>January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2021 Inducement Transaction</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38,437</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38,437</w:t>
            </w:r>
          </w:p>
        </w:tc>
        <w:tc>
          <w:tcPr>
            <w:tcW w:w="0" w:type="dxa"/>
            <w:vAlign w:val="bottom"/>
          </w:tcPr>
          <w:p>
            <w:pPr>
              <w:spacing w:after="0"/>
              <w:rPr>
                <w:sz w:val="1"/>
                <w:szCs w:val="1"/>
                <w:color w:val="auto"/>
              </w:rPr>
            </w:pPr>
          </w:p>
        </w:tc>
      </w:tr>
      <w:tr>
        <w:trPr>
          <w:trHeight w:val="195"/>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Deemed</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dividend</w:t>
            </w:r>
          </w:p>
        </w:tc>
        <w:tc>
          <w:tcPr>
            <w:tcW w:w="6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related</w:t>
            </w:r>
          </w:p>
        </w:tc>
        <w:tc>
          <w:tcPr>
            <w:tcW w:w="42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w w:val="80"/>
              </w:rPr>
              <w:t>the</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January</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2021</w:t>
            </w:r>
          </w:p>
        </w:tc>
        <w:tc>
          <w:tcPr>
            <w:tcW w:w="1060" w:type="dxa"/>
            <w:vAlign w:val="bottom"/>
            <w:gridSpan w:val="4"/>
            <w:shd w:val="clear" w:color="auto" w:fill="CCEEFF"/>
          </w:tcPr>
          <w:p>
            <w:pPr>
              <w:jc w:val="right"/>
              <w:ind w:right="142"/>
              <w:spacing w:after="0"/>
              <w:rPr>
                <w:sz w:val="20"/>
                <w:szCs w:val="20"/>
                <w:color w:val="auto"/>
              </w:rPr>
            </w:pPr>
            <w:r>
              <w:rPr>
                <w:rFonts w:ascii="Arial" w:cs="Arial" w:eastAsia="Arial" w:hAnsi="Arial"/>
                <w:sz w:val="16"/>
                <w:szCs w:val="16"/>
                <w:color w:val="auto"/>
                <w:w w:val="98"/>
              </w:rPr>
              <w:t>Inducement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3"/>
              </w:rPr>
              <w:t>Transaction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0" w:type="dxa"/>
            <w:vAlign w:val="bottom"/>
          </w:tcPr>
          <w:p>
            <w:pPr>
              <w:spacing w:after="0"/>
              <w:rPr>
                <w:sz w:val="1"/>
                <w:szCs w:val="1"/>
                <w:color w:val="auto"/>
              </w:rPr>
            </w:pPr>
          </w:p>
        </w:tc>
      </w:tr>
      <w:tr>
        <w:trPr>
          <w:trHeight w:val="192"/>
        </w:trPr>
        <w:tc>
          <w:tcPr>
            <w:tcW w:w="800" w:type="dxa"/>
            <w:vAlign w:val="bottom"/>
          </w:tcPr>
          <w:p>
            <w:pPr>
              <w:ind w:left="160"/>
              <w:spacing w:after="0"/>
              <w:rPr>
                <w:sz w:val="20"/>
                <w:szCs w:val="20"/>
                <w:color w:val="auto"/>
              </w:rPr>
            </w:pPr>
            <w:r>
              <w:rPr>
                <w:rFonts w:ascii="Arial" w:cs="Arial" w:eastAsia="Arial" w:hAnsi="Arial"/>
                <w:sz w:val="16"/>
                <w:szCs w:val="16"/>
                <w:color w:val="auto"/>
              </w:rPr>
              <w:t>Offering</w:t>
            </w:r>
          </w:p>
        </w:tc>
        <w:tc>
          <w:tcPr>
            <w:tcW w:w="620" w:type="dxa"/>
            <w:vAlign w:val="bottom"/>
            <w:gridSpan w:val="2"/>
          </w:tcPr>
          <w:p>
            <w:pPr>
              <w:ind w:left="20"/>
              <w:spacing w:after="0"/>
              <w:rPr>
                <w:sz w:val="20"/>
                <w:szCs w:val="20"/>
                <w:color w:val="auto"/>
              </w:rPr>
            </w:pPr>
            <w:r>
              <w:rPr>
                <w:rFonts w:ascii="Arial" w:cs="Arial" w:eastAsia="Arial" w:hAnsi="Arial"/>
                <w:sz w:val="16"/>
                <w:szCs w:val="16"/>
                <w:color w:val="auto"/>
                <w:w w:val="84"/>
              </w:rPr>
              <w:t>expenses</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charged</w:t>
            </w:r>
          </w:p>
        </w:tc>
        <w:tc>
          <w:tcPr>
            <w:tcW w:w="420" w:type="dxa"/>
            <w:vAlign w:val="bottom"/>
            <w:gridSpan w:val="2"/>
          </w:tcPr>
          <w:p>
            <w:pPr>
              <w:jc w:val="right"/>
              <w:ind w:right="142"/>
              <w:spacing w:after="0"/>
              <w:rPr>
                <w:sz w:val="20"/>
                <w:szCs w:val="20"/>
                <w:color w:val="auto"/>
              </w:rPr>
            </w:pPr>
            <w:r>
              <w:rPr>
                <w:rFonts w:ascii="Arial" w:cs="Arial" w:eastAsia="Arial" w:hAnsi="Arial"/>
                <w:sz w:val="16"/>
                <w:szCs w:val="16"/>
                <w:color w:val="auto"/>
              </w:rPr>
              <w:t>to</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6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exchange</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w:t>
            </w:r>
          </w:p>
        </w:tc>
        <w:tc>
          <w:tcPr>
            <w:tcW w:w="1060" w:type="dxa"/>
            <w:vAlign w:val="bottom"/>
            <w:gridSpan w:val="4"/>
            <w:shd w:val="clear" w:color="auto" w:fill="CCEEFF"/>
          </w:tcPr>
          <w:p>
            <w:pPr>
              <w:jc w:val="right"/>
              <w:ind w:right="142"/>
              <w:spacing w:after="0"/>
              <w:rPr>
                <w:sz w:val="20"/>
                <w:szCs w:val="20"/>
                <w:color w:val="auto"/>
              </w:rPr>
            </w:pPr>
            <w:r>
              <w:rPr>
                <w:rFonts w:ascii="Arial" w:cs="Arial" w:eastAsia="Arial" w:hAnsi="Arial"/>
                <w:sz w:val="16"/>
                <w:szCs w:val="16"/>
                <w:color w:val="auto"/>
              </w:rPr>
              <w:t>consulting</w:t>
            </w: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8"/>
        </w:trPr>
        <w:tc>
          <w:tcPr>
            <w:tcW w:w="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60" w:type="dxa"/>
            <w:vAlign w:val="bottom"/>
            <w:gridSpan w:val="5"/>
          </w:tcPr>
          <w:p>
            <w:pPr>
              <w:jc w:val="right"/>
              <w:ind w:right="39"/>
              <w:spacing w:after="0"/>
              <w:rPr>
                <w:sz w:val="20"/>
                <w:szCs w:val="20"/>
                <w:color w:val="auto"/>
              </w:rPr>
            </w:pPr>
            <w:r>
              <w:rPr>
                <w:rFonts w:ascii="Arial" w:cs="Arial" w:eastAsia="Arial" w:hAnsi="Arial"/>
                <w:sz w:val="16"/>
                <w:szCs w:val="16"/>
                <w:color w:val="auto"/>
                <w:w w:val="90"/>
              </w:rPr>
              <w:t>Balance as of March 31, 2021</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353,018</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(268,770)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84,251</w:t>
            </w:r>
          </w:p>
        </w:tc>
        <w:tc>
          <w:tcPr>
            <w:tcW w:w="0" w:type="dxa"/>
            <w:vAlign w:val="bottom"/>
          </w:tcPr>
          <w:p>
            <w:pPr>
              <w:spacing w:after="0"/>
              <w:rPr>
                <w:sz w:val="1"/>
                <w:szCs w:val="1"/>
                <w:color w:val="auto"/>
              </w:rPr>
            </w:pPr>
          </w:p>
        </w:tc>
      </w:tr>
      <w:tr>
        <w:trPr>
          <w:trHeight w:val="195"/>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6"/>
              </w:rPr>
              <w:t>Net income</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6,203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192"/>
        </w:trPr>
        <w:tc>
          <w:tcPr>
            <w:tcW w:w="960" w:type="dxa"/>
            <w:vAlign w:val="bottom"/>
            <w:gridSpan w:val="2"/>
          </w:tcPr>
          <w:p>
            <w:pPr>
              <w:ind w:left="160"/>
              <w:spacing w:after="0"/>
              <w:rPr>
                <w:sz w:val="20"/>
                <w:szCs w:val="20"/>
                <w:color w:val="auto"/>
              </w:rPr>
            </w:pPr>
            <w:r>
              <w:rPr>
                <w:rFonts w:ascii="Arial" w:cs="Arial" w:eastAsia="Arial" w:hAnsi="Arial"/>
                <w:sz w:val="16"/>
                <w:szCs w:val="16"/>
                <w:color w:val="auto"/>
                <w:w w:val="87"/>
              </w:rPr>
              <w:t>Stock-based</w:t>
            </w:r>
          </w:p>
        </w:tc>
        <w:tc>
          <w:tcPr>
            <w:tcW w:w="1520" w:type="dxa"/>
            <w:vAlign w:val="bottom"/>
            <w:gridSpan w:val="5"/>
          </w:tcPr>
          <w:p>
            <w:pPr>
              <w:jc w:val="right"/>
              <w:ind w:right="142"/>
              <w:spacing w:after="0"/>
              <w:rPr>
                <w:sz w:val="20"/>
                <w:szCs w:val="20"/>
                <w:color w:val="auto"/>
              </w:rPr>
            </w:pPr>
            <w:r>
              <w:rPr>
                <w:rFonts w:ascii="Arial" w:cs="Arial" w:eastAsia="Arial" w:hAnsi="Arial"/>
                <w:sz w:val="16"/>
                <w:szCs w:val="16"/>
                <w:color w:val="auto"/>
              </w:rPr>
              <w:t>compensation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60"/>
              <w:spacing w:after="0"/>
              <w:rPr>
                <w:sz w:val="20"/>
                <w:szCs w:val="20"/>
                <w:color w:val="auto"/>
              </w:rPr>
            </w:pPr>
            <w:r>
              <w:rPr>
                <w:rFonts w:ascii="Arial" w:cs="Arial" w:eastAsia="Arial" w:hAnsi="Arial"/>
                <w:sz w:val="16"/>
                <w:szCs w:val="16"/>
                <w:color w:val="auto"/>
              </w:rPr>
              <w:t>expense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warrants  in  the  June  2021</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Inducement Transaction, net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6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w w:val="96"/>
              </w:rPr>
              <w:t>discounts and commissions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35,455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35,455</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gridSpan w:val="5"/>
          </w:tcPr>
          <w:p>
            <w:pPr>
              <w:ind w:left="160"/>
              <w:spacing w:after="0"/>
              <w:rPr>
                <w:sz w:val="20"/>
                <w:szCs w:val="20"/>
                <w:color w:val="auto"/>
              </w:rPr>
            </w:pPr>
            <w:r>
              <w:rPr>
                <w:rFonts w:ascii="Arial" w:cs="Arial" w:eastAsia="Arial" w:hAnsi="Arial"/>
                <w:sz w:val="16"/>
                <w:szCs w:val="16"/>
                <w:color w:val="auto"/>
              </w:rPr>
              <w:t>common stock warrants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Fair value of warrants issued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connection with the June 2021</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6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Inducement Transaction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17,089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17,089</w:t>
            </w:r>
          </w:p>
        </w:tc>
        <w:tc>
          <w:tcPr>
            <w:tcW w:w="0" w:type="dxa"/>
            <w:vAlign w:val="bottom"/>
          </w:tcPr>
          <w:p>
            <w:pPr>
              <w:spacing w:after="0"/>
              <w:rPr>
                <w:sz w:val="1"/>
                <w:szCs w:val="1"/>
                <w:color w:val="auto"/>
              </w:rPr>
            </w:pPr>
          </w:p>
        </w:tc>
      </w:tr>
      <w:tr>
        <w:trPr>
          <w:trHeight w:val="192"/>
        </w:trPr>
        <w:tc>
          <w:tcPr>
            <w:tcW w:w="800" w:type="dxa"/>
            <w:vAlign w:val="bottom"/>
          </w:tcPr>
          <w:p>
            <w:pPr>
              <w:ind w:left="160"/>
              <w:spacing w:after="0"/>
              <w:rPr>
                <w:sz w:val="20"/>
                <w:szCs w:val="20"/>
                <w:color w:val="auto"/>
              </w:rPr>
            </w:pPr>
            <w:r>
              <w:rPr>
                <w:rFonts w:ascii="Arial" w:cs="Arial" w:eastAsia="Arial" w:hAnsi="Arial"/>
                <w:sz w:val="16"/>
                <w:szCs w:val="16"/>
                <w:color w:val="auto"/>
              </w:rPr>
              <w:t>Deemed</w:t>
            </w:r>
          </w:p>
        </w:tc>
        <w:tc>
          <w:tcPr>
            <w:tcW w:w="620" w:type="dxa"/>
            <w:vAlign w:val="bottom"/>
            <w:gridSpan w:val="2"/>
          </w:tcPr>
          <w:p>
            <w:pPr>
              <w:ind w:left="20"/>
              <w:spacing w:after="0"/>
              <w:rPr>
                <w:sz w:val="20"/>
                <w:szCs w:val="20"/>
                <w:color w:val="auto"/>
              </w:rPr>
            </w:pPr>
            <w:r>
              <w:rPr>
                <w:rFonts w:ascii="Arial" w:cs="Arial" w:eastAsia="Arial" w:hAnsi="Arial"/>
                <w:sz w:val="16"/>
                <w:szCs w:val="16"/>
                <w:color w:val="auto"/>
                <w:w w:val="97"/>
              </w:rPr>
              <w:t>dividend</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related</w:t>
            </w:r>
          </w:p>
        </w:tc>
        <w:tc>
          <w:tcPr>
            <w:tcW w:w="420" w:type="dxa"/>
            <w:vAlign w:val="bottom"/>
            <w:gridSpan w:val="2"/>
          </w:tcPr>
          <w:p>
            <w:pPr>
              <w:jc w:val="right"/>
              <w:ind w:right="142"/>
              <w:spacing w:after="0"/>
              <w:rPr>
                <w:sz w:val="20"/>
                <w:szCs w:val="20"/>
                <w:color w:val="auto"/>
              </w:rPr>
            </w:pPr>
            <w:r>
              <w:rPr>
                <w:rFonts w:ascii="Arial" w:cs="Arial" w:eastAsia="Arial" w:hAnsi="Arial"/>
                <w:sz w:val="16"/>
                <w:szCs w:val="16"/>
                <w:color w:val="auto"/>
                <w:w w:val="80"/>
              </w:rPr>
              <w:t>the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tcPr>
          <w:p>
            <w:pPr>
              <w:ind w:left="160"/>
              <w:spacing w:after="0"/>
              <w:rPr>
                <w:sz w:val="20"/>
                <w:szCs w:val="20"/>
                <w:color w:val="auto"/>
              </w:rPr>
            </w:pPr>
            <w:r>
              <w:rPr>
                <w:rFonts w:ascii="Arial" w:cs="Arial" w:eastAsia="Arial" w:hAnsi="Arial"/>
                <w:sz w:val="16"/>
                <w:szCs w:val="16"/>
                <w:color w:val="auto"/>
              </w:rPr>
              <w:t>June</w:t>
            </w:r>
          </w:p>
        </w:tc>
        <w:tc>
          <w:tcPr>
            <w:tcW w:w="620" w:type="dxa"/>
            <w:vAlign w:val="bottom"/>
            <w:gridSpan w:val="2"/>
          </w:tcPr>
          <w:p>
            <w:pPr>
              <w:ind w:left="20"/>
              <w:spacing w:after="0"/>
              <w:rPr>
                <w:sz w:val="20"/>
                <w:szCs w:val="20"/>
                <w:color w:val="auto"/>
              </w:rPr>
            </w:pPr>
            <w:r>
              <w:rPr>
                <w:rFonts w:ascii="Arial" w:cs="Arial" w:eastAsia="Arial" w:hAnsi="Arial"/>
                <w:sz w:val="16"/>
                <w:szCs w:val="16"/>
                <w:color w:val="auto"/>
              </w:rPr>
              <w:t>2021</w:t>
            </w:r>
          </w:p>
        </w:tc>
        <w:tc>
          <w:tcPr>
            <w:tcW w:w="1060" w:type="dxa"/>
            <w:vAlign w:val="bottom"/>
            <w:gridSpan w:val="4"/>
          </w:tcPr>
          <w:p>
            <w:pPr>
              <w:jc w:val="right"/>
              <w:ind w:right="142"/>
              <w:spacing w:after="0"/>
              <w:rPr>
                <w:sz w:val="20"/>
                <w:szCs w:val="20"/>
                <w:color w:val="auto"/>
              </w:rPr>
            </w:pPr>
            <w:r>
              <w:rPr>
                <w:rFonts w:ascii="Arial" w:cs="Arial" w:eastAsia="Arial" w:hAnsi="Arial"/>
                <w:sz w:val="16"/>
                <w:szCs w:val="16"/>
                <w:color w:val="auto"/>
                <w:w w:val="98"/>
              </w:rPr>
              <w:t>Inducement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160"/>
              <w:spacing w:after="0"/>
              <w:rPr>
                <w:sz w:val="20"/>
                <w:szCs w:val="20"/>
                <w:color w:val="auto"/>
              </w:rPr>
            </w:pPr>
            <w:r>
              <w:rPr>
                <w:rFonts w:ascii="Arial" w:cs="Arial" w:eastAsia="Arial" w:hAnsi="Arial"/>
                <w:sz w:val="16"/>
                <w:szCs w:val="16"/>
                <w:color w:val="auto"/>
                <w:w w:val="93"/>
              </w:rPr>
              <w:t>Transaction</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(16,898)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(16,898)</w:t>
            </w:r>
          </w:p>
        </w:tc>
        <w:tc>
          <w:tcPr>
            <w:tcW w:w="0" w:type="dxa"/>
            <w:vAlign w:val="bottom"/>
          </w:tcPr>
          <w:p>
            <w:pPr>
              <w:spacing w:after="0"/>
              <w:rPr>
                <w:sz w:val="1"/>
                <w:szCs w:val="1"/>
                <w:color w:val="auto"/>
              </w:rPr>
            </w:pPr>
          </w:p>
        </w:tc>
      </w:tr>
      <w:tr>
        <w:trPr>
          <w:trHeight w:val="195"/>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Offering</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4"/>
              </w:rPr>
              <w:t>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charged</w:t>
            </w:r>
          </w:p>
        </w:tc>
        <w:tc>
          <w:tcPr>
            <w:tcW w:w="42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to</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tcPr>
          <w:p>
            <w:pPr>
              <w:ind w:left="160"/>
              <w:spacing w:after="0"/>
              <w:rPr>
                <w:sz w:val="20"/>
                <w:szCs w:val="20"/>
                <w:color w:val="auto"/>
              </w:rPr>
            </w:pPr>
            <w:r>
              <w:rPr>
                <w:rFonts w:ascii="Arial" w:cs="Arial" w:eastAsia="Arial" w:hAnsi="Arial"/>
                <w:sz w:val="16"/>
                <w:szCs w:val="16"/>
                <w:color w:val="auto"/>
                <w:w w:val="89"/>
              </w:rPr>
              <w:t>exchange</w:t>
            </w:r>
          </w:p>
        </w:tc>
        <w:tc>
          <w:tcPr>
            <w:tcW w:w="160" w:type="dxa"/>
            <w:vAlign w:val="bottom"/>
          </w:tcPr>
          <w:p>
            <w:pPr>
              <w:spacing w:after="0"/>
              <w:rPr>
                <w:sz w:val="17"/>
                <w:szCs w:val="17"/>
                <w:color w:val="auto"/>
              </w:rPr>
            </w:pPr>
          </w:p>
        </w:tc>
        <w:tc>
          <w:tcPr>
            <w:tcW w:w="460" w:type="dxa"/>
            <w:vAlign w:val="bottom"/>
          </w:tcPr>
          <w:p>
            <w:pPr>
              <w:ind w:left="120"/>
              <w:spacing w:after="0"/>
              <w:rPr>
                <w:sz w:val="20"/>
                <w:szCs w:val="20"/>
                <w:color w:val="auto"/>
              </w:rPr>
            </w:pPr>
            <w:r>
              <w:rPr>
                <w:rFonts w:ascii="Arial" w:cs="Arial" w:eastAsia="Arial" w:hAnsi="Arial"/>
                <w:sz w:val="16"/>
                <w:szCs w:val="16"/>
                <w:color w:val="auto"/>
              </w:rPr>
              <w:t>for</w:t>
            </w:r>
          </w:p>
        </w:tc>
        <w:tc>
          <w:tcPr>
            <w:tcW w:w="1060" w:type="dxa"/>
            <w:vAlign w:val="bottom"/>
            <w:gridSpan w:val="4"/>
          </w:tcPr>
          <w:p>
            <w:pPr>
              <w:jc w:val="right"/>
              <w:ind w:right="142"/>
              <w:spacing w:after="0"/>
              <w:rPr>
                <w:sz w:val="20"/>
                <w:szCs w:val="20"/>
                <w:color w:val="auto"/>
              </w:rPr>
            </w:pPr>
            <w:r>
              <w:rPr>
                <w:rFonts w:ascii="Arial" w:cs="Arial" w:eastAsia="Arial" w:hAnsi="Arial"/>
                <w:sz w:val="16"/>
                <w:szCs w:val="16"/>
                <w:color w:val="auto"/>
              </w:rPr>
              <w:t>consulting</w:t>
            </w:r>
          </w:p>
        </w:tc>
        <w:tc>
          <w:tcPr>
            <w:tcW w:w="92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8"/>
        </w:trPr>
        <w:tc>
          <w:tcPr>
            <w:tcW w:w="800" w:type="dxa"/>
            <w:vAlign w:val="bottom"/>
          </w:tcPr>
          <w:p>
            <w:pPr>
              <w:ind w:left="160"/>
              <w:spacing w:after="0"/>
              <w:rPr>
                <w:sz w:val="20"/>
                <w:szCs w:val="20"/>
                <w:color w:val="auto"/>
              </w:rPr>
            </w:pPr>
            <w:r>
              <w:rPr>
                <w:rFonts w:ascii="Arial" w:cs="Arial" w:eastAsia="Arial" w:hAnsi="Arial"/>
                <w:sz w:val="16"/>
                <w:szCs w:val="16"/>
                <w:color w:val="auto"/>
              </w:rPr>
              <w:t>services</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Balance as of June 30, 2021</w:t>
            </w: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393,227</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(262,567)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130,663</w:t>
            </w:r>
          </w:p>
        </w:tc>
        <w:tc>
          <w:tcPr>
            <w:tcW w:w="0" w:type="dxa"/>
            <w:vAlign w:val="bottom"/>
          </w:tcPr>
          <w:p>
            <w:pPr>
              <w:spacing w:after="0"/>
              <w:rPr>
                <w:sz w:val="1"/>
                <w:szCs w:val="1"/>
                <w:color w:val="auto"/>
              </w:rPr>
            </w:pPr>
          </w:p>
        </w:tc>
      </w:tr>
      <w:tr>
        <w:trPr>
          <w:trHeight w:val="195"/>
        </w:trPr>
        <w:tc>
          <w:tcPr>
            <w:tcW w:w="800" w:type="dxa"/>
            <w:vAlign w:val="bottom"/>
          </w:tcPr>
          <w:p>
            <w:pPr>
              <w:ind w:left="16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192"/>
        </w:trPr>
        <w:tc>
          <w:tcPr>
            <w:tcW w:w="206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w w:val="97"/>
              </w:rPr>
              <w:t>Stock-based compensation</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92"/>
        </w:trPr>
        <w:tc>
          <w:tcPr>
            <w:tcW w:w="2060" w:type="dxa"/>
            <w:vAlign w:val="bottom"/>
            <w:gridSpan w:val="5"/>
          </w:tcPr>
          <w:p>
            <w:pPr>
              <w:ind w:left="160"/>
              <w:spacing w:after="0"/>
              <w:rPr>
                <w:sz w:val="20"/>
                <w:szCs w:val="20"/>
                <w:color w:val="auto"/>
              </w:rPr>
            </w:pPr>
            <w:r>
              <w:rPr>
                <w:rFonts w:ascii="Arial" w:cs="Arial" w:eastAsia="Arial" w:hAnsi="Arial"/>
                <w:sz w:val="16"/>
                <w:szCs w:val="16"/>
                <w:color w:val="auto"/>
                <w:w w:val="91"/>
              </w:rPr>
              <w:t>Issuance of common stock in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60" w:type="dxa"/>
            <w:vAlign w:val="bottom"/>
            <w:gridSpan w:val="5"/>
          </w:tcPr>
          <w:p>
            <w:pPr>
              <w:ind w:left="160"/>
              <w:spacing w:after="0"/>
              <w:rPr>
                <w:sz w:val="20"/>
                <w:szCs w:val="20"/>
                <w:color w:val="auto"/>
              </w:rPr>
            </w:pPr>
            <w:r>
              <w:rPr>
                <w:rFonts w:ascii="Arial" w:cs="Arial" w:eastAsia="Arial" w:hAnsi="Arial"/>
                <w:sz w:val="16"/>
                <w:szCs w:val="16"/>
                <w:color w:val="auto"/>
              </w:rPr>
              <w:t>warrants in the June 2021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Pr>
          <w:p>
            <w:pPr>
              <w:ind w:left="160"/>
              <w:spacing w:after="0"/>
              <w:rPr>
                <w:sz w:val="20"/>
                <w:szCs w:val="20"/>
                <w:color w:val="auto"/>
              </w:rPr>
            </w:pPr>
            <w:r>
              <w:rPr>
                <w:rFonts w:ascii="Arial" w:cs="Arial" w:eastAsia="Arial" w:hAnsi="Arial"/>
                <w:sz w:val="16"/>
                <w:szCs w:val="16"/>
                <w:color w:val="auto"/>
                <w:w w:val="99"/>
              </w:rPr>
              <w:t>Inducement Transaction, net of</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160"/>
              <w:spacing w:after="0"/>
              <w:rPr>
                <w:sz w:val="20"/>
                <w:szCs w:val="20"/>
                <w:color w:val="auto"/>
              </w:rPr>
            </w:pPr>
            <w:r>
              <w:rPr>
                <w:rFonts w:ascii="Arial" w:cs="Arial" w:eastAsia="Arial" w:hAnsi="Arial"/>
                <w:sz w:val="16"/>
                <w:szCs w:val="16"/>
                <w:color w:val="auto"/>
              </w:rPr>
              <w:t>discounts and commissions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connection with the exercise of</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stock warrants</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192"/>
        </w:trPr>
        <w:tc>
          <w:tcPr>
            <w:tcW w:w="2380" w:type="dxa"/>
            <w:vAlign w:val="bottom"/>
          </w:tcPr>
          <w:p>
            <w:pPr>
              <w:ind w:left="160"/>
              <w:spacing w:after="0"/>
              <w:rPr>
                <w:sz w:val="20"/>
                <w:szCs w:val="20"/>
                <w:color w:val="auto"/>
              </w:rPr>
            </w:pPr>
            <w:r>
              <w:rPr>
                <w:rFonts w:ascii="Arial" w:cs="Arial" w:eastAsia="Arial" w:hAnsi="Arial"/>
                <w:sz w:val="16"/>
                <w:szCs w:val="16"/>
                <w:color w:val="auto"/>
              </w:rPr>
              <w:t>Issuance of common stock in</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160"/>
              <w:spacing w:after="0"/>
              <w:rPr>
                <w:sz w:val="20"/>
                <w:szCs w:val="20"/>
                <w:color w:val="auto"/>
              </w:rPr>
            </w:pPr>
            <w:r>
              <w:rPr>
                <w:rFonts w:ascii="Arial" w:cs="Arial" w:eastAsia="Arial" w:hAnsi="Arial"/>
                <w:sz w:val="16"/>
                <w:szCs w:val="16"/>
                <w:color w:val="auto"/>
              </w:rPr>
              <w:t>exchange for consulting</w:t>
            </w:r>
          </w:p>
        </w:tc>
        <w:tc>
          <w:tcPr>
            <w:tcW w:w="420" w:type="dxa"/>
            <w:vAlign w:val="bottom"/>
          </w:tcPr>
          <w:p>
            <w:pPr>
              <w:spacing w:after="0"/>
              <w:rPr>
                <w:sz w:val="17"/>
                <w:szCs w:val="17"/>
                <w:color w:val="auto"/>
              </w:rPr>
            </w:pPr>
          </w:p>
        </w:tc>
        <w:tc>
          <w:tcPr>
            <w:tcW w:w="6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400" w:type="dxa"/>
            <w:vAlign w:val="bottom"/>
            <w:vMerge w:val="restart"/>
          </w:tcPr>
          <w:p>
            <w:pPr>
              <w:spacing w:after="0"/>
              <w:rPr>
                <w:sz w:val="17"/>
                <w:szCs w:val="17"/>
                <w:color w:val="auto"/>
              </w:rPr>
            </w:pPr>
          </w:p>
        </w:tc>
        <w:tc>
          <w:tcPr>
            <w:tcW w:w="58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400" w:type="dxa"/>
            <w:vAlign w:val="bottom"/>
            <w:vMerge w:val="restart"/>
          </w:tcPr>
          <w:p>
            <w:pPr>
              <w:spacing w:after="0"/>
              <w:rPr>
                <w:sz w:val="17"/>
                <w:szCs w:val="17"/>
                <w:color w:val="auto"/>
              </w:rPr>
            </w:pPr>
          </w:p>
        </w:tc>
        <w:tc>
          <w:tcPr>
            <w:tcW w:w="6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420" w:type="dxa"/>
            <w:vAlign w:val="bottom"/>
            <w:vMerge w:val="restart"/>
          </w:tcPr>
          <w:p>
            <w:pPr>
              <w:spacing w:after="0"/>
              <w:rPr>
                <w:sz w:val="17"/>
                <w:szCs w:val="17"/>
                <w:color w:val="auto"/>
              </w:rPr>
            </w:pPr>
          </w:p>
        </w:tc>
        <w:tc>
          <w:tcPr>
            <w:tcW w:w="62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400" w:type="dxa"/>
            <w:vAlign w:val="bottom"/>
            <w:vMerge w:val="restart"/>
          </w:tcPr>
          <w:p>
            <w:pPr>
              <w:spacing w:after="0"/>
              <w:rPr>
                <w:sz w:val="17"/>
                <w:szCs w:val="17"/>
                <w:color w:val="auto"/>
              </w:rPr>
            </w:pPr>
          </w:p>
        </w:tc>
        <w:tc>
          <w:tcPr>
            <w:tcW w:w="5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8"/>
        </w:trPr>
        <w:tc>
          <w:tcPr>
            <w:tcW w:w="2380" w:type="dxa"/>
            <w:vAlign w:val="bottom"/>
          </w:tcPr>
          <w:p>
            <w:pPr>
              <w:ind w:left="160"/>
              <w:spacing w:after="0"/>
              <w:rPr>
                <w:sz w:val="20"/>
                <w:szCs w:val="20"/>
                <w:color w:val="auto"/>
              </w:rPr>
            </w:pPr>
            <w:r>
              <w:rPr>
                <w:rFonts w:ascii="Arial" w:cs="Arial" w:eastAsia="Arial" w:hAnsi="Arial"/>
                <w:sz w:val="16"/>
                <w:szCs w:val="16"/>
                <w:color w:val="auto"/>
              </w:rPr>
              <w:t>services</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5"/>
              </w:rPr>
              <w:t>Balance as of September 30, 2021</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   $</w:t>
            </w:r>
          </w:p>
        </w:tc>
        <w:tc>
          <w:tcPr>
            <w:tcW w:w="11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   $</w:t>
            </w: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396,059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131,737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STATEMENTS OF CHANGES IN STOCKHOLDERS’ DEFICIT,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right="320" w:hanging="160"/>
        <w:spacing w:after="0" w:line="265" w:lineRule="auto"/>
        <w:rPr>
          <w:sz w:val="20"/>
          <w:szCs w:val="20"/>
          <w:color w:val="auto"/>
        </w:rPr>
      </w:pPr>
      <w:r>
        <w:rPr>
          <w:rFonts w:ascii="Arial" w:cs="Arial" w:eastAsia="Arial" w:hAnsi="Arial"/>
          <w:sz w:val="16"/>
          <w:szCs w:val="16"/>
          <w:color w:val="auto"/>
        </w:rPr>
        <w:t>Balance as of January 1, 2020 Net loss</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Stock-based compensation expense</w:t>
      </w:r>
    </w:p>
    <w:p>
      <w:pPr>
        <w:spacing w:after="0" w:line="1"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in connection with equity line of credit</w:t>
      </w:r>
    </w:p>
    <w:p>
      <w:pPr>
        <w:spacing w:after="0" w:line="2" w:lineRule="exact"/>
        <w:rPr>
          <w:sz w:val="20"/>
          <w:szCs w:val="20"/>
          <w:color w:val="auto"/>
        </w:rPr>
      </w:pPr>
    </w:p>
    <w:p>
      <w:pPr>
        <w:ind w:left="160"/>
        <w:spacing w:after="0" w:line="264" w:lineRule="auto"/>
        <w:rPr>
          <w:sz w:val="20"/>
          <w:szCs w:val="20"/>
          <w:color w:val="auto"/>
        </w:rPr>
      </w:pPr>
      <w:r>
        <w:rPr>
          <w:rFonts w:ascii="Arial" w:cs="Arial" w:eastAsia="Arial" w:hAnsi="Arial"/>
          <w:sz w:val="16"/>
          <w:szCs w:val="16"/>
          <w:color w:val="auto"/>
        </w:rPr>
        <w:t>Issuance of common stock in connection with Deerfield Optional Conversion Feature Recognition of deferred offering costs in connection with equity line of credit Offering expenses charged to equity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 2020</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Stock-based compensation</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expense</w:t>
      </w:r>
    </w:p>
    <w:p>
      <w:pPr>
        <w:spacing w:after="0" w:line="18"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in connection with equity line of credit</w:t>
      </w:r>
    </w:p>
    <w:p>
      <w:pPr>
        <w:spacing w:after="0" w:line="2"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Issuance of common stock in connection with Deerfield Optional Conversion Feature Offering expenses charged to equity</w:t>
      </w:r>
    </w:p>
    <w:p>
      <w:pPr>
        <w:spacing w:after="0" w:line="3" w:lineRule="exact"/>
        <w:rPr>
          <w:sz w:val="20"/>
          <w:szCs w:val="20"/>
          <w:color w:val="auto"/>
        </w:rPr>
      </w:pPr>
    </w:p>
    <w:p>
      <w:pPr>
        <w:jc w:val="both"/>
        <w:ind w:left="160"/>
        <w:spacing w:after="0" w:line="266" w:lineRule="auto"/>
        <w:rPr>
          <w:sz w:val="20"/>
          <w:szCs w:val="20"/>
          <w:color w:val="auto"/>
        </w:rPr>
      </w:pPr>
      <w:r>
        <w:rPr>
          <w:rFonts w:ascii="Arial" w:cs="Arial" w:eastAsia="Arial" w:hAnsi="Arial"/>
          <w:sz w:val="16"/>
          <w:szCs w:val="16"/>
          <w:color w:val="auto"/>
        </w:rPr>
        <w:t>Issuance of common stock in exchange for consulting services</w:t>
      </w:r>
    </w:p>
    <w:p>
      <w:pPr>
        <w:spacing w:after="0" w:line="2" w:lineRule="exact"/>
        <w:rPr>
          <w:sz w:val="20"/>
          <w:szCs w:val="20"/>
          <w:color w:val="auto"/>
        </w:rPr>
      </w:pPr>
    </w:p>
    <w:p>
      <w:pPr>
        <w:ind w:left="160" w:right="440" w:hanging="160"/>
        <w:spacing w:after="0" w:line="265" w:lineRule="auto"/>
        <w:rPr>
          <w:sz w:val="20"/>
          <w:szCs w:val="20"/>
          <w:color w:val="auto"/>
        </w:rPr>
      </w:pPr>
      <w:r>
        <w:rPr>
          <w:rFonts w:ascii="Arial" w:cs="Arial" w:eastAsia="Arial" w:hAnsi="Arial"/>
          <w:sz w:val="16"/>
          <w:szCs w:val="16"/>
          <w:color w:val="auto"/>
        </w:rPr>
        <w:t>Balance as of June 30, 2020 Net loss</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Stock-based compensation expense</w:t>
      </w:r>
    </w:p>
    <w:p>
      <w:pPr>
        <w:spacing w:after="0" w:line="1" w:lineRule="exact"/>
        <w:rPr>
          <w:sz w:val="20"/>
          <w:szCs w:val="20"/>
          <w:color w:val="auto"/>
        </w:rPr>
      </w:pPr>
    </w:p>
    <w:p>
      <w:pPr>
        <w:ind w:left="160" w:right="220"/>
        <w:spacing w:after="0" w:line="288" w:lineRule="auto"/>
        <w:rPr>
          <w:sz w:val="20"/>
          <w:szCs w:val="20"/>
          <w:color w:val="auto"/>
        </w:rPr>
      </w:pPr>
      <w:r>
        <w:rPr>
          <w:rFonts w:ascii="Arial" w:cs="Arial" w:eastAsia="Arial" w:hAnsi="Arial"/>
          <w:sz w:val="15"/>
          <w:szCs w:val="15"/>
          <w:color w:val="auto"/>
        </w:rPr>
        <w:t>Issuance of common stock in connection with Deerfield Optional Conversion Feature Issuance of common stock in exchange for consulting services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Balance as of September 30, 2020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4"/>
        </w:trPr>
        <w:tc>
          <w:tcPr>
            <w:tcW w:w="10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Series B-1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Series B-2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Convertible</w:t>
            </w:r>
          </w:p>
        </w:tc>
        <w:tc>
          <w:tcPr>
            <w:tcW w:w="1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Convertible</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w w:val="96"/>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02"/>
        </w:trPr>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w w:val="97"/>
              </w:rPr>
              <w:t>Accumulated</w:t>
            </w:r>
          </w:p>
        </w:tc>
        <w:tc>
          <w:tcPr>
            <w:tcW w:w="116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Stockholders'</w:t>
            </w:r>
          </w:p>
        </w:tc>
      </w:t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171,258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(74,456)</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(5,754)</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1,029</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1,112</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9,600</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93"/>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198"/>
        </w:trPr>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182,793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(251,468)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(68,675)</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859</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1,191</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3,150</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594"/>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187,746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(250,609)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(62,863)</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(3,009)</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385</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3,113</w:t>
            </w:r>
          </w:p>
        </w:tc>
      </w:tr>
      <w:tr>
        <w:trPr>
          <w:trHeight w:val="594"/>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191,291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-5297805</wp:posOffset>
            </wp:positionV>
            <wp:extent cx="713295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-5033645</wp:posOffset>
            </wp:positionV>
            <wp:extent cx="7132955" cy="255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-4393565</wp:posOffset>
            </wp:positionV>
            <wp:extent cx="7132955" cy="38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-3625850</wp:posOffset>
            </wp:positionV>
            <wp:extent cx="7132955" cy="255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-3232785</wp:posOffset>
            </wp:positionV>
            <wp:extent cx="713295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-2849245</wp:posOffset>
            </wp:positionV>
            <wp:extent cx="7132955" cy="384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-2081530</wp:posOffset>
            </wp:positionV>
            <wp:extent cx="7132955" cy="25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-1441450</wp:posOffset>
            </wp:positionV>
            <wp:extent cx="713295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-1176655</wp:posOffset>
            </wp:positionV>
            <wp:extent cx="7132955" cy="255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-537210</wp:posOffset>
            </wp:positionV>
            <wp:extent cx="7132955" cy="384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384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20"/>
            <w:col w:w="8860"/>
          </w:cols>
          <w:pgMar w:left="320" w:top="125" w:right="3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unaudited condensed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60" w:type="dxa"/>
            <w:vAlign w:val="bottom"/>
          </w:tcPr>
          <w:p>
            <w:pPr>
              <w:jc w:val="center"/>
              <w:ind w:left="2230"/>
              <w:spacing w:after="0"/>
              <w:rPr>
                <w:sz w:val="20"/>
                <w:szCs w:val="20"/>
                <w:color w:val="auto"/>
              </w:rPr>
            </w:pPr>
            <w:r>
              <w:rPr>
                <w:rFonts w:ascii="Arial" w:cs="Arial" w:eastAsia="Arial" w:hAnsi="Arial"/>
                <w:sz w:val="18"/>
                <w:szCs w:val="18"/>
                <w:b w:val="1"/>
                <w:bCs w:val="1"/>
                <w:color w:val="auto"/>
              </w:rPr>
              <w:t>KEMPHARM, INC.</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920" w:type="dxa"/>
            <w:vAlign w:val="bottom"/>
            <w:gridSpan w:val="3"/>
          </w:tcPr>
          <w:p>
            <w:pPr>
              <w:jc w:val="center"/>
              <w:ind w:left="1690"/>
              <w:spacing w:after="0"/>
              <w:rPr>
                <w:sz w:val="20"/>
                <w:szCs w:val="20"/>
                <w:color w:val="auto"/>
              </w:rPr>
            </w:pPr>
            <w:r>
              <w:rPr>
                <w:rFonts w:ascii="Arial" w:cs="Arial" w:eastAsia="Arial" w:hAnsi="Arial"/>
                <w:sz w:val="18"/>
                <w:szCs w:val="18"/>
                <w:b w:val="1"/>
                <w:bCs w:val="1"/>
                <w:color w:val="auto"/>
                <w:w w:val="98"/>
              </w:rPr>
              <w:t>UNAUDITED CONDENSED STATEMENTS OF CASH FLOWS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60" w:type="dxa"/>
            <w:vAlign w:val="bottom"/>
          </w:tcPr>
          <w:p>
            <w:pPr>
              <w:jc w:val="center"/>
              <w:ind w:left="223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08"/>
        </w:trPr>
        <w:tc>
          <w:tcPr>
            <w:tcW w:w="7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76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Amortization of debt issuance costs and debt discount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estimated deferred offering costs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Loss on sublease and disposal of property and equipment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Consulting fees paid in common stock</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and other receivables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3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Proceeds from Public Offering, net of discounts and commissions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January 2021 Inducement Transaction, net of discounts and commissions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Proceeds from June 2021 Inducement Transaction, net of discounts and commissions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equity line of credit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Proceeds from Payment Protection Program loan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Repayment of principal on finance lease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Repayment of principal on convertible notes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proceeds from exercise of common stock warrants</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115,979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127,181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(2020), end of period</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131,503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63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Notes principal converted to Series B-2 Preferred Stock</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2019 Notes principal converted to common stock</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Commitment shares issued in connection with equity line of credit included in deferred offering costs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Amounts due for property and equipment included in accounts payable and accrued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for deferred offering costs included in accounts payable and accrued expenses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Fair value of warrants issued to underwriters in connection with Public Offering</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ectPr>
          <w:pgSz w:w="11900" w:h="16838" w:orient="portrait"/>
          <w:cols w:equalWidth="0" w:num="1">
            <w:col w:w="11240"/>
          </w:cols>
          <w:pgMar w:left="320" w:top="107"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46" w:lineRule="exact"/>
        <w:rPr>
          <w:sz w:val="20"/>
          <w:szCs w:val="20"/>
          <w:color w:val="auto"/>
        </w:rPr>
      </w:pPr>
    </w:p>
    <w:p>
      <w:pPr>
        <w:ind w:left="460" w:hanging="453"/>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KemPharm, Inc. (the “Company”) is a specialty pharmaceutical company focused on the discovery and development of proprietary prodrugs to treat serious medical conditions through its proprietary Ligand Activated Therapy ("LAT") technology. The Company utilizes its proprietary LAT technology to generate improved prodrug versions of U.S. Food and Drug Administration (the "FDA") approved drugs as well as to generate prodrug versions of existing compounds that may have applications for new disease indications. The Company's prodrug product candidate pipeline is focused on the high need areas of attention deficit hyperactivity disorder ("ADHD"), stimulant use disorder ("SUD") and central nervous system ("CNS") rare diseases, including idiopathic hypersomnia ("IH"). In addition, the Company has received FDA approval for AZSTARYS (formerly referred to as KP415), a new once-daily treatment for ADHD in patients age six years and older, and for APADAZ, an immediate-release combination product containing benzhydrocodone, a prodrug of hydrocodone, and acetaminophen.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of America ("U.S. GAAP") for interim financial information and with the instructions to Form 10-Q and Rule 8-03 of Regulation S-X. Accordingly, they do not include all of the information and related notes required by U.S. GAAP for complete financial statements. In the opinion of management, all adjustments (consisting of normal recurring adjustments) considered necessary for a fair presentation have been included in the accompanying financial statements. Operating results for the three and nine months ended September 30, 2021 are not necessarily indicative of the results that may be expected for the full year ending December 31, 2021.</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interim information should be read in conjunction with the audited financial statements included in the Company’s Annual Report on Form 10-K for the fiscal year ended December 31, 2020, filed with the Securities and Exchange Commission (“SEC”) on March 12,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23, 2020, the Company completed a one-for-sixteen reverse stock split (the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 and the par value of the Company’s common stock remained unchanged at $0.0001 per share. No fractional shares were issued in connection with the Reverse Stock Split. Stockholders who otherwise held fractional shares of the Company’s common stock as a result of the Reverse Stock Split received a cash payment in lieu of such fractional shares. Except where disclosed, all amounts related to number of shares and per share amounts have been retroactively restated in these unaudited condensed financial statements to reflect this Reverse Stock Split.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2020 ELOC Agreement</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2020, the Company entered into a purchase agreement for an equity line of credit (the “2020 ELOC Agreement”) with Lincoln Park Capital, LLC ("Lincoln Park") which provides that, upon the terms and subject to the conditions and limitations set forth therein, the Company may sell to Lincoln Park up to $4.0 million of shares of common stock from time to time over the 12-month term of the 2020 ELOC Agreement, and upon execution of the 2020 ELOC Agreement the Company issued an additional 19,289 shares of common stock to Lincoln Park as commitment shares in accordance with the closing conditions within the 2020 ELOC Agreement. Concurrently with entering into the 2020 ELOC Agreement, the Company also entered into a registration rights agreement with Lincoln Park (the “2020 ELOC Registration Rights Agreement”) pursuant to which the Company agreed to register the sale of the shares of common stock that have been and may be issued to Lincoln Park under the 2020 ELOC Agreement pursuant to the Company’s existing shelf registration statement on Form S-3 or a new registration statement. In May 2020, the Company reached the maximum allowable shares to be issued under the registration statement of 579,260 shares (inclusive of the 19,289 commitment shares) as defined in Section 2(f)(i) of the 2020 ELOC Agreement and therefore cannot issue additional shares under the 2020 ELOC Agreement. Through May 2020, the Company sold 559,971 shares of common stock to Lincoln Park (exclusive of the 19,289 commitment shares) under the 2020 ELOC Agreement for gross proceeds of approximately $2.3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S-1 (File No. 333-250945) and a related prospectus, in each case filed with the Securities and Exchange Commission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On January 8, 2021, the Underwriter exercised its over-allotment option, in part, for warrants to purchase 754,035 shares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on February 1, 2021, the Underwriter again exercised its over-allotment option to purchase 374,035 shares of common stock.</w:t>
      </w:r>
    </w:p>
    <w:p>
      <w:pPr>
        <w:spacing w:after="0" w:line="20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Capital Market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On January 7, 2021, the Company’s common stock was approved for listing on The Nasdaq Capital Market. The Company’s common stock began trading on The Nasdaq Capital Market on January 8, 2021 under the ticker symbol “KMPH”.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2021 ATM Agreement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September 30, 2021, no shares have been issued or sold under the 2021 ATM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preparation of unaudited condensed financial statements in conformity with U.S. GAAP requires the Company to make estimates and assumptions that affect the amounts reported in the unaudited condensed financial statements and accompanying notes. Actual results could differ from those estimates.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starting January 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Multiple-Performance Obligations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From time to time, the Company enters into arrangements for research and development, manufacturing and/or commercialization services. Such arrangements may 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licensing agreements with licensees that fall under the scope of ASC 606.</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milestone payments (variable consideration),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ectPr>
          <w:pgSz w:w="11900" w:h="16838" w:orient="portrait"/>
          <w:cols w:equalWidth="0" w:num="1">
            <w:col w:w="11240"/>
          </w:cols>
          <w:pgMar w:left="320" w:top="125" w:right="339" w:bottom="432"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432"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KP415 License Agreement</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September 2019, the Company entered into a Collaboration and License Agreement (the “KP415 License Agreement”) with Commave Therapeutics SA, an affiliate of Gurnet Point Capital (“Commave”). Under the KP415 License Agreement, the Company granted to Commave an exclusive, worldwide license to develop, manufacture and commercialize the Company’s product candidates containing SDX and d-methylphenidate (“d-MPH”), including AZSTARYS, KP484, and, at the option of Commave, KP879, KP922 or any other product candidate developed by the Company containing SDX and developed to treat ADHD or any other CNS disorder (the “Additional Product Candidates” and, collectively with AZSTARYS and KP484, the “Licensed Product Candidates”). Pursuant to the KP415 License Agreement, Commave (i) paid the Company an upfront payment of $10.0 million; (ii) agreed to pay milestone payments of up to $63.0 million upon the occurrence of specified regulatory milestones related to AZSTARYS and KP484;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Commave also agreed to be responsible for and reimburse the Company for all of the development, commercialization and regulatory expenses incurred on the licensed products, subject to certain limitations as set forth in the KP415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KP415 License Agreement also established a joint steering committee, which monitors progress of the development of both AZSTARYS and KP484. Subject to the oversight of the joint steering committee, the Company otherwise retains all responsibility for the conduct of all regulatory activities required to obtain new drug application approval of AZSTARYS and KP484; provided that Commave shall be the sponsor of any clinical trials conducted by the Company on behalf of Commave.</w:t>
      </w:r>
    </w:p>
    <w:p>
      <w:pPr>
        <w:spacing w:after="0" w:line="1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accordance with the terms of the Company’s March 20, 2012 Termination Agreement with Aquestive Therapeutics (formerly known as MonoSol Rx, LLC), Aquestive Therapeutics has the right to receive an amount equal to 10% of any royalty or milestone payments made to the Company related to AZSTARYS, KP484, KP879 or KP1077 under the KP415 License Agreement.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KP415 License Agreement is within the scope of ASC 606, as the transaction represents a contract with a customer where the participants function in a customer / vendor relationship and are not exposed equally to the risks and rewards of the activities contemplated under the KP415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KP415 License Agreement) which was allocated among the performance obligations based on their respective related stand-alone selling price.</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of transaction. The Company determined that the intellectual property licensed under the KP415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KP415 License Agreement.</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consideration allocated to the performance of consulting services, which includes the reimbursement of out-of-pocket third-party research and development costs, was the fair value of the Development Costs (as defined in the KP415 License Agreement), which reflects the standalone selling price. The Company utilized a blended approach which took into consideration the adjusted market assessment approach and the expected cost plus a margin approach to determine this standalone selling price. This blended approach utilized the adjusted market approach and expected cost plus margin approach to value the performance of consulting services which included analyzing hourly rates of vendors in a market who perform similar services to those of the Company to develop a range and then analyzing the average cost per hour of our internal resources and applying a margin which placed the value in the median of the previously identified range. For the reimbursement of out-of-pocket third-party research and development costs the Company utilized the expected cost plus a margin approach, which included estimating the actual out-of-pocket cost the Company expects to pay to third-parties for research and development costs and applying a margin, if necessary. The Company determined that no margin was necessary for these out-of-pocket third-party research and development costs as these are purely pass-through costs and the margin for managing these third-party activities is included within the value of the performance of consulting services. The Company determined that the performance of consulting services, including reimbursement of out-of-pocket third-party research and development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out-of-pocket third-party research and development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discussed above, the combination of the standalone selling price of these consulting services and certain out-of-pocket third-party research and development costs for AZSTARYS was the fair value of the Development Costs at inception. These Development Costs effectively created a cap on certain consulting services and out-of-pocket third-party research and development costs identified in the initial product development plan for AZSTARYS which was anticipated at the inception date of the KP415 License Agreement. As of September 30, 2021, the Company has recognized all of the consulting services and out-of-pocket third-party research and development costs under this cap.</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KP415 License Agreement, Commave was granted an exclusive right to first negotiation whereby upon completion of a Phase 1 proof-of-concept study, the Company and Commave may negotiate the economic terms under which certain Additional Products may be included as a Product (both as defined in the KP415 License Agreement) under the KP415 License Agreement (the “Additional Product Option”). In addition to the Additional Product Option, Commave was also granted a right of first refusal (“ROFR”) to acquire, license and/or commercialize any of the Additional Product Candidates should they choose not to exercise the Additional Product Option. Should Commave choose to exercise the Additional Product Option on any Additional Product Candidates, Commave and the Company shall negotiate in good faith regarding the economic terms of such Additional Product Candidate. Further, should Commave exercise the ROFR on any Additional Product Candidate, the economic terms of the agreement shall be the same as those offered to the third-party. Under ASC 606 an option to acquire additional goods or services gives rise to a performance obligation if the option provides a material right to the customer. The Company concluded that the above-described Additional Product Option and ROFR do not constitute material rights to the customer as Commave would acquire the goods or services at a to be negotiated price, which the Company expects to approximate fair value and therefore Commave would not receive a material discount on these goods or services compared to market rates.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entitled to additional payments from Commave conditioned upon the achievement of specified regulatory milestones related to AZSTARYS and KP484 and the achievement of certain U.S. sales milestones. Further, Commave will pay the Company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in May 2020, the FDA accepted the Company’s NDA for AZSTARYS. Per the KP415 License Agreement, the Company received a regulatory milestone payment of $5.0 million following the FDA’s acceptance of the AZSTARYS NDA. Since the FDA accepted the Company’s NDA for AZSTARYS the constraint was removed and revenue recognized. The associated revenue was allocated among the two performance obligations identified at contract inception. Since both performance obligations were satisfied as of the end of the second quarter of 2020 the full $5.0 million payment was recognized as revenue during the second quarter of 2020.</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2021, the Company entered into Amendment No. 1 to the KP415 Amendment (the "KP415 Amendment"). Pursuant to the KP415 Amendment, the Company and Commave agreed to modify the compensation terms of the KP415 License Agreement. Pursuant to the KP415 Amendment, Commave paid the Company $10.0 million in connection with the entry into the KP415 Amendment as a result of the regulatory approval of AZSTARYS in the United States which occurred on March 2, 2021. Commave also paid the Company $10.0 million following the receipt of the scheduling determination of the compound SDX by the U.S. Drug Enforcement Agency (the "DEA"), which occurred on May 7, 2021. In addition, the KP415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Commave agreed to pay the Company quarterly, tiered royalty payments ranging from a percentage in the high single digits to the mid-twenties of Net Sales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Commave and the Company also agreed to modify Commave’s ROFR such that the Company’s product candidate, KP922, is no longer subject to Commave’ ROFR to acquire, license or commercialize any Additional Product Candidate. Commave’s ROFR shall only apply to any Additional Product Candidate which contains SDX, with such ROFR expiring upon the acceptance of an NDA for such Additional Product Candidate containing SDX.</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Per the KP415 Amendment, the Company earned a regulatory milestone payment of $10.0 million following the FDA’s approval of the AZSTARYS NDA, in March 2021, as well as $10.0 million following the DEA's scheduling of SDX in May 2021. Since the FDA approved the NDA for AZSTARYS and the DEA scheduled SDX the constraints were removed and revenue recognized. The associated revenue was allocated among the two performance obligations identified at contract inception. Since both performance obligations were satisfied as of the end of the first quarter of 2021 the full $10.0 million for each milestone was recognized as revenue during the first quarter and second quarter of 2021, respectively. In accordance with ASC 340-40, </w:t>
      </w:r>
      <w:r>
        <w:rPr>
          <w:rFonts w:ascii="Arial" w:cs="Arial" w:eastAsia="Arial" w:hAnsi="Arial"/>
          <w:sz w:val="18"/>
          <w:szCs w:val="18"/>
          <w:i w:val="1"/>
          <w:iCs w:val="1"/>
          <w:color w:val="auto"/>
        </w:rPr>
        <w:t>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the Company recognized $1.0 million of royalty costs due to payment to Aquestive related to the regulatory milestones earned and recorded 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item titled royalty and direct contract acquisition costs in the unaudited condensed statements of operations for first and second quarter of 2021, respectively.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months ended September 30, 2021, the Company recognized minimal revenue under the KP415 License Agreement. For the three months ended September 30, 2020, the Company recognized no revenue under the KP415 License Agreement. For the nine months ended September 30, 2021 and 2020, the Company recognized revenue under the KP415 License Agreement of $20.0 million and $7.3 million, respectively. There was no deferred revenue related to this agreement as of September 30, 2021 or December 31,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APADAZ License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2018, the Company entered into a Collaboration and License Agreement (the “APADAZ License Agreement”) with KVK Tech, Inc. (“KVK”) pursuant to which we have granted an exclusive license to KVK to conduct regulatory activities for, manufacture and commercialize APADAZ in the United States.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APADAZ License Agreement, KVK agreed to pay the Company certain payments and cost reimbursements of an estimated $3.4 million, which includes a payment of $2.0 million within 10 days of the achievement of a specified milestone related to the initial formulary adoption of APADAZ (the “Initial Adoption Milestone”). In addition, KVK has agreed to make additional payments to the Company upon the achievement of specified sales milestones of up to $53.0 million in the aggregate. Further, the Company and KVK will share the quarterly net profits of APADAZ by KVK in the United States at specified tiered percentages, ranging from the Company receiving 30% to 50% of net profits, based on the amount of net sales on a rolling four quarter basis. The Company is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KVK may terminate the APADAZ License Agreement without cause upon 18 months prior written notice. The Company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if the other party encounters bankruptcy or insolvency or (iii) if the Initial Adoption Milestone is not achieved. Upon termination, all licenses and other rights granted by the Company to KVK pursuant to the APADAZ License Agreement would revert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enters into consulting arrangements with third-parties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Corium Consulting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is responsible for leading all commercialization activities for AZSTARYS under the KP415 License Agreement, as discussed above.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Corium Consulting Agreement, the Company is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the Company for all development, commercialization and regulatory expenses incurred as part of the performance of the Corium Consulting Services.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Using the concepts of ASC 606,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is constrained by considering both the likelihood and magnitude of the potential revenue reversal.</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September 30, 2021, the Company has recognized approximately 70% of the consulting services and third-party pass-through costs under the Corium Consulting Agreement.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and nine months ended September 30, 2021, the Company recognized revenue under the Corium Consulting Agreement of $2.0 million and $5.9 million, respectively. For each of the three and nine months ended September 30, 2020, the Company recognized revenue under the Corium Consulting Agreement of $1.9 million. As of September 30, 2021, the Company had deferred revenue related to this agreement of $0.3 million. As of December 31, 2020, the Company had deferred revenue related to this agreement of $0.1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Consulting Arrangements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three months ended September 30, 2021 and 2020, the Company recognized no revenue under other consulting arrangements. For the nine months ended September 30, 2021 and 2020, the Company recognized revenue under other consulting arrangements of $0.2 million and $1.7 million, respectively. There was no deferred revenue from other consulting arrangements as of September 30, 2021 or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Accounts and other receivables consist of receivables under the KP415 License Agreement and Corium Consulting Agreement, as well as receivables related to other consulting arrangements, income tax receivables and other receivables due to the Company. Receivables under the KP415 License Agreement and Corium Consulting Agreement are recorded for amounts due to the Company related to reimbursable third-party costs and performance of consulting services. These receivables, as well as the receivables related to other consulting arrangements, are evaluated to determine if any reserve or allowance should be established at each reporting date. As of September 30, 2021, the Company had receivables related to the Corium Consulting Agreement of $1.2 million and other consulting arrangements of $0.1 million. As of December 31, 2020, the Company had receivables related to the Corium Consulting Agreement of $2.1 million and other consulting arrangements of $0.4 million. As of September 30, 2021, and December 31, 2020, no reserve or allowance for doubtful accounts has been established.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Standards—Adopted</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w:t>
      </w:r>
      <w:r>
        <w:rPr>
          <w:rFonts w:ascii="Arial" w:cs="Arial" w:eastAsia="Arial" w:hAnsi="Arial"/>
          <w:sz w:val="18"/>
          <w:szCs w:val="18"/>
          <w:color w:val="auto"/>
        </w:rPr>
        <w:t>—</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with a methodology that reflects expected credit losses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consideration of a broader range of reasonable and supportable information to inform credit loss estimates. This update applies to all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This guidance is effective for financial statements issued for fiscal years beginning after December 15, 2019, and interim periods within those fiscal years. The adoption of ASU 2016-13 did not have a material impact on the Company’s financial statements and disclosures.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w:t>
      </w:r>
      <w:r>
        <w:rPr>
          <w:rFonts w:ascii="Arial" w:cs="Arial" w:eastAsia="Arial" w:hAnsi="Arial"/>
          <w:sz w:val="17"/>
          <w:szCs w:val="17"/>
          <w:i w:val="1"/>
          <w:iCs w:val="1"/>
          <w:color w:val="auto"/>
        </w:rPr>
        <w:t>Disclosure Framework</w:t>
      </w:r>
      <w:r>
        <w:rPr>
          <w:rFonts w:ascii="Arial" w:cs="Arial" w:eastAsia="Arial" w:hAnsi="Arial"/>
          <w:sz w:val="17"/>
          <w:szCs w:val="17"/>
          <w:color w:val="auto"/>
        </w:rPr>
        <w:t>—</w:t>
      </w:r>
      <w:r>
        <w:rPr>
          <w:rFonts w:ascii="Arial" w:cs="Arial" w:eastAsia="Arial" w:hAnsi="Arial"/>
          <w:sz w:val="17"/>
          <w:szCs w:val="17"/>
          <w:i w:val="1"/>
          <w:iCs w:val="1"/>
          <w:color w:val="auto"/>
        </w:rPr>
        <w:t>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(“ASU 2018-13”), 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Measurement, based on the concepts in the FASB Concepts Statement, </w:t>
      </w:r>
      <w:r>
        <w:rPr>
          <w:rFonts w:ascii="Arial" w:cs="Arial" w:eastAsia="Arial" w:hAnsi="Arial"/>
          <w:sz w:val="17"/>
          <w:szCs w:val="17"/>
          <w:i w:val="1"/>
          <w:iCs w:val="1"/>
          <w:color w:val="auto"/>
        </w:rPr>
        <w:t>Conceptual Framework for Financial Reporting</w:t>
      </w:r>
      <w:r>
        <w:rPr>
          <w:rFonts w:ascii="Arial" w:cs="Arial" w:eastAsia="Arial" w:hAnsi="Arial"/>
          <w:sz w:val="17"/>
          <w:szCs w:val="17"/>
          <w:color w:val="auto"/>
        </w:rPr>
        <w:t>—</w:t>
      </w:r>
      <w:r>
        <w:rPr>
          <w:rFonts w:ascii="Arial" w:cs="Arial" w:eastAsia="Arial" w:hAnsi="Arial"/>
          <w:sz w:val="17"/>
          <w:szCs w:val="17"/>
          <w:i w:val="1"/>
          <w:iCs w:val="1"/>
          <w:color w:val="auto"/>
        </w:rPr>
        <w:t>Chapter 8: Notes to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which the FASB finalized on August 28, 2018, including the consideration of costs and benefits. This update applies to all entities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under existing U.S. GAAP, to make disclosures about recurring or nonrecurring fair value measurements. This guidance is effective for financial statements issued for fiscal years beginning after December 15, 2019, and interim periods within those fiscal years.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adoption of ASU 2018-13 did not have a material impact on the Company’s financial statements and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Standards—Not Yet Adopted</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w:t>
      </w:r>
      <w:r>
        <w:rPr>
          <w:rFonts w:ascii="Arial" w:cs="Arial" w:eastAsia="Arial" w:hAnsi="Arial"/>
          <w:sz w:val="18"/>
          <w:szCs w:val="18"/>
          <w:color w:val="auto"/>
        </w:rPr>
        <w:t>’</w:t>
      </w:r>
      <w:r>
        <w:rPr>
          <w:rFonts w:ascii="Arial" w:cs="Arial" w:eastAsia="Arial" w:hAnsi="Arial"/>
          <w:sz w:val="18"/>
          <w:szCs w:val="18"/>
          <w:i w:val="1"/>
          <w:iCs w:val="1"/>
          <w:color w:val="auto"/>
        </w:rPr>
        <w:t>s Own Equity (Subtopic 815-40);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(“ASU 2020-06”),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FASB specified that an entity should adopt the guidance as of the beginning of its annual fiscal year. The Company does not believe the adoption of ASU 2020-06 will have a material impact on the Company’s financial statements and disclosures.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Compensation—Stock Compensation (Topic 718), and Derivatives and Hedging— Contracts in Entity’s Own Equity (Subtopic 815-40); Issuer’s Accounting for Certain Modifications or Exchanges of Freestanding Equity-Classified Written Call Options, a consensus of the FASB Emerging Issues Task Force </w:t>
      </w:r>
      <w:r>
        <w:rPr>
          <w:rFonts w:ascii="Arial" w:cs="Arial" w:eastAsia="Arial" w:hAnsi="Arial"/>
          <w:sz w:val="16"/>
          <w:szCs w:val="16"/>
          <w:color w:val="auto"/>
        </w:rPr>
        <w:t>(“ASU 2021-04”), which aims to clarify and reduce diversity in issuer's accounting for modifications or exchanges of freestanding equity-classified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FASB specified that an entity should adopt the guidance as of the beginning of its annual fiscal year. The Company does not believe the adoption of ASU 2021-04 will have a material impact on the Company’s financial statements and disclosures.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2021, the Company had no convertible notes outstanding. As of December 31, 2020, the Company had convertible notes outstanding in the aggregate principal amount of $68.2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 Agreement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 Deerfield was able to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December 2020, the conversion price became $93.60.</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Deerfield Convertible Note originally bore interest at 9.75% per annum, but was subsequently reduced to 6.75%. Interest accrued on the outstanding balance under the Deerfield Convertible Note was due quarterly in arrears. The Company originally had to repay one-third of the outstanding principal amount of the Deerfield Convertible Note on the fourth and fifth anniversaries of the Deerfield Facility Agreement ( June 2018 and June 2019). In June 2018, Deerfield agreed to convert the $3,333,333 of the principal amount then due, plus $168,288 of accrued interest, into 37,410 shares of our common stock (as discussed below in the section entitled “Facility Agreement Waiver and Fifth Amendment to Senior Secured Convertible Note”). In September 2019,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(as discussed below in the section entitled “2021 Note Exchange Effected in September 2019”). In December 2019, the Company entered into another amendment with Deerfield in order to (i) defer the Loan payments due pursuant to the Deerfield Facility Agreement until March 31, 2021 and (ii) allow for the entries of additional debt and debt holders under the Deerfield Facility Agreement (as discussed below in the section entitled “2021 Note Exchange Effected in December 2019”). The Company was also obligated to repay principal of the Deerfield Convertible Note in the amount of $6,980,824 plus any capitalized interest to date on March 31, 2021. Prepayment of the outstanding balance was not allowed without written consent of Deerfield.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Deerfield Facility Agreement, the Company issued to Deerfield a warrant to purchase 14,423,076 shares of Series D Preferred at an initial exercise price of $0.78 per share, which is exercisable until June 2, 2024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December 2020, the shares issuable upon conversion of the warrant became 120,192 shares of common stock, and the exercise price of the Deerfield Warrant became $93.60 per share, which in January 2021 and June 2021 was further adjusted to $46.25 and $38.34 per share, respectively, in connection with the Company entering into the January 2021 and June 2021 Inducement Transactions (as defined in Note F) each of which triggered the anti-dilution provisions of the Deerfield Warrant. This warrant qualifies as a participating security under ASC Topic 260, Earnings per Share, and is treated as such in the net loss per share calculation (Note I). If a Major Transaction occurs (as defined in the Deerfield Facility Agreement) Deerfield may require the Company to redeem the Deerfield Warrant for a cash amount equal to the Black-Scholes value of the portion of the Deerfield Warrant to be redeemed (the “Warrant Put Option”).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unaudited condensed statements of operations. In the first quarter of 2021, the debt was extinguished, through a series of debt payments and a conversion of debt principal and interest to Series B-2 Preferred Stock, as a result of the debt extinguishment the associated discount and debt issuance costs were written off and recorded as a loss on extinguishment.</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Deerfield Facility Agreement, the Company was not able to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had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Issuance of </w:t>
      </w:r>
      <w:r>
        <w:rPr>
          <w:rFonts w:ascii="Arial" w:cs="Arial" w:eastAsia="Arial" w:hAnsi="Arial"/>
          <w:sz w:val="18"/>
          <w:szCs w:val="18"/>
          <w:b w:val="1"/>
          <w:bCs w:val="1"/>
          <w:color w:val="auto"/>
        </w:rPr>
        <w:t>5.50%</w:t>
      </w:r>
      <w:r>
        <w:rPr>
          <w:rFonts w:ascii="Arial" w:cs="Arial" w:eastAsia="Arial" w:hAnsi="Arial"/>
          <w:sz w:val="18"/>
          <w:szCs w:val="18"/>
          <w:b w:val="1"/>
          <w:bCs w:val="1"/>
          <w:i w:val="1"/>
          <w:iCs w:val="1"/>
          <w:color w:val="auto"/>
        </w:rPr>
        <w:t xml:space="preserve"> Senior Convertible Notes and Third Amendment to Senior Secured Convertible Note and Warrant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2021 Notes were issued pursuant to an indenture, dated as of February 9, 2016 (the “Indenture”), between the Company and U.S. Bank National Association, as trustee (the “Trustee”). Interest on the 2021 Notes was payable semi-annually in cash in arrears on February 1 and August 1 of each year, beginning on August 1, 2016, at a rate of 5.50% per year. The 2021 Notes had an original maturity of February 1, 2021 unless earlier converted or repurchased.</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2021 Notes were not redeemable prior to the maturity date, and no sinking fund was provided for the 2021 Notes. The 2021 Notes were convertible at an initial conversion rate of 58.4454 shares of the Company’s common stock per $1,000 principal amount of the 2021 Notes, subject to adjustment under the Indenture, which is equal to an initial conversion price of approximately $17.11 per share of common stock. After giving effect to the Reverse Stock Split effected in December 2020, the conversion rate of the 2021 Notes would have been approximately 3.6528 shares of the Company’s common stock per $1,000 principal amount of the 2021 Notes, which is equal to a conversion price of approximately $273.76 per share.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Company underwent a “fundamental change” (as defined in the Indenture), holders could have required that the Company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Indenture included customary terms and covenants, including certain events of default after which the 2021 Notes may have become due and payable immediately.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in more detail below, in multiple exchanges occurring in December 2019 and January 2020, all outstanding 2021 Notes were exchanged by the holders thereof for either shares of our common stock or senior secured convertible promissory notes issued under the terms of the Deerfield Facility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December 2019</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2019, the Company entered into the December 2019 Exchange Agreement and Amendment to Facility Agreement, Senior Secured Convertible Notes and Warrants (the “December 2019 Exchange Agreement”) with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$71,418,011 (the “December 2019 Notes”), in exchange for the cancellation of an aggregate of $71,418,011 principal amount and accrued interest of the Company’s 2021 Notes. Upon entering into the December 2019 Exchange Agreement, the Company agreed to pay the December 2019 Holders, in the aggregate, an interest payment of $745,011 which represents 50% of the accrued interest, as of December 18, 2019, on the 2021 Notes owned by the December 2019 Holders. The remainder of such interest was included in the principal amount of the December 2019 Notes.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December 2019 Notes bore interest at 6.75% per annum. The December 2019 Notes were convertible into shares of the Company’s common stock at an initial conversion price of $17.11 per share (which represented the conversion price of the 2021 Notes), subject to adjustment in accordance with the terms of the December 2019 Notes. After giving effect to the Reverse Stock Split effected in December 2020, the conversion price of the December 2019 Notes would have been $273.76 per share. The Company subsequently amended the December 2019 Notes to provide that such notes would have been convertible into shares of the Company’s common stock at a conversion price of $93.60 per share (which represented the conversion price of the Deerfield Convertible Note). The conversion price of the December 2019 Notes would have been adjusted downward if the Company issued or sold any shares of common stock, convertible securities, warrants or options at a sale or exercise price per share less than the greater of the December 2019 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effected an “at the market offering” as defined in Rule 415 of the Securities Act, of its common stock, the conversion price of the December 2019 Notes would have been adjusted downward pursuant to this anti-dilution adjustment only if such sales were made at a price less than $93.60 per share, provided that this anti-dilution adjustment would not have applied to any sales made under (x) the 2020 ELOC Agreement, (y) the ATM Agreement, or (z) the September 2019 Exchange Agreement (as amended). Notwithstanding anything to the contrary in the December 2019 Notes, the anti-dilution adjustment of such notes would not have resulted in the conversion price of the December 2019 Notes being less than $9.328 per share. The December 2019 Notes were convertible at any time at the option of the holders thereof, provided that a holder of a December 2019 Note was prohibited from converting such note into shares of the Company’s common stock if, as a result of such conversion, such holder (together with certain affiliates and “group” members) would have beneficially owned more than 4.985% of the total number of shares of common stock then issued and outstanding. However, the December 2019 Note issued to DSC, due to the fact DSC was a beneficial owner of more than 4.985% of the total number of shares of the Company’s common stock then issued and outstanding, had a beneficial ownership cap equal to 19.985% of the total number of shares of the Company’s common stock then issued and outstanding. Pursuant to the December 2019 Notes, the December 2019 Holders had the option to demand repayment of all outstanding principal, and any unpaid interest accrued thereon, in connection with a Major Transaction (as defined in the December 2019 Notes), which included, among others, any acquisition or other change of control of the Company; a liquidation, bankruptcy or other dissolution of the Company; or if at any time after March 31, 2021, shares of the Company’s common stock are not listed on an Eligible Market (as defined in the December 2019 Notes). The December 2019 Notes were subject to specified events of default, the occurrence of which would have entitled the December 2019 Holders to immediately demand repayment of all outstanding principal and accrued interest on the December 2019 Notes. Such events of default included, among others, failure to make any payment under the December 2019 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December 2019 Notes or the Deerfield Convertible Note.</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December 2019 Exchange Agreement amended the Deerfield Facility Agreement in order to, among other things, (i) provide for the Deerfield Facility Agreement to govern the December 2019 Notes received by the December 2019 Holders pursuant to the December 2019 Exchange Agreement, (ii) extend the maturity of the Deerfield Convertible Note from February 14, 2020 and June 1, 2020, as applicable, to March 31, 2021, (iii) defer interest payments on the Deerfield Convertible Note until March 31, 2021 (which such interest shall accrue as “payment-in-kind” interest), (iv) designate DSC as a Lender under (and as defined in the Deerfield Facility Agreement), (v) name Deerfield as the “Collateral Agent” for all Lenders and (vi) modify the terms and conditions under which the Company may issue additional pari passu and subordinated indebtedness under the Deerfield Facility Agreement (subject to certain conditions specified in the Deerfield Facility Agreement).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2019 Exchange Agreement also amended and restated the Deerfield Convertible Note to conform the definitions of “Eligible Market” and “Major Transactions” to the definition in the December 2019 Notes, to remove provisions that were only applicable prior to the Company’s initial public offering and to make certain other changes to conform to the December 2019 Notes. The conversion price for the Deerfield Convertible Note remained $93.60 per share, subject to adjustment on the same basis as the December 2019 Notes.</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December 2019 Exchange Agreement also amended the Deerfield Warrant to conform the definitions of “Eligible Market” and “Major Transaction” in the Deerfield Warrant with the definitions of such terms in the December 2019 Notes.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December 2019 Exchange Agreement contained customary representations, warranties and covenants made by the Company and the December 2019 Holders, including a covenant of the Company to, upon request, use commercially reasonable efforts to use its technology to discover a product based upon a compound that may be identified by the Deerfield Lenders in a manner that is reasonably acceptable to the Deerfield Lenders, or one of their affiliates, with the terms of such discovery plan, including the Company’s compensation thereunder, to be mutually agreed to by the parties.</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entering into the December 2019 Exchange Agreement, on December 18, 2019, the Company amended and restated that certain Guaranty and Security Agreement, dated June 2, 2014, by and between the Company and the other parties thereto (the “GSA”) to, among other things,</w:t>
      </w:r>
    </w:p>
    <w:p>
      <w:pPr>
        <w:spacing w:after="0" w:line="1" w:lineRule="exact"/>
        <w:rPr>
          <w:sz w:val="20"/>
          <w:szCs w:val="20"/>
          <w:color w:val="auto"/>
        </w:rPr>
      </w:pPr>
    </w:p>
    <w:p>
      <w:pPr>
        <w:ind w:right="20" w:firstLine="7"/>
        <w:spacing w:after="0" w:line="258" w:lineRule="auto"/>
        <w:tabs>
          <w:tab w:leader="none" w:pos="21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all of the notes will be secured by the liens securing the indebtedness under the Deerfield Facility Agreement, and (ii) name Deerfield as the “Collateral Agent” under the GSA.</w:t>
      </w:r>
    </w:p>
    <w:p>
      <w:pPr>
        <w:sectPr>
          <w:pgSz w:w="11900" w:h="16838" w:orient="portrait"/>
          <w:cols w:equalWidth="0" w:num="1">
            <w:col w:w="11240"/>
          </w:cols>
          <w:pgMar w:left="320" w:top="125" w:right="339" w:bottom="1103"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103"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entering into the December 2019 Exchange Agreement, the Company also entered into an amendment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 (ii) amend the common stock exchange price under the September 2019 Exchange Agreement to be a per share price equal to the greater of (x) $0.60, subject to adjustment to reflect stock splits and similar events, or (y) the average of the volume-weighted average prices of the Company’s common stock on each of the 15 trading days immediately preceding such exchange, (iii) provide that no more than 28,439,015 of shares of the Company’s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 These changes in the September 2019 Exchange Agreement Amendment significantly modified the Optional Exchange Principal Amount, as such after giving effect to the September Exchange Agreement Amendment the Optional Exchange Principal Amount ceases to exist the new optional exchanges are referred to as the Deerfield Optional Conversion Feature. After giving effect to the Reverse Stock Split effected in December 2020, the exchange price of the Deerfield Optional Conversion Feature would have been $9.60 per share or the average of the volume-weighted average price of the common stock on the principal securities exchange or trading market on which the common stock is then trading on each of the 15 trading days immediately preceding such exchange and the shares of the Company’s common stock issued pursuant to the optional exchanges would have been 1,777,437 shares of common stock.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entering into the September 2019 Amendment, the Company filed an amendment to the Series B-2 Certificate of Designation (the “Series B-2 Certificate of Designation Amendment”) with the Secretary of State of the State Delaware. The Series B-2 Certificate of Designation Amendment provides that each share of the Company’s Series B-2 preferred stock is convertible into shares of the Company’s common stock at a per share price equal to the common stock exchange price under the September 2019 Exchange Agreement, which equals the greater of (i) $9.60 (subject to adjustment to reflect stock splits and similar events), or (ii) the average of the volume-weighted average prices of the Company’s common stock on each of the 15 trading days immediately preceding such exchange.</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September 30, 2020, the Deerfield Lenders had converted all $17.1 million of principal under the December 2019 Notes into all 1,777,437 shares of common stock available under the Deerfield Optional Conversion Feature.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determined the changes to the Deerfield Convertible Note met the definition of a troubled debt restructuring under ASC 470-60, </w:t>
      </w:r>
      <w:r>
        <w:rPr>
          <w:rFonts w:ascii="Arial" w:cs="Arial" w:eastAsia="Arial" w:hAnsi="Arial"/>
          <w:sz w:val="18"/>
          <w:szCs w:val="18"/>
          <w:i w:val="1"/>
          <w:iCs w:val="1"/>
          <w:color w:val="auto"/>
        </w:rPr>
        <w:t>Troubled</w:t>
      </w:r>
      <w:r>
        <w:rPr>
          <w:rFonts w:ascii="Arial" w:cs="Arial" w:eastAsia="Arial" w:hAnsi="Arial"/>
          <w:sz w:val="18"/>
          <w:szCs w:val="18"/>
          <w:color w:val="auto"/>
        </w:rPr>
        <w:t xml:space="preserve"> </w:t>
      </w:r>
      <w:r>
        <w:rPr>
          <w:rFonts w:ascii="Arial" w:cs="Arial" w:eastAsia="Arial" w:hAnsi="Arial"/>
          <w:sz w:val="18"/>
          <w:szCs w:val="18"/>
          <w:i w:val="1"/>
          <w:iCs w:val="1"/>
          <w:color w:val="auto"/>
        </w:rPr>
        <w:t>Debt Restructurings by Debtors</w:t>
      </w:r>
      <w:r>
        <w:rPr>
          <w:rFonts w:ascii="Arial" w:cs="Arial" w:eastAsia="Arial" w:hAnsi="Arial"/>
          <w:sz w:val="18"/>
          <w:szCs w:val="18"/>
          <w:color w:val="auto"/>
        </w:rPr>
        <w:t>, as the Company was experiencing financial difficulties and Deerfield granted a concession. The amendments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Deerfield Convertible Note resulted in no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Notes, under the December 2019 Exchange Agreement, referred to after as the December 2019 Notes, were accounted for as a debt modification, prospectively, the December 2019 Notes will be carried net of the associated discount and debt issuance costs which will be amortized and recorded as interest expense using a modified effective interest rate based on the amendments.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January 2020</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2020, the Company entered into the January 2020 Exchange Agreement (the “January 2020 Exchange Agreement”) with M. Kingdon Offshore Master Fund, LP (“Kingdon”). Under the January 2020 Exchange Agreement, the Company issued a senior secured convertible note in the aggregate principal amount of $3,037,354 (the “January 2020 Note”) in exchange for the cancellation of an aggregate of $3,037,354 principal amount and accrued interest of the 2021 Note then owned by Kingdon. Upon entering into the January 2020 Exchange Agreement, the Company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entering into the January 2020 Exchange Agreement, the Company entered into an Amendment to Facility Agreement and December 2019 Notes and Consent (the “December 2019 Note Amendment”) with the December 2019 Holders that, among other things, (i) amended the December 2019 Notes to (a) reduce the Conversion Price (as defined in the December 2019 Notes) from $17.11 to $5.85 per share and (b) increased the Floor Price (as defined in the December 2019 Notes) from $0.38 to $0.583 per share, and (ii) amended the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December 2020, the Conversion Price became $93.60 per share and the Floor Price became $9.328 per share.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 under the January 2020 Exchange Agreement, referred to after as the January 2020 Note, were accounted for as a debt modification, prospectively, the January 2020 Note will be carried net of the associated discount and debt issuance costs which will be amortized and recorded as interest expense using a modified effective interest rate based on the amendments.</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and Amendment to Facility Agreement, Notes and Investors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Agreement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2020, the Company entered into a December 2020 Exchange Agreement and Amendment to Facility Agreement, Notes and Investors’ Rights Agreement, as amended (the “December 2020 Exchange Agreement”) with the Deerfield Lenders, DSC and Kingdon (collectively, the “Facility Agreement Note Holders”). Under the December 2020 Exchange Agreement, the Company and the Facility Agreement Note Holders agreed that (a) the Company will make a cash pre-payment of a portion of principal amount of the Deerfield Convertible Note, the December 2019 Notes and the January 2020 Note (collectively, the “Facility Agreement Notes”) to the Facility Agreement Note Holders (the “Debt Payment”) equal to approximately $30.3 million, plus accrued interest if such payment is made on or after January 1, 2021, and (b) subject to the satisfaction or waiver of certain conditions specified in the December 2020 Exchange Agreement, including the making of the Debt Payment, issue shares of its Series B-2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Q4 PIK Interest Payment (as defined in the December 2020 Exchange Agreement) (such transaction, the “December 2020 Exchange”).</w:t>
      </w:r>
    </w:p>
    <w:p>
      <w:pPr>
        <w:spacing w:after="0" w:line="18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The December 2020 Exchange Agreement amended the Facility Agreement Notes to provide that the failure of the Company’s common stock to remain listed on an eligible securities market will not constitute a “Major Transaction” unless such failure occurs after March 31, 2023.</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Subject to the satisfaction or waiver of certain conditions specified in the December 2020 Exchange Agreement, including the making of the Debt Payment and the consummation of the exchange, the December 2020 Exchange Agreement amended that certain Facility Agreement dated as of June 2, 2014, as amended (the “Facility Agreement”), by and among the Company and the Facility Agreement Note Holders in order to, among other things, (i) extend the maturity date of the Facility Agreement Notes to March 31, 2023, (ii) provide for cash payments of interest on the Loans (as defined in the Facility Agreement) for the periods following July 1, 2021, and (iii) provide for specified prepayment terms on the Loans.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December 2020 Exchange Agreement (as described in more detail below).</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Exchange Warrants issued pursuant to the December 2020 Exchange Agreement were exercisable for a number of shares of the Company’s common stock equal to 75% of the shares of common stock issuable upon conversion of the Series B-2 Preferred Stock issued in the Exchange (without regard for any beneficial ownership limitations included therein). The Exercise Warrants were subject to substantially the same terms and conditions as the warrants issued to the public in the public offering of the Company’s securities contemplated pursuant to a registration statement on Form S-1, file no. 333-250945 (the “Public Offering”), with an exercise price equal to the exercise price per share of the warrants issued in the Public Offering and provided that the Facility Agreement Note Holders will be limited from exercising such Exchange Warrants if, as a result of such exercise, such holders (together with certain affiliates and “group” members of such holders) would beneficially own more than 4.985% of the total number of shares of the Company’s common stock then issued and outstanding.</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anticipation of the Public Offering,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 The total outstanding principal and accrued interest under the Facility Notes was $69.4 million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December 2020 Exchange Agreement, the Company, on January 12, 2021, in connection with the closing of the Public Offering:</w:t>
      </w:r>
    </w:p>
    <w:p>
      <w:pPr>
        <w:spacing w:after="0" w:line="246" w:lineRule="exact"/>
        <w:rPr>
          <w:sz w:val="20"/>
          <w:szCs w:val="20"/>
          <w:color w:val="auto"/>
        </w:rPr>
      </w:pPr>
    </w:p>
    <w:p>
      <w:pPr>
        <w:ind w:left="460" w:right="240" w:hanging="224"/>
        <w:spacing w:after="0" w:line="181" w:lineRule="auto"/>
        <w:tabs>
          <w:tab w:leader="none" w:pos="460" w:val="left"/>
        </w:tabs>
        <w:numPr>
          <w:ilvl w:val="0"/>
          <w:numId w:val="7"/>
        </w:numPr>
        <w:rPr>
          <w:rFonts w:ascii="Arial" w:cs="Arial" w:eastAsia="Arial" w:hAnsi="Arial"/>
          <w:sz w:val="34"/>
          <w:szCs w:val="34"/>
          <w:color w:val="auto"/>
          <w:vertAlign w:val="subscript"/>
        </w:rPr>
      </w:pPr>
      <w:r>
        <w:rPr>
          <w:rFonts w:ascii="Arial" w:cs="Arial" w:eastAsia="Arial" w:hAnsi="Arial"/>
          <w:sz w:val="17"/>
          <w:szCs w:val="17"/>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202" w:lineRule="exact"/>
        <w:rPr>
          <w:rFonts w:ascii="Arial" w:cs="Arial" w:eastAsia="Arial" w:hAnsi="Arial"/>
          <w:sz w:val="34"/>
          <w:szCs w:val="34"/>
          <w:color w:val="auto"/>
          <w:vertAlign w:val="subscript"/>
        </w:rPr>
      </w:pPr>
    </w:p>
    <w:p>
      <w:pPr>
        <w:ind w:left="460" w:right="520" w:hanging="224"/>
        <w:spacing w:after="0" w:line="181" w:lineRule="auto"/>
        <w:tabs>
          <w:tab w:leader="none" w:pos="460" w:val="left"/>
        </w:tabs>
        <w:numPr>
          <w:ilvl w:val="0"/>
          <w:numId w:val="7"/>
        </w:numPr>
        <w:rPr>
          <w:rFonts w:ascii="Arial" w:cs="Arial" w:eastAsia="Arial" w:hAnsi="Arial"/>
          <w:sz w:val="34"/>
          <w:szCs w:val="34"/>
          <w:color w:val="auto"/>
          <w:vertAlign w:val="subscript"/>
        </w:rPr>
      </w:pPr>
      <w:r>
        <w:rPr>
          <w:rFonts w:ascii="Arial" w:cs="Arial" w:eastAsia="Arial" w:hAnsi="Arial"/>
          <w:sz w:val="17"/>
          <w:szCs w:val="17"/>
          <w:color w:val="auto"/>
        </w:rPr>
        <w:t>Made a payment of $30.3 million (the "Debt Payment"), in partial repayment of the remaining outstanding principal and accrued interest of the Facility Notes.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was prepayable upon specified conditions, and</w:t>
      </w:r>
    </w:p>
    <w:p>
      <w:pPr>
        <w:spacing w:after="0" w:line="222" w:lineRule="exact"/>
        <w:rPr>
          <w:rFonts w:ascii="Arial" w:cs="Arial" w:eastAsia="Arial" w:hAnsi="Arial"/>
          <w:sz w:val="18"/>
          <w:szCs w:val="18"/>
          <w:color w:val="auto"/>
        </w:rPr>
      </w:pPr>
    </w:p>
    <w:p>
      <w:pPr>
        <w:ind w:left="460" w:right="80" w:hanging="224"/>
        <w:spacing w:after="0" w:line="181" w:lineRule="auto"/>
        <w:tabs>
          <w:tab w:leader="none" w:pos="460" w:val="left"/>
        </w:tabs>
        <w:numPr>
          <w:ilvl w:val="0"/>
          <w:numId w:val="8"/>
        </w:numPr>
        <w:rPr>
          <w:rFonts w:ascii="Arial" w:cs="Arial" w:eastAsia="Arial" w:hAnsi="Arial"/>
          <w:sz w:val="34"/>
          <w:szCs w:val="34"/>
          <w:color w:val="auto"/>
          <w:vertAlign w:val="subscript"/>
        </w:rPr>
      </w:pPr>
      <w:r>
        <w:rPr>
          <w:rFonts w:ascii="Arial" w:cs="Arial" w:eastAsia="Arial" w:hAnsi="Arial"/>
          <w:sz w:val="17"/>
          <w:szCs w:val="17"/>
          <w:color w:val="auto"/>
        </w:rPr>
        <w:t>Interest would accrue at the rate of 6.75% per annum, payable quarterly, would be added to principal until June 30, 2021, and then be payable in cash thereafter.</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changes to the Facility Notes, under the December 2020 Exchange Agreement, were accounted for as a debt extinguishment as the cash flows immediately after the December 2020 Exchange Agreement were substantially different from the cash flows immediately prior to the December 2020 Exchange Agreement and while the Company was experiencing financial difficulties it was determined that the lender did not grant a concession. As such, a loss of extinguishment related to the extinguishment of the old notes is recorded in the unaudited condensed statement of operations for the nine months ended September 30, 2021 and additional debt issuance costs related the new notes were capitalized and amortized using the effective interest method through the Payoff of Facility Agreement Notes (discussed below).</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transactions contemplated under the December 2020 Exchange Agreement, including the obligation to pre-pay any portion of the Facility Agreement Notes or to complete the Exchange and the effectiveness of the amendments to the Facility Agreement, the Notes and the IRA, were subject to specified conditions of closing, including certain closing of the Public Offering, the filing of the Restated Series B-2 Certificate of Designation (as defined below) and the approval for listing of the Company’s common stock, including the shares issuable upon conversion of the Series B-2 Preferred Stock and exercise of the Exchange Warrants, on the Nasdaq Capital Market.</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a condition to closing of the December 2020 Exchange Agreement, the Company filed an Amended and Restated Certificate of Designation of Preferences, Rights and Limitations of Series B-2 Convertible Preferred Stock (the “Restated Series B-2 Certificate of Designation”) with the Secretary of State of the State Delaware, setting forth the preferences, rights and limitations of the Series B-2 Preferred Stock.</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share of Series B-2 Preferred Stock had an aggregate stated value of $1,000 and was convertible into shares of the Company’s common stock at a per share price equal to the price per share to the public of the Company’s common stock in the Public Offering (subject to adjustment to reflect stock splits and similar events).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Series B-2 Preferred Stock was convertible at any time on or after the PDUFA Date (as defined in the Restated Series B-2 Certificate of Designation) at the option of the holders thereof; provided that the holders thereof will be prohibited from converting shares of Series B-2 Preferred Stock into shares of the Company’s common stock if, as a result of such conversion, such holders (together with certain affiliates and “group” members of such Holders) would beneficially own more than 4.985% of the total number of shares of the Company’s common stock then issued and outstanding. The Series B-2 Preferred Stock is not redeemable. In the event of the Company’s liquidation, dissolution or winding up or a change in control of the Company (each, a “Liquidation Event”), the holders of Series B-2 Preferred Stock will receive, prior to any distribution or payment on our common stock, an amount equal to the greater of</w:t>
      </w:r>
    </w:p>
    <w:p>
      <w:pPr>
        <w:spacing w:after="0" w:line="3" w:lineRule="exact"/>
        <w:rPr>
          <w:sz w:val="20"/>
          <w:szCs w:val="20"/>
          <w:color w:val="auto"/>
        </w:rPr>
      </w:pPr>
    </w:p>
    <w:p>
      <w:pPr>
        <w:jc w:val="both"/>
        <w:ind w:firstLine="7"/>
        <w:spacing w:after="0" w:line="266" w:lineRule="auto"/>
        <w:tabs>
          <w:tab w:leader="none" w:pos="214" w:val="left"/>
        </w:tabs>
        <w:numPr>
          <w:ilvl w:val="0"/>
          <w:numId w:val="9"/>
        </w:numPr>
        <w:rPr>
          <w:rFonts w:ascii="Arial" w:cs="Arial" w:eastAsia="Arial" w:hAnsi="Arial"/>
          <w:sz w:val="17"/>
          <w:szCs w:val="17"/>
          <w:color w:val="auto"/>
        </w:rPr>
      </w:pPr>
      <w:r>
        <w:rPr>
          <w:rFonts w:ascii="Arial" w:cs="Arial" w:eastAsia="Arial" w:hAnsi="Arial"/>
          <w:sz w:val="17"/>
          <w:szCs w:val="17"/>
          <w:color w:val="auto"/>
        </w:rPr>
        <w:t>$1,000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Liquidation Event, in each case, plus any declared but unpaid dividends thereon. With respect to rights upon liquidation, the Series B-2 Preferred Stock ranks senior to the common stock, on parity with any Parity Securities (as defined in the Restated Series B-2 Certificate of Designation) and junior to existing and future indebtedness. Except as otherwise required by law (or with respect to approval of certain actions involving the Company’s organizational documents that adversely affect the holders of Series B-2 Preferred Stock and other specified matters regarding the rights, preferences and privileges of the Series B-2 Preferred Stock), the Series B-2 Preferred Stock does not have voting rights. The Series B-2 Preferred Stock is not subject to any price-based anti-dilution protections and does not provide for any accruing dividends, but provides that holders of Series B-2 Preferred Stock will participate in any dividends on the Company’s common stock on an as-converted basis (without giving effect to the limitation on conversion described above). The Restated Series B-2 Certificate of Designation also provides for partial liquidated damages in the event that the Company fails to timely convert shares of Series B-2 Preferred Stock into common stock in accordance with the Restated Series B-2 Certificate of Designation.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the Company entered into a payoff letter with the Facility Agreement Note Holders, pursuant to which the Company agreed to pay off and thereby terminate the Facility Agreement.</w:t>
      </w:r>
    </w:p>
    <w:p>
      <w:pPr>
        <w:spacing w:after="0" w:line="17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Company determined the payoff letter met the liability derecognition threshold under ASC 405-20, </w:t>
      </w:r>
      <w:r>
        <w:rPr>
          <w:rFonts w:ascii="Arial" w:cs="Arial" w:eastAsia="Arial" w:hAnsi="Arial"/>
          <w:sz w:val="17"/>
          <w:szCs w:val="17"/>
          <w:i w:val="1"/>
          <w:iCs w:val="1"/>
          <w:color w:val="auto"/>
        </w:rPr>
        <w:t>Liabilities - Extinguishment of Liabilities</w:t>
      </w:r>
      <w:r>
        <w:rPr>
          <w:rFonts w:ascii="Arial" w:cs="Arial" w:eastAsia="Arial" w:hAnsi="Arial"/>
          <w:sz w:val="17"/>
          <w:szCs w:val="17"/>
          <w:color w:val="auto"/>
        </w:rPr>
        <w:t>, as the Company repaid the debt (and has been relieved of the related obligation) without entering into new debt with the Facility Agreement Note Holders and there is no other continuing debt with the Facility Agreement Note Holders. The payoff letter resulted in a loss on extinguishment of debt which is recorded on the unaudited condensed statements of operations for the nine months ended September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 April 23, 2020, the Company received proceeds of $0.8 million from the PPP Loan under the PPP of the CARES Act, a portion of which may be forgiven, which the Company used to retain current employees, maintain payroll and make lease and utility payments. In June 2021, the Company received notice from the U.S. Small Business Administration that the principal and interest due under its PPP Loan had been forgiven in full. This gain on extinguishment is shown within other income (expense) on the condensed statements of operations for the nine months ended September 30, 2021.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September 30, 2021, and December 31, 2020, no accruals have been made related to commitments and contingencies.</w:t>
      </w:r>
    </w:p>
    <w:p>
      <w:pPr>
        <w:spacing w:after="0" w:line="195" w:lineRule="exact"/>
        <w:rPr>
          <w:sz w:val="20"/>
          <w:szCs w:val="20"/>
          <w:color w:val="auto"/>
        </w:rPr>
      </w:pPr>
    </w:p>
    <w:p>
      <w:pPr>
        <w:ind w:left="460" w:hanging="453"/>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had 10,000,000 shares of authorized, unallocated and unissued preferred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2020, the Company had 10,000,000 shares of authorized preferred stock. The following shares of preferred stock were designated, issued and outstanding as of December 31, 2020:</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3960" w:type="dxa"/>
            <w:vAlign w:val="bottom"/>
          </w:tcPr>
          <w:p>
            <w:pPr>
              <w:spacing w:after="0"/>
              <w:rPr>
                <w:sz w:val="20"/>
                <w:szCs w:val="20"/>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Shares Authorized</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 Issued</w:t>
            </w:r>
          </w:p>
        </w:tc>
        <w:tc>
          <w:tcPr>
            <w:tcW w:w="80" w:type="dxa"/>
            <w:vAlign w:val="bottom"/>
          </w:tcPr>
          <w:p>
            <w:pPr>
              <w:spacing w:after="0"/>
              <w:rPr>
                <w:sz w:val="20"/>
                <w:szCs w:val="20"/>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0"/>
              </w:rPr>
              <w:t>Shares Outstanding</w:t>
            </w:r>
          </w:p>
        </w:tc>
      </w:tr>
      <w:tr>
        <w:trPr>
          <w:trHeight w:val="194"/>
        </w:trPr>
        <w:tc>
          <w:tcPr>
            <w:tcW w:w="3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Series A convertible preferred stock, $0.0001 par</w:t>
            </w: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9,578</w:t>
            </w: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9,577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01"/>
        </w:trPr>
        <w:tc>
          <w:tcPr>
            <w:tcW w:w="3960" w:type="dxa"/>
            <w:vAlign w:val="bottom"/>
          </w:tcPr>
          <w:p>
            <w:pPr>
              <w:spacing w:after="0" w:line="201" w:lineRule="exact"/>
              <w:rPr>
                <w:sz w:val="20"/>
                <w:szCs w:val="20"/>
                <w:color w:val="auto"/>
              </w:rPr>
            </w:pPr>
            <w:r>
              <w:rPr>
                <w:rFonts w:ascii="Arial" w:cs="Arial" w:eastAsia="Arial" w:hAnsi="Arial"/>
                <w:sz w:val="18"/>
                <w:szCs w:val="18"/>
                <w:color w:val="auto"/>
                <w:w w:val="96"/>
              </w:rPr>
              <w:t>Series B-1 convertible preferred stock, $0.0001 par</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value</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1,576</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9"/>
                <w:szCs w:val="19"/>
                <w:color w:val="auto"/>
              </w:rPr>
            </w:pPr>
          </w:p>
        </w:tc>
        <w:tc>
          <w:tcPr>
            <w:tcW w:w="1600" w:type="dxa"/>
            <w:vAlign w:val="bottom"/>
          </w:tcPr>
          <w:p>
            <w:pPr>
              <w:ind w:left="1320"/>
              <w:spacing w:after="0"/>
              <w:rPr>
                <w:sz w:val="20"/>
                <w:szCs w:val="20"/>
                <w:color w:val="auto"/>
              </w:rPr>
            </w:pPr>
            <w:r>
              <w:rPr>
                <w:rFonts w:ascii="Arial" w:cs="Arial" w:eastAsia="Arial" w:hAnsi="Arial"/>
                <w:sz w:val="18"/>
                <w:szCs w:val="18"/>
                <w:color w:val="auto"/>
              </w:rPr>
              <w:t>—</w:t>
            </w:r>
          </w:p>
        </w:tc>
      </w:tr>
      <w:tr>
        <w:trPr>
          <w:trHeight w:val="201"/>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B-2 convertible preferred stock, $0.0001 par</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Company filed with the Secretary of State of the State of Delaware: (i) a Certificate of Elimination of Series A Convertible Preferred Stock, eliminating from the Company’s Certificate of Incorporation the 9,578 shares designated as Series A Convertible Preferred Stock; (ii) a Certificate of Elimination of Series B-1 Convertible Preferred Stock, eliminating from the Company’s Certificate of Incorporation the 1,576 shares designated as Series B-1 Convertible Preferred Stock; and (iii) a Certificate of Elimination of Series B-2 Convertible Preferred Stock, eliminating from the Company’s Certificate of Incorporation the 31,480 shares designated as Series B-2 Convertible Preferred Stock. As of September 30, 2021, no shares of preferred stock were designated, issued or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Preferred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December 2020 Exchange Agreement, on January 12, 2021, the Company issued to the Facility Note Holders an aggregate of 31,476.98412 shares of its Series B-2 Preferred Stock and warrants exercisable for an aggregate of 3,632,019 shares of the Company’s common stock (the “Exchange Warrants”).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Series B-2 Preferred Stock was convertible into an aggregate of 4,842,690 shares of the Company’s common stock upon issuance at a conversion price equal to $6.4999. No fractional shares of common stock will be issued in connection with the conversion of the Series B-2 Preferred Stock. Instead, for any such fractional share that would have otherwise been issued upon conversion of a share of Series B-2 Preferred Stock, the Company will round such fraction up to the next whole share.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Certificate of Designation of Preferences, Rights and Limitations of the Series B-2 Convertible Preferred Stock</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11, 2021, as a condition to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Delaware, setting forth the preferences, rights and limitations of the Series B-2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closing of the Public Offering, pursuant to the terms of the December 2020 Exchange Agreement, the Company:</w:t>
      </w:r>
    </w:p>
    <w:p>
      <w:pPr>
        <w:spacing w:after="0" w:line="223" w:lineRule="exact"/>
        <w:rPr>
          <w:sz w:val="20"/>
          <w:szCs w:val="20"/>
          <w:color w:val="auto"/>
        </w:rPr>
      </w:pPr>
    </w:p>
    <w:p>
      <w:pPr>
        <w:ind w:left="460" w:hanging="224"/>
        <w:spacing w:after="0" w:line="27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Exchanged approximately $31.5 million (the "Exchange") of the outstanding principal and accrued interest on the Facility Notes for (i) the Series B-2 Preferred Stock and (ii) the Exchange Warrants; and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made a payment of approximately $30.3 million (the “Debt Payment”) in partial repayment of the remaining outstanding principal and accrued interest on the Facility Notes.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Upon the closing of the Exchange and related Debt Payment, the amendments to the Facility Agreement, the Notes and the Investors’ Rights Agreement, dated as of February 19, 2015, by and among the Company, Deerfield and the other parties signatory thereto, contemplated by the December 2020 Exchange Agreement that were conditional upon, among other things, the closing of the Public Offering, the filing of the Series B-2 Certificate of Designation and/or the approval for listing of the Company’s common stock, including the shares issuable upon conversion of the Series B-2 Preferred Stock and exercise of the Exchange Warrants, on the Nasdaq Capital Market, became effective on January 12,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March 2021, all shares of Series B-2 Preferred Stock converted into 4,842,699 shares of common stock.</w:t>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3"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As of September 30, 2021, and December 31, 2020, the Company had authorized shares of common stock of 250,000,000 shares. Of the authorized shares, 35,317,313 and 4,537,321 shares of common stock were issued and outstanding as of September 30, 2021, and December 31, 2020,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and December 31, 2020, the Company had reserved authorized shares of common stock for future issuance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Deerfield Convertible Note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81,101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Conversion of January 2020 Note</w:t>
            </w:r>
          </w:p>
        </w:tc>
        <w:tc>
          <w:tcPr>
            <w:tcW w:w="116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88"/>
              </w:rPr>
              <w:t>—</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34,615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December 2019 Notes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625,747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Outstanding awards under equity incentive plans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1,169,379</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355,785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4,252,600</w:t>
            </w: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151,442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Possible future issuances under equity incentive plans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4,314,435</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47,825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Possible future issuances under employee stock purchase plans</w:t>
            </w:r>
          </w:p>
        </w:tc>
        <w:tc>
          <w:tcPr>
            <w:tcW w:w="14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Total common shares reserved for future issuance</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11,236,414</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1,296,515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Common Stock Activity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600" w:type="dxa"/>
            <w:vAlign w:val="bottom"/>
            <w:gridSpan w:val="4"/>
          </w:tcPr>
          <w:p>
            <w:pPr>
              <w:spacing w:after="0"/>
              <w:rPr>
                <w:sz w:val="20"/>
                <w:szCs w:val="20"/>
                <w:color w:val="auto"/>
              </w:rPr>
            </w:pPr>
            <w:r>
              <w:rPr>
                <w:rFonts w:ascii="Arial" w:cs="Arial" w:eastAsia="Arial" w:hAnsi="Arial"/>
                <w:sz w:val="18"/>
                <w:szCs w:val="18"/>
                <w:color w:val="auto"/>
              </w:rPr>
              <w:t>The following table summarizes common stock activity for the nine months ended September 30, 2021:</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4"/>
              </w:rPr>
              <w:t>Shares of Common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Stock</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4,537,321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Common stock issued as a result of the Public Offering</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7,139,498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Common stock issued as a result of Series B-2 Preferred Stock conversions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4,842,699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Common stock issued as a result of warrant exercises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11,951,038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as compensation to third-parties</w:t>
            </w: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Balance as of March 31, 2021</w:t>
            </w:r>
          </w:p>
        </w:tc>
        <w:tc>
          <w:tcPr>
            <w:tcW w:w="1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28,480,156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for cash paid in lieu of DTC fractional shares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Common stock issued as a result of warrant exercises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6,489,183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as compensation to third-parties</w:t>
            </w: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9,940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Balance as of June 30, 2021</w:t>
            </w:r>
          </w:p>
        </w:tc>
        <w:tc>
          <w:tcPr>
            <w:tcW w:w="1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34,977,923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as a result of warrant exercises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332,289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Common stock issued as compensation to third-parties</w:t>
            </w:r>
          </w:p>
        </w:tc>
        <w:tc>
          <w:tcPr>
            <w:tcW w:w="1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7,101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35,317,313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7160" w:type="dxa"/>
            <w:vAlign w:val="bottom"/>
            <w:gridSpan w:val="2"/>
          </w:tcPr>
          <w:p>
            <w:pPr>
              <w:ind w:left="5540"/>
              <w:spacing w:after="0"/>
              <w:rPr>
                <w:sz w:val="20"/>
                <w:szCs w:val="20"/>
                <w:color w:val="auto"/>
              </w:rPr>
            </w:pPr>
            <w:r>
              <w:rPr>
                <w:rFonts w:ascii="Arial" w:cs="Arial" w:eastAsia="Arial" w:hAnsi="Arial"/>
                <w:sz w:val="18"/>
                <w:szCs w:val="18"/>
                <w:color w:val="auto"/>
              </w:rPr>
              <w:t>23</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2, 2014, pursuant to the terms of the Deerfield Facility Agreement, the Company issued the Deerfield Warrant to purchase 14,423,076 shares of Series D Preferred (Note C). The Company recorded the fair value of the Deerfield Warrant as a debt discount and a warrant liability. The Deerfield Warrant, if unexercised, expires on the earlier of June 2, 2024,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December 2020, the exercise price of the Deerfield Warrant became $93.60 and the shares of the Company’s common stock issuable upon exercise of the Deerfield Warrant became 120,192 shares of common stock. As a result of the January 2021 Inducement Transaction (discussed below) the anti-dilution provisions within the Deerfield Warrant were triggered and the exercise price was reduced from $93.60 per share to $46.25 per share. In addition, as a result of the June 2021 Warrant Inducement Transaction (discussed below) the anti-dilution provision within the Deerfield Warrant were triggered and the exercise price was reduced from $46.25 per share to $38.34 per share. The Company amortized the debt discount over the term of the Deerfield Convertible Note and the expense was recorded as interest expense related to amortization of debt issuance costs and discount in the unaudited condensed statements of operations. The Deerfield Convertible Note was extinguished in February 2021 and the remaining debt discount was written off and recognized as a loss on extinguishment of debt.</w:t>
      </w:r>
    </w:p>
    <w:p>
      <w:pPr>
        <w:spacing w:after="0" w:line="17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unaudited condensed statements of operations as a fair value adjustment (Note H).</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APADAZ License Agreement, in October 2018, 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statements of operations. Changes in the number of shares that are expected to be issued are treated as changes in variable consideration under ASC 606 and are recorded as a change in contract asset in the balance sheets. As of September 30, 2021 and December 31, 2020, a contract asset of $0.4 million is recorded in other long-term assets on the balance sheets related to the KVK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12, 2021,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The pre-funded warrants were exercisable, at the option of each holder, in whole or in part, by delivering to the Company a duly executed exercise notice accompanied by payment in full for the number of shares of common stock purchased upon such exercise. In lieu of making the cash payment otherwise contemplated to be made to the Company upon such exercise in payment of the aggregate exercise price, the holder was able to elect instead to receive upon such exercise (either in whole or in part) the net number of shares of common stock determined according to a formula set forth in the pre-funded warrants. In January 2021, all pre-funded warrants were exercised for 926,841 shares of common stock and gross proceeds of approximately $72.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January 12, 2021, pursuant to the terms of the Underwriting Agreement and December 2020 Exchange Agreement, the Company issued warrants to purchase 12,078,361 shares of the Company’s common stock (collectively, the “Offering Warrants”) in the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Offering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the Company’s outstanding common stock immediately after exercise. Except as otherwise provided in the Offering Warrants or by virtue of such holder’s ownership of shares of the Company’s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unaudited condensed balance sheets. As of September 30, 2021, 3,461,858 Offering Warrants have been exercised for 3,030,881 shares of common stock and gross proceeds of approximately $16.9 million. These amounts are exclusive of the Offering Warrants exercised as part of the January 2021 Inducement Transaction discussed below.</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Warrant</w:t>
      </w:r>
    </w:p>
    <w:p>
      <w:pPr>
        <w:spacing w:after="0" w:line="2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September 30, 2021, 400,000 Underwriter Warrants have been exercised for 400,000 shares of common stock and gross proceeds of approximately $3.3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2021 Warrant Exercise Inducement Letters and Issuance of Warrants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26, 2021, the Company entered into warrant exercise inducement offer letters ( “January 2021 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“January 2021 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January 2021 Inducement Warrants was $0.125 per share underlying each January 2021 Inducement Warrant, and the January 2021 Inducement Warrants have an exercise price of $6.36 per share. The Company received aggregate gross proceeds of approximately $44.0 million from the exercise of the Existing Warrants by the Exercising Holders and the sale of the January 2021 Inducement Warrants. The Company engaged Roth as its exclusive placement agent in connection with these transactions and paid Roth a fee equal to 6% of gross proceeds from the exercise of the Existing Warrants by the Exercising Holders and the sale of the January 2021 Inducement Warrants. As a result of this transaction the anti-dilution provisions contained with the Deerfield Warrant were triggered and the exercise price of the Deerfield Warrant was reduced from $93.60 per share to $46.25 per share.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January 2021 Inducement Warrants were immediately exercisable and expire on the fifth anniversary of their issuance date, at an exercise price per share of common stock equal to $6.36 per share. The January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January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January 2021 Inducement Warrant to the extent that the holder and its affiliates and any other person or entities with which such holder would constitute a Section 13(d) “group” would own more than 4.99% (or, upon election by a holder prior to the issuance of its January 2021 Inducement Warrants, 9.99%) of the Company’s outstanding common stock immediately after exercise. Except as otherwise provided in the January 2021 Inducement Warrants or by virtue of such holder’s ownership of shares of the Company’s common stock, the holders of the January 2021 Inducement Warrants do not have the rights or privileges of holders of common stock with respect to the shares of common stock underlying the January 2021 Inducement Warrants, including any voting rights, until they exercise their January 2021 Inducement Warrants. The January 2021 Inducement Warrants provide that holders have the right to participate in distributions or dividends paid on the Company’s common stock. In the event of a fundamental transaction, as described in the January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January 2021 Inducement Warrants will be entitled to receive upon exercise of the January 2021 Inducement Warrants the kind and amount of securities, cash or other property that the holders would have received had they exercised the January 2021 Inducement Warrants immediately prior to such fundamental transaction. In addition, in the event of a fundamental transaction which is approved by the Company’s board of directors, the holders of the January 2021 Inducement Warrants have the right to require the Company or a successor entity to redeem the January 2021 Inducement Warrants for cash in the amount of the Black Scholes value of the unexercised portion of the January 2021 Inducement Warrants on the date of the consummation of the fundamental transaction. In the event of a fundamental transaction which is not approved by the Company’s board of directors, the holders of the January 2021 Inducement Warrants have the right to require the Company or a successor entity to redeem the January 2021 Inducement Warrants in the amount of the Black Scholes value of the unexercised portion of the January 2021 Inducement Warrants on the date of the consummation of the fundamental transaction payable in the form of consideration paid to the holders of common stock in such fundamental transaction. As of September 30, 2021, 1,676,921 January 2021 Inducement Warrants have been exercised for 1,676,921 shares of common stock and gross proceeds of approximately $10.7 million. These amounts are exclusive of the January 2021 Inducement Warrants exercised as part of the June 2021 Inducement Transaction discussed below.</w:t>
      </w:r>
    </w:p>
    <w:p>
      <w:pPr>
        <w:spacing w:after="0" w:line="39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accordance with the January 2021 Inducement Transaction we recognized a deemed dividend of $37.4 million which is the difference between the grant date fair value of the January 2021 Inducement Warrants and the purchase price of the January 2021 Inducement Warrants. This deemed dividend is added to net loss to arrive at net loss attributable to common stockholders on the unaudited condensed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June 2021 Warrant Exercise Inducement Letters and Issuance of Warrants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18, 2021, the Company entered into warrant exercise inducement offer letters ( “June 2021 Inducement Transaction”) with certain holders of warrants issued in the January 2021 Inducement Transaction discussed above (the "January 2021 Inducement Warrants") (collectively, the “June 2021 Exercising Holders”) pursuant to which such holders agreed to exercise for cash their January 2021 Inducement Warrants to purchase 6,117,509 shares of the Company’s common stock in exchange for the Company’s agreement to issue new warrants (the “June 2021 Inducement Warrants”) on substantially the same terms as the January 2021 Inducement Warrants, except as set forth in the following sentence, to purchase up to 1,529,379 shares of the Company’s common stock, which is equal to 25% of the number of shares of the Company’s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Company received aggregate gross proceeds of approximately $39.1 million from the exercise of the January 2021 Inducement Warrants by the June 2021 Exercising Holders and the sale of the June 2021 Inducement Warrants. The Company engaged Roth as its exclusive placement agent in connection with these transactions and paid Roth a fee equal to 6% of gross proceeds from the exercise of the January 2021 Inducement Warrants by the June 2021 Exercising Holders and the sale of the June 2021 Inducement Warrants. As a result of this transaction the anti-dilution provisions contained with the Deerfield Warrant were triggered and the exercise price of the Deerfield Warrant was reduced from $46.25 per share to $38.34 per share.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June 2021 Inducement Warrants were immediately exercisable and expire on December 31, 2026, at an exercise price per share of common stock equal to $16.50 per share. The June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June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June 2021 Inducement Warrant to the extent that the holder and its affiliates and any other person or entities with which such holder would constitute a Section 13(d) “group” would own more than 4.99% (or, upon election by a holder prior to the issuance of its June 2021 Inducement Warrants, 9.99%) of the Company’s outstanding common stock immediately after exercise. Except as otherwise provided in the June 2021 Inducement Warrants or by virtue of such holder’s ownership of shares of the Company’s common stock, the holders of the June 2021 Inducement Warrants do not have the rights or privileges of holders of common stock with respect to the shares of common stock underlying the June 2021 Inducement Warrants, including any voting rights, until they exercise their June 2021 Inducement Warrants. The June 2021 Inducement Warrants provide that holders have the right to participate in distributions or dividends paid on the Company’s common stock. In the event of a fundamental transaction, as described in the June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June 2021 Inducement Warrants will be entitled to receive upon exercise of the June 2021 Inducement Warrants the kind and amount of securities, cash or other property that the holders would have received had they exercised the June 2021 Inducement Warrants immediately prior to such fundamental transaction. In addition, in the event of a fundamental transaction which is approved by the Company’s board of directors, the holders of the June 2021 Inducement Warrants have the right to require the Company or a successor entity to redeem the June 2021 Inducement Warrants for cash in the amount of the Black Scholes value of the unexercised portion of the June 2021 Inducement Warrants on the date of the consummation of the fundamental transaction. In the event of a fundamental transaction which is not approved by the Company’s board of directors, the holders of the June 2021 Inducement Warrants have the right to require the Company or a successor entity to redeem the June 2021 Inducement Warrants in the amount of the Black Scholes value of the unexercised portion of the June 2021 Inducement Warrants on the date of the consummation of the fundamental transaction payable in the form of consideration paid to the holders of common stock in such fundamental transaction. As of September 30, 2021, no June 2021 Inducement Warrants have been exercised.</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accordance with the June 2021 Inducement Transaction we recognized a deemed dividend of $16.9 million which is the difference between the grant date fair value of the June 2021 Inducement Warrants and the purchase price of the June 2021 Inducement Warrants. This deemed dividend is added to net loss to arrive at net loss attributable to common stockholders on the unaudited condensed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Board and the Company's stockholders approved an Amended and Restated 2014 Equity Incentive Plan (the "A&amp;R 2014 Plan") which among other things added 4.9 million shares to the maximum number of shares of common stock to be issued under the plan and extended the annual automatic increases (discussed further below) until January 1, 2031. The maximum number of shares of common stock that may be issued under the A&amp;R 2014 Plan is 5,489,660 as of September 30, 2021. The number of shares of common stock reserved for issuance under the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2014 Plan, on January 1, 2021, the common stock reserved for issuance under the 2014 Plan automatically increased by 181,492 shares.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2020, the Company granted to certain consultants fully vested restricted stock awards (“RSAs”) under the 2014 Plan. The RSAs were granted as compensation in accordance with each consultants consulting agreement for services performed during 2020. For the three and nine months ended September 30, 2020, RSAs were granted for a total of 1,384 and 9,205 shares of common stock, respectively. No RSAs were granted during the three and nine months ended September 30, 2021.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and nine months ended September 30, 2020, stock options were exercised for a total of 279 shares of common stock. No stock options were exercised during the three or nine months ended September 30, 2021.</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Stock-based compensation expense recorded under the Incentive Stock Plan and the 2014 Plan is included in the following line items in the accompanying statements of operations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Nine months ended</w:t>
            </w:r>
          </w:p>
        </w:tc>
      </w:tr>
      <w:tr>
        <w:trPr>
          <w:trHeight w:val="233"/>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08"/>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201</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419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866</w:t>
            </w:r>
          </w:p>
        </w:tc>
      </w:tr>
      <w:tr>
        <w:trPr>
          <w:trHeight w:val="215"/>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expense</w:t>
            </w: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gridSpan w:val="2"/>
          </w:tcPr>
          <w:p>
            <w:pPr>
              <w:jc w:val="right"/>
              <w:ind w:right="61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620</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385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2,034</w:t>
            </w:r>
          </w:p>
        </w:tc>
      </w:tr>
      <w:tr>
        <w:trPr>
          <w:trHeight w:val="20"/>
        </w:trPr>
        <w:tc>
          <w:tcPr>
            <w:tcW w:w="4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was $0.3 million of stock-based compensation expense related to performance-based awards recognized during the nine months ended September 30, 2020. There was $0.4 million of stock-based compensation expense related to performance-based awards recognized during the nine months ended September 30, 2021. There was no stock-based compensation expense related to performance-based awards recognized during the three months ended September 30, 2020, or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5" w:lineRule="exact"/>
        <w:rPr>
          <w:sz w:val="20"/>
          <w:szCs w:val="20"/>
          <w:color w:val="auto"/>
        </w:rPr>
      </w:pPr>
    </w:p>
    <w:p>
      <w:pPr>
        <w:ind w:left="460" w:hanging="224"/>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2" w:lineRule="exact"/>
        <w:rPr>
          <w:rFonts w:ascii="Arial" w:cs="Arial" w:eastAsia="Arial" w:hAnsi="Arial"/>
          <w:sz w:val="18"/>
          <w:szCs w:val="18"/>
          <w:color w:val="auto"/>
        </w:rPr>
      </w:pPr>
    </w:p>
    <w:p>
      <w:pPr>
        <w:ind w:left="460" w:hanging="224"/>
        <w:spacing w:after="0" w:line="24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ind w:left="460" w:hanging="224"/>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carrying amounts of certain financial instruments, including cash and cash equivalents, restricted cash and accounts payable and accrued expenses, approximate their respective fair values due to the short-term nature of such instruments.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the Deerfield Convertible Note, December 2019 Notes and the January 2020 Note were $7.3 million, $56.2 million and $3.1 million, respectively, as of December 31, 2020. The Deerfield Convertible Note, December 2019 Notes and the January 2020 Note were all extinguished in the first quarter of 2021 and therefore had no value as of September 30, 2021. The Deerfield Convertible Note, December 2019 Notes and the January 2020 Note fell within Level 3 of the fair value hierarchy as their value was based on the credit worthiness of the Company, which was an unobservable input. The Company used a Tsiveriotis-Fernandes model to value the Deerfield Convertible Note, December 2019 Notes and the January 2020 Note as of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September 30, 2021, and December 31, 2020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Balance as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Significant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September 30,</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Unobservable</w:t>
            </w:r>
          </w:p>
        </w:tc>
        <w:tc>
          <w:tcPr>
            <w:tcW w:w="1120" w:type="dxa"/>
            <w:vAlign w:val="bottom"/>
          </w:tcPr>
          <w:p>
            <w:pPr>
              <w:spacing w:after="0"/>
              <w:rPr>
                <w:sz w:val="18"/>
                <w:szCs w:val="18"/>
                <w:color w:val="auto"/>
              </w:rPr>
            </w:pPr>
          </w:p>
        </w:tc>
      </w:tr>
      <w:tr>
        <w:trPr>
          <w:trHeight w:val="233"/>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Inputs (Level 3)</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Deerfield Warrant liability</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Embedded Warrant Put Option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KVK Warrant liability</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8"/>
        </w:trPr>
        <w:tc>
          <w:tcPr>
            <w:tcW w:w="3820" w:type="dxa"/>
            <w:vAlign w:val="bottom"/>
            <w:gridSpan w:val="2"/>
          </w:tcPr>
          <w:p>
            <w:pPr>
              <w:ind w:left="1140"/>
              <w:spacing w:after="0"/>
              <w:rPr>
                <w:sz w:val="20"/>
                <w:szCs w:val="20"/>
                <w:color w:val="auto"/>
              </w:rPr>
            </w:pPr>
            <w:r>
              <w:rPr>
                <w:rFonts w:ascii="Arial" w:cs="Arial" w:eastAsia="Arial" w:hAnsi="Arial"/>
                <w:sz w:val="18"/>
                <w:szCs w:val="18"/>
                <w:color w:val="auto"/>
              </w:rPr>
              <w:t>Total liabilities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35</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spacing w:after="0" w:line="286" w:lineRule="auto"/>
        <w:rPr>
          <w:sz w:val="20"/>
          <w:szCs w:val="20"/>
          <w:color w:val="auto"/>
        </w:rPr>
      </w:pPr>
      <w:r>
        <w:rPr>
          <w:rFonts w:ascii="Arial" w:cs="Arial" w:eastAsia="Arial" w:hAnsi="Arial"/>
          <w:sz w:val="16"/>
          <w:szCs w:val="16"/>
          <w:color w:val="auto"/>
        </w:rPr>
        <w:t>Deerfield Warrant liability Embedded Warrant Put Option Deerfield Note Conversion Feature</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KVK Warrant liability</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Significant</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Balance as of</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Unobservable</w:t>
            </w:r>
          </w:p>
        </w:tc>
      </w:tr>
      <w:tr>
        <w:trPr>
          <w:trHeight w:val="233"/>
        </w:trPr>
        <w:tc>
          <w:tcPr>
            <w:tcW w:w="2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December 31, 2020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Inputs (Level 3)</w:t>
            </w:r>
          </w:p>
        </w:tc>
      </w:tr>
      <w:tr>
        <w:trPr>
          <w:trHeight w:val="194"/>
        </w:trPr>
        <w:tc>
          <w:tcPr>
            <w:tcW w:w="20" w:type="dxa"/>
            <w:vAlign w:val="bottom"/>
          </w:tcPr>
          <w:p>
            <w:pPr>
              <w:spacing w:after="0"/>
              <w:rPr>
                <w:sz w:val="16"/>
                <w:szCs w:val="16"/>
                <w:color w:val="auto"/>
              </w:rPr>
            </w:pPr>
          </w:p>
        </w:tc>
        <w:tc>
          <w:tcPr>
            <w:tcW w:w="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230</w:t>
            </w:r>
          </w:p>
        </w:tc>
        <w:tc>
          <w:tcPr>
            <w:tcW w:w="8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ind w:left="98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ind w:left="94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230</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-716280</wp:posOffset>
            </wp:positionV>
            <wp:extent cx="5699760" cy="136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-443230</wp:posOffset>
            </wp:positionV>
            <wp:extent cx="5699760" cy="136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-161290</wp:posOffset>
            </wp:positionV>
            <wp:extent cx="5699760" cy="161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620"/>
            <w:col w:w="6960"/>
          </w:cols>
          <w:pgMar w:left="320" w:top="125" w:right="339" w:bottom="1440" w:gutter="0" w:footer="0" w:header="0"/>
        </w:sectPr>
      </w:pP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Deerfield Warrant liability and embedded Warrant Put Option are, and the embedded Deerfield Note Put Option was, measured at fair value on a recurring basis. As of September 30, 2021, the Deerfield Warrant liability and embedded Warrant Put Option are, and as of December 31, 2020, the Deerfield Warrant liability, embedded Warrant Put Option and the embedded Deerfield Note Conversion Feature were, reported on the unaudited condensed balance sheets in derivative and warrant liability. The Company used a Monte Carlo simulation to value the Deerfield Warrant liability, embedded Warrant Put Option and the embedded Deerfield Note Conversion Feature for all periods presented.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and embedded Warrant Put Option are, and changes in the fair value of the embedded Deerfield Note Put Option were (through December 31, 2020), reflected in the unaudited condensed statements of operations for the three and nine months ended September 30, 2021, and 2020 as a fair value adjustment related to derivative and warrant liability.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derivative liability for the Deerfield Warrant was $339,000 and $230,000 at September 30, 2021, and December 31, 2020, respectively. The derivative liability for the embedded Warrant Put Option was $22,000 and $25,000 at September 30, 2021 and December 31, 2020, respectively. The derivative liability for the Deerfield Note Conversion Feature had no value at December 31, 2020. A 10% increase in the enterprise value would result in an increase of $58,000 in the estimated fair value of the Deerfield Warrant liability and an increase of $4,000 in the estimated fair value of the embedded Warrant Put Option liability. In addition, the Company assumed a weighted-average probability of a liquidity event occurring of approximately 23% with an estimated probability-weighted value of approximately $63.3 million and a weighted-average probability of a fundamental change event occurring of approximately 28% with an estimated probability-weighted value of approximately $800 million, respectively, with estimated timing in each scenario of the first quarter of 2023.</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KVK Warrant liability is measured at fair value on a recurring basis. As of September 30, 2021, and December 31, 2020, the KVK Warrant liability is reported on the unaudited condensed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unaudited condensed statements of operations for the three and nine months ended September 30, 2021, and 2020 as a fair value adjustment related to derivative and warrant liability.</w:t>
      </w:r>
    </w:p>
    <w:p>
      <w:pPr>
        <w:spacing w:after="0" w:line="17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Nine months ended</w:t>
            </w:r>
          </w:p>
        </w:tc>
        <w:tc>
          <w:tcPr>
            <w:tcW w:w="1120" w:type="dxa"/>
            <w:vAlign w:val="bottom"/>
          </w:tcPr>
          <w:p>
            <w:pPr>
              <w:spacing w:after="0"/>
              <w:rPr>
                <w:sz w:val="18"/>
                <w:szCs w:val="18"/>
                <w:color w:val="auto"/>
              </w:rPr>
            </w:pPr>
          </w:p>
        </w:tc>
      </w:tr>
      <w:tr>
        <w:trPr>
          <w:trHeight w:val="233"/>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5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Adjustment to fair value</w:t>
            </w:r>
          </w:p>
        </w:tc>
        <w:tc>
          <w:tcPr>
            <w:tcW w:w="8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(305)</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end of period</w:t>
            </w:r>
          </w:p>
        </w:tc>
        <w:tc>
          <w:tcPr>
            <w:tcW w:w="15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two-class method, for periods with net income, basic net income per share of common stock is computed by dividing the net income attributable to shares of common stock by the weighted average number of shares of common stock outstanding during the period. Net income attributable to shares of common stock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(loss) per share of common stock is computed under the two-class method by using the weighted average number of shares of common stock outstanding plus the potential dilutive effects of stock options and warrants. In addition, the Company analyzes the potential dilutive effect of the outstanding convertible securities under the if-converted method when calculating diluted income (loss) per share of common stock in which it is assumed that the outstanding convertible securities convert into common stock at the beginning of the period or date of issuance, if the convertible security was issued during the period. The Company reports the more dilutive of the approaches (two-class or if-converted) as its diluted net income (loss) per share of common stock during the period.</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Diluted net loss per share of common stock is the same as basic net loss per share of common stock for the three and nine months ended September 30, 2020, because the effects of potentially dilutive items were anti-dilutive for the respective periods. The following securities, presented on a common stock equivalent basis, have been excluded from the calculation of weighted average number of shares of common stock outstanding because their effect is anti-dilutive: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right="800"/>
        <w:spacing w:after="0" w:line="255" w:lineRule="auto"/>
        <w:rPr>
          <w:sz w:val="20"/>
          <w:szCs w:val="20"/>
          <w:color w:val="auto"/>
        </w:rPr>
      </w:pPr>
      <w:r>
        <w:rPr>
          <w:rFonts w:ascii="Arial" w:cs="Arial" w:eastAsia="Arial" w:hAnsi="Arial"/>
          <w:sz w:val="18"/>
          <w:szCs w:val="18"/>
          <w:color w:val="auto"/>
        </w:rPr>
        <w:t>Conversion of Deerfield Convertible Note Conversion of January 2020 Note Conversion of December 2019 Notes Awards under equity incentive plans Common stock warrants</w:t>
      </w:r>
    </w:p>
    <w:p>
      <w:pPr>
        <w:spacing w:after="0" w:line="3" w:lineRule="exact"/>
        <w:rPr>
          <w:sz w:val="20"/>
          <w:szCs w:val="20"/>
          <w:color w:val="auto"/>
        </w:rPr>
      </w:pPr>
    </w:p>
    <w:p>
      <w:pPr>
        <w:ind w:left="1140"/>
        <w:spacing w:after="0" w:line="253" w:lineRule="auto"/>
        <w:rPr>
          <w:sz w:val="20"/>
          <w:szCs w:val="20"/>
          <w:color w:val="auto"/>
        </w:rPr>
      </w:pPr>
      <w:r>
        <w:rPr>
          <w:rFonts w:ascii="Arial" w:cs="Arial" w:eastAsia="Arial" w:hAnsi="Arial"/>
          <w:sz w:val="18"/>
          <w:szCs w:val="18"/>
          <w:color w:val="auto"/>
        </w:rPr>
        <w:t>Total securities excluded from the calculation of weighted average number of shares of common stock outstanding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3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33"/>
        </w:trPr>
        <w:tc>
          <w:tcPr>
            <w:tcW w:w="24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08"/>
        </w:trPr>
        <w:tc>
          <w:tcPr>
            <w:tcW w:w="1180" w:type="dxa"/>
            <w:vAlign w:val="bottom"/>
          </w:tcPr>
          <w:p>
            <w:pPr>
              <w:ind w:left="360"/>
              <w:spacing w:after="0"/>
              <w:rPr>
                <w:sz w:val="20"/>
                <w:szCs w:val="20"/>
                <w:color w:val="auto"/>
              </w:rPr>
            </w:pPr>
            <w:r>
              <w:rPr>
                <w:rFonts w:ascii="Arial" w:cs="Arial" w:eastAsia="Arial" w:hAnsi="Arial"/>
                <w:sz w:val="18"/>
                <w:szCs w:val="18"/>
                <w:b w:val="1"/>
                <w:bCs w:val="1"/>
                <w:color w:val="auto"/>
              </w:rPr>
              <w:t>2021</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194"/>
        </w:trPr>
        <w:tc>
          <w:tcPr>
            <w:tcW w:w="11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79,748</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79,748</w:t>
            </w:r>
          </w:p>
        </w:tc>
      </w:tr>
      <w:tr>
        <w:trPr>
          <w:trHeight w:val="215"/>
        </w:trPr>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34,037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34,037</w:t>
            </w:r>
          </w:p>
        </w:tc>
      </w:tr>
      <w:tr>
        <w:trPr>
          <w:trHeight w:val="215"/>
        </w:trPr>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615,307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615,307</w:t>
            </w:r>
          </w:p>
        </w:tc>
      </w:tr>
      <w:tr>
        <w:trPr>
          <w:trHeight w:val="215"/>
        </w:trPr>
        <w:tc>
          <w:tcPr>
            <w:tcW w:w="1180" w:type="dxa"/>
            <w:vAlign w:val="bottom"/>
          </w:tcPr>
          <w:p>
            <w:pPr>
              <w:jc w:val="right"/>
              <w:ind w:right="10"/>
              <w:spacing w:after="0"/>
              <w:rPr>
                <w:sz w:val="20"/>
                <w:szCs w:val="20"/>
                <w:color w:val="auto"/>
              </w:rPr>
            </w:pPr>
            <w:r>
              <w:rPr>
                <w:rFonts w:ascii="Arial" w:cs="Arial" w:eastAsia="Arial" w:hAnsi="Arial"/>
                <w:sz w:val="18"/>
                <w:szCs w:val="18"/>
                <w:color w:val="auto"/>
              </w:rPr>
              <w:t>1,169,379</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354,379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1,169,379</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354,379</w:t>
            </w:r>
          </w:p>
        </w:tc>
      </w:tr>
      <w:tr>
        <w:trPr>
          <w:trHeight w:val="229"/>
        </w:trPr>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4,101,158</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151,442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4,221,350</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151,442</w:t>
            </w:r>
          </w:p>
        </w:tc>
      </w:tr>
      <w:tr>
        <w:trPr>
          <w:trHeight w:val="598"/>
        </w:trPr>
        <w:tc>
          <w:tcPr>
            <w:tcW w:w="1180" w:type="dxa"/>
            <w:vAlign w:val="bottom"/>
          </w:tcPr>
          <w:p>
            <w:pPr>
              <w:jc w:val="right"/>
              <w:ind w:right="10"/>
              <w:spacing w:after="0"/>
              <w:rPr>
                <w:sz w:val="20"/>
                <w:szCs w:val="20"/>
                <w:color w:val="auto"/>
              </w:rPr>
            </w:pPr>
            <w:r>
              <w:rPr>
                <w:rFonts w:ascii="Arial" w:cs="Arial" w:eastAsia="Arial" w:hAnsi="Arial"/>
                <w:sz w:val="18"/>
                <w:szCs w:val="18"/>
                <w:color w:val="auto"/>
              </w:rPr>
              <w:t>5,270,537</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1,234,913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5,390,729</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1,234,913</w:t>
            </w: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1"/>
        </w:trPr>
        <w:tc>
          <w:tcPr>
            <w:tcW w:w="1180" w:type="dxa"/>
            <w:vAlign w:val="bottom"/>
          </w:tcPr>
          <w:p>
            <w:pPr>
              <w:ind w:left="3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-1373505</wp:posOffset>
            </wp:positionV>
            <wp:extent cx="5699760" cy="136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-1100455</wp:posOffset>
            </wp:positionV>
            <wp:extent cx="5699760" cy="136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-827405</wp:posOffset>
            </wp:positionV>
            <wp:extent cx="5699760"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9760" cy="14478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67945</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2">
            <w:col w:w="4960" w:space="220"/>
            <w:col w:w="606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A reconciliation from net loss to basic net loss per share of common stock, basic net loss attributable to common stockholders per share of common stock and diluted net loss attributable to common stockholders per share of common stock for the three and nine months ended September 30, 2021, and 2020 is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Basic net loss per share of common stock:</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w w:val="92"/>
              </w:rPr>
              <w:t>Less: Net loss attributable to participating</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Undistributed net loss, basic</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shares of</w:t>
            </w: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35,218</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4,425</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27,905</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3,795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140"/>
              <w:spacing w:after="0"/>
              <w:rPr>
                <w:sz w:val="20"/>
                <w:szCs w:val="20"/>
                <w:color w:val="auto"/>
              </w:rPr>
            </w:pPr>
            <w:r>
              <w:rPr>
                <w:rFonts w:ascii="Arial" w:cs="Arial" w:eastAsia="Arial" w:hAnsi="Arial"/>
                <w:sz w:val="18"/>
                <w:szCs w:val="18"/>
                <w:color w:val="auto"/>
              </w:rPr>
              <w:t>common stock outstanding, basic</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Basic net loss per share of common stock</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140" w:type="dxa"/>
            <w:vAlign w:val="bottom"/>
            <w:vMerge w:val="restart"/>
          </w:tcPr>
          <w:p>
            <w:pPr>
              <w:spacing w:after="0"/>
              <w:rPr>
                <w:sz w:val="16"/>
                <w:szCs w:val="16"/>
                <w:color w:val="auto"/>
              </w:rPr>
            </w:pPr>
          </w:p>
        </w:tc>
        <w:tc>
          <w:tcPr>
            <w:tcW w:w="3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w w:val="92"/>
              </w:rPr>
              <w:t>Less: Dividends declared or accumulated</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Net loss attributable to common</w:t>
            </w: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(3,009)</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(60,194)</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(7,904)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40" w:type="dxa"/>
            <w:vAlign w:val="bottom"/>
            <w:tcBorders>
              <w:top w:val="single" w:sz="8" w:color="CCEEFF"/>
            </w:tcBorders>
          </w:tcPr>
          <w:p>
            <w:pPr>
              <w:ind w:left="160"/>
              <w:spacing w:after="0" w:line="195" w:lineRule="exact"/>
              <w:rPr>
                <w:sz w:val="20"/>
                <w:szCs w:val="20"/>
                <w:color w:val="auto"/>
              </w:rPr>
            </w:pPr>
            <w:r>
              <w:rPr>
                <w:rFonts w:ascii="Arial" w:cs="Arial" w:eastAsia="Arial" w:hAnsi="Arial"/>
                <w:sz w:val="18"/>
                <w:szCs w:val="18"/>
                <w:color w:val="auto"/>
                <w:w w:val="92"/>
              </w:rPr>
              <w:t>Less: Net loss attributable to participating</w:t>
            </w: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Undistributed net loss attributable to</w:t>
            </w: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(3,009)</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(60,194)</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(7,904)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shares of common stockholders, basic</w:t>
            </w: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shares of</w:t>
            </w: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35,218</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4,425</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27,905</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3,795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140"/>
              <w:spacing w:after="0"/>
              <w:rPr>
                <w:sz w:val="20"/>
                <w:szCs w:val="20"/>
                <w:color w:val="auto"/>
              </w:rPr>
            </w:pPr>
            <w:r>
              <w:rPr>
                <w:rFonts w:ascii="Arial" w:cs="Arial" w:eastAsia="Arial" w:hAnsi="Arial"/>
                <w:sz w:val="18"/>
                <w:szCs w:val="18"/>
                <w:color w:val="auto"/>
              </w:rPr>
              <w:t>common stock outstanding, basic</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8"/>
              </w:rPr>
              <w:t>Basic net loss attributable to common</w:t>
            </w: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24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w w:val="91"/>
              </w:rPr>
              <w:t>stockholders per share of common stock</w:t>
            </w: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40" w:type="dxa"/>
            <w:vAlign w:val="bottom"/>
            <w:vMerge w:val="restart"/>
          </w:tcPr>
          <w:p>
            <w:pPr>
              <w:spacing w:after="0"/>
              <w:rPr>
                <w:sz w:val="16"/>
                <w:szCs w:val="16"/>
                <w:color w:val="auto"/>
              </w:rPr>
            </w:pPr>
          </w:p>
        </w:tc>
        <w:tc>
          <w:tcPr>
            <w:tcW w:w="3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324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9"/>
              </w:rPr>
              <w:t>Diluted net loss per share of common</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vMerge w:val="continue"/>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Undistributed net loss attributable to</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rPr>
              <w:t>Less: Fair value adjustment income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related to Deerfield Warrant liability</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Fair value adjustment income</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related to embedded Warrant Put Option</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rPr>
              <w:t>Less: Fair value adjustment income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related to KVK Warrant liability</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Undistributed net loss attributable to</w:t>
            </w: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(2,092)</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(3,009)</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(60,208)</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(7,904)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stockholders, diluted</w:t>
            </w: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shares of</w:t>
            </w: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1140"/>
              <w:spacing w:after="0"/>
              <w:rPr>
                <w:sz w:val="20"/>
                <w:szCs w:val="20"/>
                <w:color w:val="auto"/>
              </w:rPr>
            </w:pPr>
            <w:r>
              <w:rPr>
                <w:rFonts w:ascii="Arial" w:cs="Arial" w:eastAsia="Arial" w:hAnsi="Arial"/>
                <w:sz w:val="18"/>
                <w:szCs w:val="18"/>
                <w:color w:val="auto"/>
              </w:rPr>
              <w:t>common stock outstanding, basic</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3,795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Dilutive effect of awards under equity</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plans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Dilutive effect of Deerfield Warrant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KVK Warrant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rPr>
              <w:t>Dilutive effect of other common stock</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6"/>
              </w:rPr>
              <w:t>Weighted average number of shares of</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27,905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3,795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 diluted</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40" w:type="dxa"/>
            <w:vAlign w:val="bottom"/>
          </w:tcPr>
          <w:p>
            <w:pPr>
              <w:spacing w:after="0" w:line="190" w:lineRule="exact"/>
              <w:rPr>
                <w:sz w:val="20"/>
                <w:szCs w:val="20"/>
                <w:color w:val="auto"/>
              </w:rPr>
            </w:pPr>
            <w:r>
              <w:rPr>
                <w:rFonts w:ascii="Arial" w:cs="Arial" w:eastAsia="Arial" w:hAnsi="Arial"/>
                <w:sz w:val="18"/>
                <w:szCs w:val="18"/>
                <w:b w:val="1"/>
                <w:bCs w:val="1"/>
                <w:color w:val="auto"/>
                <w:w w:val="94"/>
              </w:rPr>
              <w:t>Diluted net loss attributable to common</w:t>
            </w: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(0.06)</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(0.68)</w:t>
            </w:r>
          </w:p>
        </w:tc>
        <w:tc>
          <w:tcPr>
            <w:tcW w:w="34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(2.16)</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80" w:type="dxa"/>
            <w:vAlign w:val="bottom"/>
            <w:gridSpan w:val="2"/>
          </w:tcPr>
          <w:p>
            <w:pPr>
              <w:ind w:left="1140"/>
              <w:spacing w:after="0" w:line="193" w:lineRule="exact"/>
              <w:rPr>
                <w:sz w:val="20"/>
                <w:szCs w:val="20"/>
                <w:color w:val="auto"/>
              </w:rPr>
            </w:pPr>
            <w:r>
              <w:rPr>
                <w:rFonts w:ascii="Arial" w:cs="Arial" w:eastAsia="Arial" w:hAnsi="Arial"/>
                <w:sz w:val="18"/>
                <w:szCs w:val="18"/>
                <w:b w:val="1"/>
                <w:bCs w:val="1"/>
                <w:color w:val="auto"/>
                <w:w w:val="91"/>
              </w:rPr>
              <w:t>stockholders per share of common stock</w:t>
            </w:r>
          </w:p>
        </w:tc>
        <w:tc>
          <w:tcPr>
            <w:tcW w:w="3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Expense</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2020, the Company eliminated the chief business officer role. In connection with the elimination, the chief business officer was entitled to severance benefits as documented in his Amended and Restated Employment Agreement entered into in June 2015. The severance benefits consisted of personnel and other related charges of approximately $0.4 million and stock compensation expense of approximately $0.4 million related to the acceleration of vesting on unvested shares subject to certain stock options. These severance benefits are presented as severance expense in the unaudited condensed statements of operations for the nine months ended September 30, 2020. As of December 31, 2020, the Company had accrued severance expense recorded within accounts payable and accrued expenses in the amount of $0.1 million. For the three months ended September 30, 2020, and the three and nine months ended September 30, 2021, there was no severance expense. As of September 30, 2021, there was no accrued severance expense.</w:t>
      </w:r>
    </w:p>
    <w:p>
      <w:pPr>
        <w:spacing w:after="0" w:line="187" w:lineRule="exact"/>
        <w:rPr>
          <w:sz w:val="20"/>
          <w:szCs w:val="20"/>
          <w:color w:val="auto"/>
        </w:rPr>
      </w:pPr>
    </w:p>
    <w:p>
      <w:pPr>
        <w:ind w:left="460" w:hanging="453"/>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operating and finance leases for office space, laboratory facilities and various laboratory equipment, furniture and office equipment and leasehold improvements. The Company's leases have remaining lease terms of less than 1 year to approximately 4 years, some of which include options to extend the leases for up to 5 years, and some which include options to terminate the leases within 1 year. In February 2020, the Company agreed to sublease office space in Florida, comprised of one of the two contiguous suites, under a non-cancelable operating lease, which expires in February 2026. In October 2020, the Company agreed to terminate this sublease, in exchange for a termination payment, due to financial difficulties encountered by the subtenant as a result of COVID-19.</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June 1, 2021, the Company agreed to sublease office space in Florida, comprised of one of the two contiguous suites, under a non-cancelable operating lease, which expires in February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6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Lease Cost</w:t>
            </w:r>
          </w:p>
        </w:tc>
        <w:tc>
          <w:tcPr>
            <w:tcW w:w="28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0"/>
                <w:szCs w:val="20"/>
                <w:color w:val="auto"/>
              </w:rPr>
            </w:pPr>
          </w:p>
        </w:tc>
        <w:tc>
          <w:tcPr>
            <w:tcW w:w="27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Total finance lease cost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Less: sublease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00" w:type="dxa"/>
            <w:vAlign w:val="bottom"/>
            <w:gridSpan w:val="7"/>
          </w:tcPr>
          <w:p>
            <w:pPr>
              <w:jc w:val="right"/>
              <w:ind w:right="280"/>
              <w:spacing w:after="0"/>
              <w:rPr>
                <w:sz w:val="20"/>
                <w:szCs w:val="20"/>
                <w:color w:val="auto"/>
              </w:rPr>
            </w:pPr>
            <w:r>
              <w:rPr>
                <w:rFonts w:ascii="Arial" w:cs="Arial" w:eastAsia="Arial" w:hAnsi="Arial"/>
                <w:sz w:val="18"/>
                <w:szCs w:val="18"/>
                <w:color w:val="auto"/>
                <w:w w:val="90"/>
              </w:rPr>
              <w:t>Supplemental cash flow information related to leases was as follows (in thousands):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w w:val="87"/>
              </w:rPr>
              <w:t>Nine months ended September 30,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1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4"/>
              </w:rPr>
              <w:t>Operating cash flows from finance leases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5"/>
              </w:rPr>
              <w:t>Financing cash flows from finance leases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0"/>
              </w:rPr>
              <w:t>Operating cash flows from operating leases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Operating cash flows from short-term leases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Arial" w:cs="Arial" w:eastAsia="Arial" w:hAnsi="Arial"/>
                <w:sz w:val="18"/>
                <w:szCs w:val="18"/>
                <w:color w:val="auto"/>
                <w:w w:val="92"/>
              </w:rPr>
              <w:t>Operating cash flows from variable lease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700" w:type="dxa"/>
            <w:vAlign w:val="bottom"/>
            <w:gridSpan w:val="4"/>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w w:val="96"/>
              </w:rPr>
              <w:t>Right-of-use assets obtained in exchange for lease liabilities: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Supplemental balance sheet information related to leases was as follows (in thousands, except weighted average remaining lease term and weighted average discount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4"/>
          </w:tcPr>
          <w:p>
            <w:pPr>
              <w:ind w:left="1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1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finance lease liabilities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Leases</w:t>
            </w: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operating lease right-of-use assets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less current portion</w:t>
            </w: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operating lease liabilities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1,914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 (years)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Operating leases (years)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Discount Rate</w:t>
            </w: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52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(in thousands):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Finance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2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 (excluding the nine months ended September 30, 2021)</w:t>
            </w:r>
          </w:p>
        </w:tc>
        <w:tc>
          <w:tcPr>
            <w:tcW w:w="186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2022</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2024</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Thereafter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Less: future interest expense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186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jc w:val="right"/>
              <w:ind w:right="1130"/>
              <w:spacing w:after="0"/>
              <w:rPr>
                <w:sz w:val="20"/>
                <w:szCs w:val="20"/>
                <w:color w:val="auto"/>
              </w:rPr>
            </w:pPr>
            <w:r>
              <w:rPr>
                <w:rFonts w:ascii="Arial" w:cs="Arial" w:eastAsia="Arial" w:hAnsi="Arial"/>
                <w:sz w:val="18"/>
                <w:szCs w:val="18"/>
                <w:color w:val="auto"/>
                <w:w w:val="89"/>
              </w:rPr>
              <w:t>34</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October 19, 2021, the Company announced that its shares of common stock were approved for listing to The Nasdaq Global Select Market. Trading on The Nasdaq Global Select Market commenced effective with the open of business on October 19, 2021, under the Company’s ticker symbol, “KMPH”. The Company was previously listed on The Nasdaq Capital Market, following its uplisting to the exchange in January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Unless the context otherwise requires, we use the terms “KemPharm,” “Company,” “we,” “us” and “our” in this Quarterly Report on Form 10-Q to refer to KemPharm, Inc. We have proprietary rights to a number of trademarks used in this Quarterly Report on Form 10-Q that are important to our business, including KemPharm, LAT and the KemPharm logo. All other trademarks, trade names and service marks appearing in this Quarterly Report on Form 10-Q are the property of their respective owners. Solely for convenience, the trademarks and trade names in this Quarterly Report on Form 10-Q are referred to without the ® and ™ symbols, but such references should not be construed as any indicator that their respective owners will not assert, to the fullest extent under applicable law, their rights thereto.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5" w:lineRule="exact"/>
        <w:rPr>
          <w:sz w:val="20"/>
          <w:szCs w:val="20"/>
          <w:color w:val="auto"/>
        </w:rPr>
      </w:pPr>
    </w:p>
    <w:p>
      <w:pPr>
        <w:ind w:left="460" w:hanging="224"/>
        <w:spacing w:after="0" w:line="275" w:lineRule="auto"/>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70" w:lineRule="exact"/>
        <w:rPr>
          <w:rFonts w:ascii="Arial" w:cs="Arial" w:eastAsia="Arial" w:hAnsi="Arial"/>
          <w:sz w:val="18"/>
          <w:szCs w:val="18"/>
          <w:i w:val="1"/>
          <w:iCs w:val="1"/>
          <w:color w:val="auto"/>
        </w:rPr>
      </w:pPr>
    </w:p>
    <w:p>
      <w:pPr>
        <w:ind w:left="460" w:hanging="224"/>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the progress of, timing of and expected amount of expenses associated with our research, development and commercialization activities;</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ability to raise funds on commercially available reasonable terms, or at all, in order to support our continued operations;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sufficiency of our cash resources to fund our operating expenses and capital investment requirements for any period;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expected timing of our clinical trials for our product candidates and the availability of data and result of those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potential therapeutic benefits and effectiveness of our products and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size and characteristics of the markets that may be addressed by our products and product candidates;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intention to seek to establish, and the potential benefits to us from, any strategic collaborations or partnerships for the development or sale of our products and product candidates;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 candidates and partnered assets;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Summary</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66" w:lineRule="exact"/>
        <w:rPr>
          <w:sz w:val="20"/>
          <w:szCs w:val="20"/>
          <w:color w:val="auto"/>
        </w:rPr>
      </w:pPr>
    </w:p>
    <w:p>
      <w:pPr>
        <w:ind w:left="660" w:hanging="330"/>
        <w:spacing w:after="0" w:line="27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If we are not able to obtain required regulatory approvals for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If commercialization of AZSTARYS, APADAZ or our other product candidates is not successful, or we experience significant delays in commercialization, our business will be harmed.</w:t>
      </w:r>
    </w:p>
    <w:p>
      <w:pPr>
        <w:spacing w:after="0" w:line="170" w:lineRule="exact"/>
        <w:rPr>
          <w:rFonts w:ascii="Arial" w:cs="Arial" w:eastAsia="Arial" w:hAnsi="Arial"/>
          <w:sz w:val="18"/>
          <w:szCs w:val="18"/>
          <w:color w:val="auto"/>
        </w:rPr>
      </w:pPr>
    </w:p>
    <w:p>
      <w:pPr>
        <w:ind w:left="660" w:hanging="330"/>
        <w:spacing w:after="0" w:line="30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8" w:lineRule="exact"/>
        <w:rPr>
          <w:rFonts w:ascii="Arial" w:cs="Arial" w:eastAsia="Arial" w:hAnsi="Arial"/>
          <w:sz w:val="17"/>
          <w:szCs w:val="17"/>
          <w:color w:val="auto"/>
        </w:rPr>
      </w:pPr>
    </w:p>
    <w:p>
      <w:pPr>
        <w:ind w:left="660" w:hanging="330"/>
        <w:spacing w:after="0" w:line="30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We may need substantial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48" w:lineRule="exact"/>
        <w:rPr>
          <w:rFonts w:ascii="Arial" w:cs="Arial" w:eastAsia="Arial" w:hAnsi="Arial"/>
          <w:sz w:val="17"/>
          <w:szCs w:val="17"/>
          <w:color w:val="auto"/>
        </w:rPr>
      </w:pPr>
    </w:p>
    <w:p>
      <w:pPr>
        <w:ind w:left="660" w:right="100" w:hanging="330"/>
        <w:spacing w:after="0" w:line="27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We have incurred significant recurring negative net operating losses since our inception. We expect to incur operating losses over the next several years and may never achieve or maintain profitability.</w:t>
      </w:r>
    </w:p>
    <w:p>
      <w:pPr>
        <w:spacing w:after="0" w:line="170"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If we are unable to obtain and maintain trade secret protection or patent protection for our technology, AZSTARYS, KP879 and our other product candidates, or if the scope of the patent protection obtained is not sufficiently broad, our competitors could develop and commercialize technology and drugs similar or identical to ours, and our ability to successfully commercialize our technology, AZSTARYS, KP879 and our other product candidates, if approved, may be impaired.</w:t>
      </w:r>
    </w:p>
    <w:p>
      <w:pPr>
        <w:spacing w:after="0" w:line="184" w:lineRule="exact"/>
        <w:rPr>
          <w:rFonts w:ascii="Arial" w:cs="Arial" w:eastAsia="Arial" w:hAnsi="Arial"/>
          <w:sz w:val="18"/>
          <w:szCs w:val="18"/>
          <w:color w:val="auto"/>
        </w:rPr>
      </w:pPr>
    </w:p>
    <w:p>
      <w:pPr>
        <w:jc w:val="both"/>
        <w:ind w:left="660" w:hanging="330"/>
        <w:spacing w:after="0" w:line="274"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If we, subject to the approval of Commave Therapeutics, S.A.,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74"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FDA may determine that any NDA we may submit under the 505(b)(2) regulatory pathway for any of our product candidates in the future is not sufficiently complete to permit a substantive review.</w:t>
      </w:r>
    </w:p>
    <w:p>
      <w:pPr>
        <w:spacing w:after="0" w:line="170"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We have entered into collaborations with Commave to develop, manufacture and commercialize AZSTARYS and KP484 worldwide. In addition, we may seek collaborations with third parties for the development or commercialization of our other product candidates, or in other territories. If those collaborations are not successful, we may not be able to capitalize on the market potential of AZSTARYS or KP484 or other product candidates, if approved.</w:t>
      </w:r>
    </w:p>
    <w:p>
      <w:pPr>
        <w:spacing w:after="0" w:line="184" w:lineRule="exact"/>
        <w:rPr>
          <w:rFonts w:ascii="Arial" w:cs="Arial" w:eastAsia="Arial" w:hAnsi="Arial"/>
          <w:sz w:val="18"/>
          <w:szCs w:val="18"/>
          <w:color w:val="auto"/>
        </w:rPr>
      </w:pPr>
    </w:p>
    <w:p>
      <w:pPr>
        <w:ind w:left="660" w:hanging="330"/>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The trading price of the shares of our common stock is likely to be volatile, and purchasers of our common stock could incur substantial losses.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a specialty pharmaceutical company focused on the discovery and development of proprietary prodrugs to treat serious medical conditions through our proprietary Ligand Activated Therapy, or LAT, technology. We utilize our proprietary LAT technology to generate improved prodrug versions of drugs approved by the U.S. Food and Drug Administration, or FDA, as well as to generate prodrug versions of existing compounds that may have applications for new disease indications. Our product candidate pipeline is focused on the high need areas of attention deficit hyperactivity disorder, or ADHD, stimulant use disorder, or SUD, and central nervous system, or CNS, rare diseases, including idiopathic hypersomnia, or IH. Our newly approved product, AZSTARYS, formerly referred to as KP415, and KP484, are both based on a prodrug of d-methylphenidate, or d-MPH, but with differing extended-release, or ER, effect profiles, and are intended for the treatment of ADHD. Our lead clinical development product candidate, KP879, is also based on a prodrug of d-MPH and is intended for the treatment of SUD. Our preclinical prodrug product candidate for the treatment of IH, is KP1077. We have entered into a collaboration and license agreement with Commave Therapeutics SA (formerly known as Boston Pharmaceuticals S.A.), an affiliate of Gurnet Point Capital, or Commave, for the development, manufacture and commercialization of AZSTARYS, and any other of our product candidates containing serdexmethylphenidate, or SDX, and d-MPH. In addition, we have entered into a commercial partnership with KVK-Tech, Inc., or KVK, for APADAZ, an FDA approved immediate-release, or IR, combination product of benzhydrocodone, our prodrug of hydrocodone, and acetaminophen, or APAP, for the short-term (no more than 14 days) management of acute pain severe enough to require an opioid analgesic and for which alternative treatments are inadequate.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that our sources of revenues will be through payments arising from our license agreements with Commave and KVK, our consulting agreement with Corium and through other consulting arrangements and any other future arrangements we might enter into related to one of our other product candidates. To date, we have generated revenue from the KP415 License Agreement in the form of the non-refundable upfront payment of $10.0 million, of which we paid Aquestive $1.0 million as a royalty payment, a regulatory milestone payment of $5.0 million following the FDA’s acceptance of the AZSTARYS NDA, of which we paid Aquestive $0.5 million as a royalty payment, a regulatory milestone payment of $10.0 million following the FDA's approval of the AZSTARYS NDA, of which we paid Aquestive $1.0 million, a regulatory milestone payment of $10.0 million following the U.S. Drug Enforcement Administration's, or DEA, scheduling determination of SDX, of which we paid Aquestive $1.0 million, royalties on product sales, reimbursement of out-of-pocket third-party research and development costs and payments related to the performance of consulting services. In addition, we have generated revenue under the Corium Consulting Agreement and other consulting arrangements for the performance of consulting services as well as reimbursement of out-of-pocket third-party costs associated with those services.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2021, we announced that the FDA approved the NDA for AZSTARYS, a once-daily product for the treatment of ADHD in patients ranging from six years and older. Corium will lead the commercialization of AZSTARYS per the KP415 License Agreement. Corium commercially launched AZSTARYS in the U.S. during the third quarter of 2021.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2021, we announced that SDX, our proprietary prodrug of d-MPH and the primary active pharmaceutical ingredient, or API, in AZSTARYS, was classified as a Schedule IV controlled substance by the DEA. AZSTARYS is classified as a Schedule II controlled substance as it includes a 70:30 mixture of SDX (Schedule IV) and d-MPH (Schedule II), respectively.</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have historically had negative cash flows from operations. Our cash flows provided by (used in) operations for the nine months ended September 30, 2021, and 2020 were $11.3 million and ($0.9) million, respectively.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82" w:lineRule="exact"/>
        <w:rPr>
          <w:sz w:val="20"/>
          <w:szCs w:val="20"/>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other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Financial Developments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January and February 2021, we undertook a series of transactions to regain our Nasdaq Capital Market listing and improve our balance sheet. These included a reverse stock split, an underwritten public offering, or the Public Offering, a restructuring of our debt and ultimately a payoff of all remaining debt and a transaction in which we induced the holders of some of the warrants we issued in the public offering to exercise those warrants for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 and Nasdaq Relisting</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May 21, 2020, our common stock had been delisted from The Nasdaq Capital Market and we began listing on the OTC Markets Venture Market under the symbol “KMPH”. In anticipation of the Public Offering, we determined we would need to regain our Nasdaq listing.</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order to relist our common stock on The Nasdaq Capital Market, our common stock was required to satisfy the initial listing standards of the Nasdaq Capital Market, which included among others, that we have stockholders’ equity of at least $5.0 million, a market value of unrestricted publicly held shares of at least $15.0 million, at least 1.0 million unrestricted publicly held shares, at least 300 unrestricted round lot stockholders, at least three market makers and a bid price of at least $4.00 per share, or, collectively, the Nasdaq Listing Requirements. Accordingly, on December 23, 2020, we effectuated a 1-for-16 reverse stock split of our common stock in order to satisfy the bid price component of the Nasdaq Listing Requirements.</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7, 2021, our common stock was approved for listing on The Nasdaq Capital Market. Our common stock began trading on The Nasdaq Capital Market on January 8, 2021, under the ticker symbol “KMPH”.</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October 19, 2021, our common stock was approved for listing on The Nasdaq Global Select Market. Our common stock began trading on The Nasdaq Global Select Market on that date, under the ticker symbol “KMPH”.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anticipation of the Public Offering, and to meet the Nasdaq Listing Requirements, we agreed in December 2020 to restructure our outstanding senior secured convertible notes issued in December 2019 and January 2020, or the Senior Secured Notes, in the aggregate principal amount of $60.8 million and the senior secured convertible promissory note held by Deerfield Private Design Fund III, L.P., or Deerfield, in the principal amount of $7.5 million, or the Deerfield Note, and, collectively the Senior Secured Notes, the Facility Notes. The total outstanding principal and accrued interest under the Facility Notes was $69.4 million as of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agreement we entered into with our lenders in connection with this debt restructuring, which we refer to as the December 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Exchange Agreement, on January 12, 2021, in connection with the closing of our Public Offering, we:</w:t>
      </w:r>
    </w:p>
    <w:p>
      <w:pPr>
        <w:spacing w:after="0" w:line="208" w:lineRule="exact"/>
        <w:rPr>
          <w:sz w:val="20"/>
          <w:szCs w:val="20"/>
          <w:color w:val="auto"/>
        </w:rPr>
      </w:pPr>
    </w:p>
    <w:p>
      <w:pPr>
        <w:ind w:left="460" w:hanging="224"/>
        <w:spacing w:after="0" w:line="30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exchanged $31.5 million of the outstanding principal and accrued interest on the Facility Notes for (i) 31,476.98412 shares of our Series B-2 convertible preferred stock, and (ii) warrants exercisable for 3,632,019 shares of our common stock, or the Exchange Warrants; and</w:t>
      </w:r>
    </w:p>
    <w:p>
      <w:pPr>
        <w:spacing w:after="0" w:line="148"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made a payment of $30.3 million, or the Debt Payment, in partial repayment of the remaining outstanding principal and accrued interest on the Facility Notes.</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Each share of Series B-2 convertible preferred stock issued pursuant to the December 2020 Exchange Agreement has a stated value of $1,000 and is convertible into shares of our common stock at any time, subject to specified limits, at a conversion price of $6.4999. The shares of Series B-2 convertible preferred stock issued under the December 2020 Exchange Agreement are convertible into an aggregate of 4,842,690 shares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Exchange Warrants have substantially the same terms and conditions as the warrants sold by us in our January 2021 underwritten offering.</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is prepayable upon specified conditions;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would accrue at the rate of 6.75% per annum, payable quarterly, would be added to principal until June 30, 2021, and then be payable in cash thereafter.</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closing of the transactions contemplated under the December 2020 Exchange Agreement, we filed an amended and restated certificate of designation with the Secretary of State of Delaware in order to modify the terms of our authorized, but unissued, shares of Series B-2 convertible preferred stock to reflect those contemplated under the December 2020 Exchange Agreement.</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also filed a registration statement to register for resale under the Securities Act the shares of common stock issuable upon conversion of the shares of Series B-2 convertible preferred stock and exercise of the Exchange Warrants.</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8, 2021, we issued and sold 6,765,463 shares of our common stock, pre-funded warrants to purchase 926,844 shares of our common stock and warrants to purchase 7,692,307 shares of our common stock at an exercise price per share of $6.50 in the Public Offering. In addition, we granted the underwriter for the Public Offering an option to purchase, for a period of 45 days, up to an additional 1,153,846 shares of our common stock and/or warrants to purchase up to an additional 1,153,846 shares of our common stock. On January 8, 2021, the underwriter exercised its over-allotment option, in part, for warrants to purchase 754,035 shares of our common stock. On January 12, 2021, we closed the Public Offering. Further, on February 1, 2021, the underwriter again exercised its over-allotment option, in part, to purchase 374,035 shares of our common stock. On February 3, 2021, we closed the underwriter's partial exercise of its over-allotment option.</w:t>
      </w:r>
    </w:p>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Exchange Agreement Amendment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Deerfield and Deerfield Special Situations Fund, LP, collectively the Deerfield Holders. The January 2021 Amendment modified certain specified terms of (i) the Facility Notes and (ii) the warrant held be Deerfield, issued on June 2, 2014, or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2021 Warrant Exercise Inducement Letters and Issuance of Warrants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26, 2021, we entered into warrant exercise inducement offer letters, or the January 2021 Inducement Letters, with certain holders of warrants issued in the Public Offering, or the Existing Warrants, and collectively, the Exercising Holders, pursuant to which such holders exercised for cash their Existing Warrants to purchase 6,620,358 shares of our common stock in exchange for new warrants, 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January 2021 Inducement Warrants was $0.125 per share underlying each January 2021 Inducement Warrant, and the January 2021 Inducement Warrants have an exercise price of $6.36 per share. We received aggregate gross proceeds of $44.0 million from the exercise of the Existing Warrants by the Exercising Holders and the sale of the January 2021 Inducement Warrants.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filed a registration statement on Form S-3 covering the resale of the shares of our common stock issued or issuable upon the exercise of the January 2021 Inducement Warrants which was declared effective on February 16,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we entered into a payoff letter with the Facility Note holders, pursuant to which we agreed to pay off and thereby terminate the Facility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the payoff letter, we paid a total of $8.0 million to the Facility Note holders, representing the principal balance, accrued interest outstanding and a prepayment fee in repayment of our outstanding obligations under the Facility Agreement.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payoff letter, all outstanding indebtedness and obligations of us owing to the Facility Note holders under the Facility Agreement have been paid in full. The Facility Agreement and the notes thereunder, as well as the security interests in the assets of us securing the Facility Agreement and note obligations, have been terminated.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2021 Warrant Exercise Inducement Letters and Issuance of Warrants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2021, we entered into warrant exercise inducement offer letters, or the June 2021 Inducement Letters, with certain holders of the January 2021 Inducement Warrants, pursuant to which such holders exercised for cash their January 2021 Inducement Warrants to purchase 6,117,509 shares of our common stock in exchange for new warrants, 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 and the June 2021 Inducement Warrants expire on December 31, 2026. We received aggregate gross proceeds of $39.1 million from the exercise of the January 2021 Inducement Warrants and the sale of the June 2021 Inducement Warrants.</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filed a registration statement on Form S-3 covering the resale of the shares of our common stock issued or issuable upon the exercise of the June 2021 Inducement Warrants which was declared effective on July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2, 2021, we entered into an Equity Distribution Agreement with JMP Securities LLC, or JMP, and RBC Capital Markets, LLC, or RBCCM, under which we may offer and sell, from time to time at our sole discretion, shares of our common stock having an aggregate offering price of up to $75.0 million through JMP and RBCCM as our sales agents. The issuance and sale, if any, of our common stock under the Equity Distribution Agreement will be made pursuant to a registration statement on Form S-3.</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September 30, 2021, no shares have been issued or sold under the Equity Distribution Agreement.</w:t>
      </w:r>
    </w:p>
    <w:p>
      <w:pPr>
        <w:sectPr>
          <w:pgSz w:w="11900" w:h="16838" w:orient="portrait"/>
          <w:cols w:equalWidth="0" w:num="1">
            <w:col w:w="11240"/>
          </w:cols>
          <w:pgMar w:left="320" w:top="125" w:right="33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Approved Products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employed our proprietary LAT technology to create a portfolio of product candidates and approved products that we believe will offer significant improvements over FDA-approved and widely-prescribed drugs.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selection of our product candidates and approved products are summarized in the table below: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KemPharm Partnered and Other Development Assets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Candidate</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Parent Drug (Effect Profile)</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 Product</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2"/>
              </w:rPr>
              <w:t>Next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(Indication)</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(Status)</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Status</w:t>
            </w:r>
          </w:p>
        </w:tc>
        <w:tc>
          <w:tcPr>
            <w:tcW w:w="8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Milestone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KP879*</w:t>
            </w:r>
          </w:p>
        </w:tc>
        <w:tc>
          <w:tcPr>
            <w:tcW w:w="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Clinical</w:t>
            </w:r>
          </w:p>
        </w:tc>
        <w:tc>
          <w:tcPr>
            <w:tcW w:w="80" w:type="dxa"/>
            <w:vAlign w:val="bottom"/>
            <w:shd w:val="clear" w:color="auto" w:fill="CCEEFF"/>
          </w:tcPr>
          <w:p>
            <w:pPr>
              <w:spacing w:after="0"/>
              <w:rPr>
                <w:sz w:val="16"/>
                <w:szCs w:val="16"/>
                <w:color w:val="auto"/>
              </w:rPr>
            </w:pPr>
          </w:p>
        </w:tc>
        <w:tc>
          <w:tcPr>
            <w:tcW w:w="33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Report Proof-of-Concept Study Data - Q4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(SUD)</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34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34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Prodrug</w:t>
            </w: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5"/>
              </w:rPr>
              <w:t>KP1077*</w:t>
            </w:r>
          </w:p>
        </w:tc>
        <w:tc>
          <w:tcPr>
            <w:tcW w:w="8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Preclinical</w:t>
            </w:r>
          </w:p>
        </w:tc>
        <w:tc>
          <w:tcPr>
            <w:tcW w:w="80" w:type="dxa"/>
            <w:vAlign w:val="bottom"/>
          </w:tcPr>
          <w:p>
            <w:pPr>
              <w:spacing w:after="0"/>
              <w:rPr>
                <w:sz w:val="17"/>
                <w:szCs w:val="17"/>
                <w:color w:val="auto"/>
              </w:rPr>
            </w:pPr>
          </w:p>
        </w:tc>
        <w:tc>
          <w:tcPr>
            <w:tcW w:w="3320" w:type="dxa"/>
            <w:vAlign w:val="bottom"/>
            <w:vMerge w:val="restart"/>
          </w:tcPr>
          <w:p>
            <w:pPr>
              <w:jc w:val="center"/>
              <w:spacing w:after="0"/>
              <w:rPr>
                <w:sz w:val="20"/>
                <w:szCs w:val="20"/>
                <w:color w:val="auto"/>
              </w:rPr>
            </w:pPr>
            <w:r>
              <w:rPr>
                <w:rFonts w:ascii="Arial" w:cs="Arial" w:eastAsia="Arial" w:hAnsi="Arial"/>
                <w:sz w:val="18"/>
                <w:szCs w:val="18"/>
                <w:color w:val="auto"/>
                <w:w w:val="92"/>
              </w:rPr>
              <w:t>Pre-IND Meeting - Q4 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tcPr>
          <w:p>
            <w:pPr>
              <w:ind w:left="140"/>
              <w:spacing w:after="0"/>
              <w:rPr>
                <w:sz w:val="20"/>
                <w:szCs w:val="20"/>
                <w:color w:val="auto"/>
              </w:rPr>
            </w:pPr>
            <w:r>
              <w:rPr>
                <w:rFonts w:ascii="Arial" w:cs="Arial" w:eastAsia="Arial" w:hAnsi="Arial"/>
                <w:sz w:val="18"/>
                <w:szCs w:val="18"/>
                <w:color w:val="auto"/>
              </w:rPr>
              <w:t>(IH)</w:t>
            </w:r>
          </w:p>
        </w:tc>
        <w:tc>
          <w:tcPr>
            <w:tcW w:w="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KP484</w:t>
            </w:r>
          </w:p>
        </w:tc>
        <w:tc>
          <w:tcPr>
            <w:tcW w:w="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Clinical</w:t>
            </w:r>
          </w:p>
        </w:tc>
        <w:tc>
          <w:tcPr>
            <w:tcW w:w="80" w:type="dxa"/>
            <w:vAlign w:val="bottom"/>
            <w:shd w:val="clear" w:color="auto" w:fill="CCEEFF"/>
          </w:tcPr>
          <w:p>
            <w:pPr>
              <w:spacing w:after="0"/>
              <w:rPr>
                <w:sz w:val="17"/>
                <w:szCs w:val="17"/>
                <w:color w:val="auto"/>
              </w:rPr>
            </w:pPr>
          </w:p>
        </w:tc>
        <w:tc>
          <w:tcPr>
            <w:tcW w:w="3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Initiation of Pivotal Efficacy Trial - To Be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(ADHD)</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Determined by Partner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Methylphenidate (ER)</w:t>
            </w:r>
          </w:p>
        </w:tc>
        <w:tc>
          <w:tcPr>
            <w:tcW w:w="8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4"/>
              </w:rPr>
              <w:t>AZSTARYS</w:t>
            </w:r>
          </w:p>
        </w:tc>
        <w:tc>
          <w:tcPr>
            <w:tcW w:w="8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4"/>
              </w:rPr>
              <w:t>FDA</w:t>
            </w:r>
          </w:p>
        </w:tc>
        <w:tc>
          <w:tcPr>
            <w:tcW w:w="80" w:type="dxa"/>
            <w:vAlign w:val="bottom"/>
          </w:tcPr>
          <w:p>
            <w:pPr>
              <w:spacing w:after="0"/>
              <w:rPr>
                <w:sz w:val="17"/>
                <w:szCs w:val="17"/>
                <w:color w:val="auto"/>
              </w:rPr>
            </w:pPr>
          </w:p>
        </w:tc>
        <w:tc>
          <w:tcPr>
            <w:tcW w:w="3320" w:type="dxa"/>
            <w:vAlign w:val="bottom"/>
            <w:vMerge w:val="restart"/>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tcPr>
          <w:p>
            <w:pPr>
              <w:ind w:left="140"/>
              <w:spacing w:after="0"/>
              <w:rPr>
                <w:sz w:val="20"/>
                <w:szCs w:val="20"/>
                <w:color w:val="auto"/>
              </w:rPr>
            </w:pPr>
            <w:r>
              <w:rPr>
                <w:rFonts w:ascii="Arial" w:cs="Arial" w:eastAsia="Arial" w:hAnsi="Arial"/>
                <w:sz w:val="18"/>
                <w:szCs w:val="18"/>
                <w:color w:val="auto"/>
              </w:rPr>
              <w:t>(ADHD)</w:t>
            </w:r>
          </w:p>
        </w:tc>
        <w:tc>
          <w:tcPr>
            <w:tcW w:w="8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Approved</w:t>
            </w:r>
          </w:p>
        </w:tc>
        <w:tc>
          <w:tcPr>
            <w:tcW w:w="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Hydrocodone/APAP (IR)</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APADAZ</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FDA</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(Pain)</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Approved</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140" w:right="1140" w:hanging="9"/>
        <w:spacing w:after="0" w:line="255" w:lineRule="auto"/>
        <w:tabs>
          <w:tab w:leader="none" w:pos="12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product candidate is subject to a right of first negotiation upon completion of a Phase 1 proof-of-concept study in favor of Commave under the terms of the KP415 License Agreement, but is not currently licensed to Commave, thereunder. These anticipated milestones are based on information currently available to us and our current plans and expectations are subject to a number of uncertainties and risks that could significantly affect current plans, including plans and expectations which are not solely within our control.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KP415 License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we entered into the KP415 License Agreement with Commave. Under the KP415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KP415 License Agreement, we granted Commave an exclusive, worldwide license to commercialize and develop the Licensed Product Candidates; provided that such license shall apply to an Additional Product Candidates only if Commave exercises its option under the KP415 License Agreement related thereto. If Commave exercises its option related to any Additional Product Candidate under the KP415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KP415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In addition, Commave agreed to make additional payments upon the achievement of specified U.S. sales milestones of up to $420.0 million in the aggregate. In May 2020, the FDA accepted our NDA for AZSTARYS. Per the KP415 License Agreement, we received a regulatory milestone payment of $5.0 million following the FDA’s acceptance of the AZSTARYS NDA. As a result of the FDA’s approval of the AZSTARYS NDA, we received a $10.0 million milestone payment as provided under the KP415 License Agreement, as amended. In addition, per the KP415 License Agreement, as amended, we received a $10.0 million milestone payment upon the scheduling determination of SDX by the DEA in May 2021.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Commave agreed to be responsible for and reimburse us for all of development, commercialization and regulatory expenses for the Licensed Product Candidates, subject to certain limitations as set forth in the KP415 License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affiliates challenge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KP415 License Agreement also established a joint steering committee, which monitors progress of the development of both AZSTARYS and KP484. Subject to the oversight of the joint steering committee, we otherwise retain all responsibility for the conduct of all regulatory activities required to obtain new drug application approval of AZSTARYS and KP484; provided that Commave shall be the sponsor of any clinical trials conducted by us on behalf of Commave.</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8, 2021, we entered into Amendment No. 1 to the KP415 License Agreement, or the KP415 Amendment. Pursuant to the KP415 Amendment, we agreed to modify the compensation terms of the KP415 License Agreement. In addition, the KP415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Commave agreed to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(as defined in the KP415 License Agreement) for the applicable product.</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we also agreed to modify Commave’s right of first refusal such that our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APADAZ License Agreement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October 2018, we entered into the APADAZ License Agreement with KVK pursuant to which we have granted an exclusive license to KVK to conduct regulatory activities for, manufacture and commercialize APADAZ in the United States.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APADAZ License Agreement, KVK has agreed to pay us certain payments and cost reimbursements of an estimated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KVK may terminate the APADAZ License Agreement without cause upon 18 months prior written notice. We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the other party encounters bankruptcy or insolvency or (iii) if the Initial Adoption Milestone is not achieved. Upon termination, all licenses and other rights granted by us to KVK pursuant to the APADAZ License Agreement would revert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Agreements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March 2012 termination agreement with Aquestive, Aquestive has the right to receive a royalty amount equal to 10% of any value generated by AZSTARYS, KP484, KP879 or KP1077, and any product candidates containing SDX, including royalty payments on any license of AZSTARYS, KP484, KP879 or KP1077, the sale of AZSTARYS, KP484, KP879 or KP1077 to a third party, the commercialization of AZSTARYS, KP484, KP879 or KP1077 and the portion of any consideration that is attributable to the value of AZSTARYS, KP484, KP879 or KP1077 and paid to us or our stockholders in a change of control transaction. In connection with the KP415 License Agreement, we paid Aquestive a royalty equal to 10% of the upfront license payment we received in the third quarter of 2019, the regulatory milestone payment we received in the second quarter of 2020 and the regulatory milestone payments we received in the first and second quarter of 2021.</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9"/>
              </w:rPr>
              <w:t>Three months ended September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Period-to-</w:t>
            </w: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Period Change</w:t>
            </w: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15"/>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Royalty and direct contract acquisition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28"/>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08"/>
        </w:trPr>
        <w:tc>
          <w:tcPr>
            <w:tcW w:w="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4,187</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1,049</w:t>
            </w: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0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Interest expense related to amortization of debt issuance costs and</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Interest expense on principal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1,157</w:t>
            </w: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Fair value adjustment related to derivative and warrant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Interest and other income, net</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income (expense)</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2,293</w:t>
            </w: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1,284</w:t>
            </w:r>
          </w:p>
        </w:tc>
      </w:tr>
      <w:tr>
        <w:trPr>
          <w:trHeight w:val="215"/>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8"/>
        </w:trPr>
        <w:tc>
          <w:tcPr>
            <w:tcW w:w="5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Net loss for the three months ended September 30, 2021, was $1.8 million, compared to net loss for the three months ended September 30, 2020, of $3.0 million. The change was primarily attributable to a decrease in net interest expense and other items of $1.8 million and a change in non-cash fair value adjustment related to derivative and warrant liability of $0.5 million, partially offset by an increase in loss from operations of $1.0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Revenue for the three months ended September 30, 2021, was $2.0 million, compared to revenue for the three months ended September 30, 2020, of $1.9 million. The decrease was primarily attributable to normal fluctuation in reimbursements revenue related to the Corium Consulting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Research and development expenses increased by $0.5 million, from $1.7 million for the three months ended September 30, 2020, to $2.2 million for the three months ended September 30, 2021. This increase was primarily attributable to an increase third-party research and development costs of $0.1 million, an increase in personnel-related costs of $0.3 million and an increase in other research and development costs of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increased by $0.5 million, from $1.4 million for the three months ended September 30, 2020, to $1.9 million for the three months ended September 30, 2021. This increase was primarily attributable to an increase in professional fees of $0.3 million and an increase in personnel-related costs of $0.2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Other income (expense) changed by $2.3 million, from expense of $1.8 million for the three months ended September 30, 2020, to income of $0.5 million for the three months ended September 30, 2021. This period-to-period change was primarily attributable to a decrease in net interest expense and other items of $1.8 million and a change in non-cash fair value adjustment related to derivative and warrant liability of $0.5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7"/>
              </w:rPr>
              <w:t>Nine months ended September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Period-to-</w:t>
            </w: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Period Change</w:t>
            </w: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15,146</w:t>
            </w:r>
          </w:p>
        </w:tc>
      </w:tr>
      <w:tr>
        <w:trPr>
          <w:trHeight w:val="215"/>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Royalty and direct contract acquisition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1,563</w:t>
            </w: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Severance expense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10,571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12,966</w:t>
            </w: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(16,096)</w:t>
            </w:r>
          </w:p>
        </w:tc>
      </w:tr>
      <w:tr>
        <w:trPr>
          <w:trHeight w:val="201"/>
        </w:trPr>
        <w:tc>
          <w:tcPr>
            <w:tcW w:w="20" w:type="dxa"/>
            <w:vAlign w:val="bottom"/>
          </w:tcPr>
          <w:p>
            <w:pPr>
              <w:spacing w:after="0"/>
              <w:rPr>
                <w:sz w:val="17"/>
                <w:szCs w:val="17"/>
                <w:color w:val="auto"/>
              </w:rPr>
            </w:pPr>
          </w:p>
        </w:tc>
        <w:tc>
          <w:tcPr>
            <w:tcW w:w="50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Interest expense related to amortization of debt issuance costs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Interest expense on principal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3,399</w:t>
            </w: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Fair value adjustment related to derivative and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expenses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2,086</w:t>
            </w:r>
          </w:p>
        </w:tc>
      </w:tr>
      <w:tr>
        <w:trPr>
          <w:trHeight w:val="215"/>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8"/>
        </w:trPr>
        <w:tc>
          <w:tcPr>
            <w:tcW w:w="5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(7,904)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2,052</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loss for the nine months ended September 30, 2021, was $5.9 million, compared to net loss for the nine months ended September 30, 2020, of $7.9 million. The change was primarily attributable to a loss on extinguishment of debt of $16.1 million, partially offset by a change in income (loss) from operations of $13.0 million and a decrease in net interest expense and other items of $5.2 million. In accordance with the January 2021 and June 2021 Inducement Transactions we recognized deemed dividends of $37.4 million and $16.9 million, respectively. These deemed dividends represent the difference between the grant date fair value of the respective inducement warrants and the purchase price of the respective inducement warrants. These deemed dividends are added to net loss to arrive at net loss attributable to common stockholders on the unaudited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nine months ended September 30, 2021, was $26.1 million, an increase of $15.1 million compared to revenue for the nine months ended September 30, 2020, of $10.9 million. The increase was primarily attributable to two regulatory milestone payments on the KP415 License Agreement of $10.0 million each that were earned when the FDA approved the NDA for AZSTARYS in March 2021 and upon the scheduling of SDX by the DEA in May 2021, partially offset by a regulatory milestone payment on the KP415 License Agreement of $5.0 million that was earned when the FDA accepted the NDA for KP415 in the second quarter of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and Direct Contract Acquisition Costs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Royalties and direct contract acquisition costs for the nine months ended September 30, 2021, was $2.0 million, an increase of $0.7 million compared to royalty and direct contract acquisition costs for the nine months ended September 30, 2020, of $1.3 million. The increase was primarily attributable to two royalty payments of $1.0 million each due to Aquestive related to the regulatory milestone payments on the KP415 License Agreement that were earned in the first and second quarter of 2021, partially offset by a royalty payment of $0.5 million due to Aquestive related to the regulator milestone payment on the KP415 License Agreement that was recognized in the second quarter of 2020 and the recognition of previously capitalized direct contract acquisition costs related to entering into the KP415 License Agreement that were recognized pro-rata along with the revenue from the agreement during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Research and development expenses increased by $1.6 million, from $5.8 million for the nine months ended September 30, 2020, to $7.4 million for the nine months ended September 30, 2021. This increase was primarily attributable to an increase in third-party research and development costs of $0.8 million and an increase in personnel-related costs of $0.6 million, partially offset by a decrease in other research and development costs of $0.2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increased by $0.8 million, from $5.4 million for the nine months ended September 30, 2020, to $6.1 million for the nine months ended September 30, 2021. This increase was primarily attributable to an increase in professional fees of $0.5 million and an increase in personnel-related costs of $0.3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Expense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Severance expense of $0.8 million was recognized for the nine months ended September 30, 2020, due to the termination of our chief business officer in February 2020. Severance expense was comprised of $0.4 million of personnel and other related charges and $0.4 million of stock compensation expense related to the acceleration of vesting on certain stock options upon employee termination. We had no severance expense for the nine months ended September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ectPr>
          <w:pgSz w:w="11900" w:h="16838" w:orient="portrait"/>
          <w:cols w:equalWidth="0" w:num="1">
            <w:col w:w="11240"/>
          </w:cols>
          <w:pgMar w:left="320" w:top="125" w:right="339" w:bottom="0" w:gutter="0" w:footer="0" w:header="0"/>
        </w:sectPr>
      </w:pPr>
    </w:p>
    <w:bookmarkStart w:id="47" w:name="page48"/>
    <w:bookmarkEnd w:id="47"/>
    <w:p>
      <w:pPr>
        <w:jc w:val="both"/>
        <w:spacing w:after="0" w:line="262" w:lineRule="auto"/>
        <w:rPr>
          <w:sz w:val="20"/>
          <w:szCs w:val="20"/>
          <w:color w:val="auto"/>
        </w:rPr>
      </w:pPr>
      <w:r>
        <w:rPr>
          <w:rFonts w:ascii="Arial" w:cs="Arial" w:eastAsia="Arial" w:hAnsi="Arial"/>
          <w:sz w:val="18"/>
          <w:szCs w:val="18"/>
          <w:color w:val="auto"/>
        </w:rPr>
        <w:t>Other expenses increased by $10.9 million, from $5.5 million for the nine months ended September 30, 2020, to $16.4 million for the nine months ended September 30, 2021. This period-to-period increase in expense was primarily attributable to a loss on extinguishment of debt of $16.1 million during the first quarter of 2021, partially offset by a decrease in net interest expense and other items of $5.2 million.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September 30, 2021,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KP415 License Agreement, the Corium Consulting Agreement and other consulting arrangements. As of September 30, 2021, we had cash and cash equivalents of $131.5 million.</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2019, we entered into the KP415 License Agreement with Commave and Commave paid us a non-refundable upfront payment of $10.0 million. In May 2020, the FDA accepted the NDA for AZSTARYS. Per the KP415 License Agreement, we received a regulatory milestone payment of $5.0 million following the FDA’s acceptance of the AZSTARYS NDA. In March 2021, the FDA approved the NDA for AZSTARYS. Per the KP415 Amendment, we received a regulatory milestone of $10.0 million following the FDA's approval of the AZSTARYS NDA. In May 2021, the DEA made a scheduling determination of SDX. Per the KP415 License Agreement, as amended, we received a regulatory milestone of $10.0 million following the scheduling determination of SDX by the DEA.</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2020, we entered into the 2020 ELOC Agreement, with Lincoln Park, which provided that, upon the terms and subject to the conditions and limitations set forth therein, we may sell to Lincoln Park up to $4.0 million of shares of our common stock, from time to time over the 12-month term of the 2020 ELOC Agreement, and upon execution of the 2020 ELOC Agreement we issued an additional 19,289 shares of our common stock to Lincoln Park as commitment shares in accordance with the closing conditions contained within the 2020 ELOC Agreement. In May 2020, we reached the maximum allowable shares to be issued under the registration statement on Form S-3 covering the sale from time to time of up to $80.0 million of our common stock, preferred stock, and debt and/or warrants, which was declared effective by the SEC on April 10, 2020, of 579,260 shares and therefore we cannot issue additional shares under the 2020 ELOC Agreement. Through May 2020, we sold 559,971 shares of common stock (exclusive of the 19,289 commitment shares previously issued to Lincoln Park) under the 2020 ELOC Agreement for approximately $2.3 million in gross proceeds.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had recurring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agreements with Commave and KVK, or through our Corium Consulting Agreement, and other potential consulting arrangements and any other future arrangements related to one of our other product candidates.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January 2021, we entered into the January 2021 Inducement Letters. We received aggregate gross proceeds of $44.0 million from the exercise of the Existing Warrants by the Exercising Holders and the sale of the January 2021 Inducement Warrants.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2020, we received proceeds of $0.8 million from a loan, or the PPP Loan, under the Paycheck Protection Program, or the PPP, of the Coronavirus Aid, Relief, and Economic Security Act, or the CARES Act, which we used to retain current employees, maintain payroll and make lease and utility payments. In May 2021, we received notice from the U.S. Small Business Administration that our PPP Loan was forgiven in full, including all principal and interest.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June 2021, we entered into the June 2021 Inducement Letters. We received aggregate gross proceeds of $39.1 million for the exercise of the select January 2021 Inducement Warrants by the select warrant holders and the sale of the June 2021 Inducement Warrants.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July 2, 2021, we entered into the Equity Distribution Agreement with JMP and RBCCM under which we may offer and sell, from time to time at our sole discretion, shares of our common stock, having an aggregate offering price of up to $75.0 million through JMP and RBCCM as its sales agents. The issuance and sale, if any, of our common stock the Equity Distribution Agreement will be made pursuant to a registration statement on Form S-3.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2021, we had no convertible notes outstanding. During the first quarter of 2021 we repaid in full the convertible notes and terminated the Deerfield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Deerfield Facility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the $3,333,333 of the principal amount then due, plus $168,288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spacing w:after="0" w:line="17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256,410 shares of our common stock (effected for the 16-for-1 reverse stock split in December 2020 this became 16,025 shares of our common stock).</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issued to Deerfield the Deerfield Warrant to purchase 14,423,076 shares of our Series D Preferred at an initial exercise price of $0.78 per share. Upon closing of our initial public offering, this warrant converted into a warrant exercisable for 1,923,077 shares of our common stock at an exercise price of $5.85 per share (effected for the 16-for-1 reverse stock split in December 2020 this became a warrant exercisable for 120,192 shares of our common stock at an exercise price of $93.60 per share). Upon the closing of the inducement transaction in January 2021, in accordance with the anti-dilution provisions contained within the Deerfield Warrant, the exercise price of the Deerfield Warrant was reduced to $46.25 per share. Further, upon closing of the inducement transaction in June 2021, in accordance with the anti-dilution provisions contained within the Deerfield Warrant, the exercise price of the Deerfield Warrant was reduced to $38.34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2021 Notes were issued pursuant to an indenture, dated as of February 9, 2016, between us and U.S. Bank National Association, as trustee. Interest on the 2021 Notes was payable semi-annually in cash in arrears on February 1 and August 1 of each year, beginning on August 1, 2016, at a rate of 5.50% per year. The 2021 Notes originally matured on February 1, 2021, unless earlier converted or repurchased.</w:t>
      </w:r>
    </w:p>
    <w:p>
      <w:pPr>
        <w:spacing w:after="0" w:line="16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Note Exchange Effected in January 2020</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$3,037,354 in exchange for the cancellation of an aggregate of $3,037,354 principal amount and accrued interest of the 2021 Note then owned by Kingdon. Upon entering into the January 2020 Exchange Agreement, we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w:t>
      </w:r>
    </w:p>
    <w:p>
      <w:pPr>
        <w:spacing w:after="0" w:line="1" w:lineRule="exact"/>
        <w:rPr>
          <w:sz w:val="20"/>
          <w:szCs w:val="20"/>
          <w:color w:val="auto"/>
        </w:rPr>
      </w:pPr>
    </w:p>
    <w:p>
      <w:pPr>
        <w:jc w:val="both"/>
        <w:ind w:firstLine="7"/>
        <w:spacing w:after="0" w:line="267" w:lineRule="auto"/>
        <w:tabs>
          <w:tab w:leader="none" w:pos="2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 (effected for the 16-for-1 reverse stock split in December 2020 this became 734,562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Restructuring</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Delaware, setting forth the preferences, rights and limitations of the Series B-2 Preferred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shares of Series B-2 Preferred Stock were convertible into an aggregate of 4,842,690 shares of our common stock. Each share of Series B-2 Preferred Stock had an aggregate stated value of $1,000 and was convertible into shares of our common stock at a per share price equal to $6.4999 (subject to adjustment to reflect stock splits and similar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March 2021, all shares of Series B-2 Preferred Stock converted into common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June 2021, we filed with the Secretary of State of the State of Delaware a Certificate of Elimination of Series B-2 Convertible Preferred Stock, eliminating from our Certificate of Incorporation the 31,480 shares designated as Series B-2 Convertible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Amendment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modified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B-2 Preferred Stock</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January 11, 2021, as a condition to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Delaware, setting forth the preferences, rights and limitations of the Series B-2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we entered into a payoff letter with the Facility Agreement Note Holders, pursuant to which we agreed to pay off and thereby terminate the Facility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Pursuant to the payoff letter, all outstanding indebtedness and obligations of us owing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6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3"/>
        </w:trPr>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r>
      <w:tr>
        <w:trPr>
          <w:trHeight w:val="208"/>
        </w:trPr>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0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2,785</w:t>
            </w:r>
          </w:p>
        </w:tc>
      </w:tr>
      <w:tr>
        <w:trPr>
          <w:trHeight w:val="208"/>
        </w:trPr>
        <w:tc>
          <w:tcPr>
            <w:tcW w:w="63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127,181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1,898</w:t>
            </w:r>
          </w:p>
        </w:tc>
      </w:tr>
      <w:tr>
        <w:trPr>
          <w:trHeight w:val="20"/>
        </w:trPr>
        <w:tc>
          <w:tcPr>
            <w:tcW w:w="6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2021, net cash provided by operating activities of $11.3 million consisted of $18.5 million in adjustments for non-cash items, partially offset by a net loss of $5.9 million and $1.3 million in changes in working capital. The adjustments for non-cash items primarily consisted of a loss on extinguishment of debt of $16.1 million, stock-based compensation expense of $1.6 million, amortization of debt issuance costs and debt discount of $0.2 million, a change in the fair value adjustment related to derivative and warrant liabilities of $0.1 million and $0.5 million related to depreciation, amortization and other items. Net loss was primarily attributable to a loss on extinguishment of debt and our spending on research and development programs and operating costs, partially offset by revenue received under the KP415 License Agreement and the Corium Consulting Agreement. The changes in working capital consisted of $1.9 million related to a change in accounts payable and accrued expenses, $0.2 million related to a change in operating lease liabilities and $1.4 million related to a change in prepaid expenses and other assets, partially offset by $1.0 million related to a change in accounts and other receivables, $0.1 million related to a change in operating lease right-of-use assets and $1.1 million related to a change in other liabilities.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nine months ended September 30, 2020, net cash used in operating activities of $0.9 million consisted of a net loss of $7.9 million and $1.1 million in changes in working capital, partially offset by $8.1 million in adjustments for non-cash items. Net loss was primarily attributable to our spending on research and development programs and operating costs, partially offset by revenue received under the KP415 License Agreement and the Corium Consulting Agreement. The changes in working capital consisted of $1.3 million related to a change in accounts payable and accrued expenses, $0.3 million related to a change in accounts and other receivables and $0.2 million related to operating lease liabilities, partially offset by $0.5 million related to a change in prepaid expenses and other assets and $0.2 million related to operating lease right-of-use assets and other liabilities. The adjustments for non-cash items primarily consisted of stock-based compensation expense of $2.0 million, non-cash interest expense of $3.6 million, amortization of debt issuance costs and debt discount of $1.7 million, loss on sublease and disposal of property and equipment of $0.3 million, a change in the fair value adjustment related to derivative and warrant liabilities of $0.1 million and $0.5 million related to depreciation, amortization and other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nine months ended September 30, 2021, net cash used in investing activities was $85,000, which was attributable to purchases of property and equipment.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nine months ended September 30, 2020, net cash used in investing activities was $7,000, which was attributable to purchases of 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nine months ended September 30, 2021, net cash provided by financing activities was $116.0 million, which was primarily attributable to net proceeds from sales of our common stock under the Public Offering of $49.3 million, net proceeds from the January 2021 Inducement Transaction of $41.4 million, net proceeds from the June 2021 Inducement Transaction of $36.8 million and net proceeds from the exercise of common stock warrants of $30.8 million, partially offset by payment of offering costs of $1.3 million, repayment of principal on finance lease liabilities of $0.2 million, payment of debt issuance costs of $2.9 million and repayment of principal on convertible notes of $37.9 million.</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nine months ended September 30, 2020, net cash provided by financing activities was $2.8 million, which was primarily attributable to proceeds from sales of our common stock under the 2020 ELOC Agreement of $2.3 million and proceeds from the PPP loan of $0.8 million, partially offset by repayment of principal on finance lease liabilities of $0.2 million and payment of debt issuance and deferred offerings costs of $0.1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current operating forecast, we believe that our existing cash resources will be sufficient to fund our operations for at least twelve months following the date we file this quarterly report. This estimate does not include our projected revenue, a portion of which is based on royalties from commercial sales and upon the achievement of milestones in the KP415 License Agreement and the APADAZ License Agreement. Certain of the milestones are associated with regulatory matters that are outside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Potential near-term sources of additional funding include:</w:t>
      </w:r>
    </w:p>
    <w:p>
      <w:pPr>
        <w:spacing w:after="0" w:line="223" w:lineRule="exact"/>
        <w:rPr>
          <w:sz w:val="20"/>
          <w:szCs w:val="20"/>
          <w:color w:val="auto"/>
        </w:rPr>
      </w:pPr>
    </w:p>
    <w:p>
      <w:pPr>
        <w:ind w:left="460" w:hanging="224"/>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revenues generated under either the KP415 License Agreement or the APADAZ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KP415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Corium Consulting Agreement;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consulting services revenue generated under other potential consulting arrangements.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cannot guarantee that we will be able to generate sufficient proceeds from any of these potential sources to fund our operating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date, we have generated revenue from the non-refundable upfront payment, regulatory milestone payments, reimbursements of out-of-pocket third-party research and development costs, consulting services and royalties on product sales under the KP415 License Agreement, consulting services, and associated out-of-pocket third-party costs, under the Corium Consulting Agreement and consulting services under other consulting arrangements. We expect that our only sources of revenues will be through payments arising from the KP415 License Agreement, the APADAZ License Agreement, the Corium Consulting Agreement, or through other potential consulting arrangements and any other future arrangements related to one of our product candidates. While we have entered into the APADAZ License Agreement to commercialize APADAZ in the United States, and entered into the KP415 License Agreement to develop, manufacture and commercialize AZSTARYS and KP484, we cannot guarantee that this, or any strategy we adopt in the future, will be successful. For instance, we received milestone payments under the KP415 License Agreement, but we cannot guarantee that we will earn any additional milestone or royalty payments under this agreement in the future. We also expect to continue to incur additional costs associated with operating as a public company.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pandemic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of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KP415 License Agreement, the APADAZ License Agreement, the Corium Consulting Agreement,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 rules.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unaudited condensed financial statements, which we have prepared in accordance with accounting principles generally accepted in the United States. The preparation of our unaudited condensed financial statements requires us to make estimates and assumptions that affect the reported amounts of assets and liabilities and the disclosure of contingent assets and liabilities at the date of our unaudited condensed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Our critical accounting policies have not changed materially from those described in </w:t>
      </w:r>
      <w:r>
        <w:rPr>
          <w:rFonts w:ascii="Arial" w:cs="Arial" w:eastAsia="Arial" w:hAnsi="Arial"/>
          <w:sz w:val="16"/>
          <w:szCs w:val="16"/>
          <w:i w:val="1"/>
          <w:iCs w:val="1"/>
          <w:color w:val="auto"/>
        </w:rPr>
        <w:t>Item 7 -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Results of Operations </w:t>
      </w:r>
      <w:r>
        <w:rPr>
          <w:rFonts w:ascii="Arial" w:cs="Arial" w:eastAsia="Arial" w:hAnsi="Arial"/>
          <w:sz w:val="16"/>
          <w:szCs w:val="16"/>
          <w:color w:val="auto"/>
        </w:rPr>
        <w:t>of our Annual Report on Form 10-K for the fiscal year ended December 31, 2020, filed with the SEC on March 12, 2021.</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2021. Based on the evaluation of our disclosure controls and procedures as of September 30, 2021, our chief executive officer and our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our fiscal quarter ended September 30, 2021 that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LEGAL PROCEEDINGS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You should carefully consider all the risk factors and uncertainties described below, in addition to other information contained in this Quarterly Report on Form 10-Q, including the section of this report titled “Management’s Discussion and Analysis of Financial Condition and Results of Operations” and our unaudited condensed financial statements and related notes, before investing in our common stock. If any of the following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factors that are described below and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commercialization of AZSTARYS, APADAZ or any of our other product candidates, if approved, are not successful, or we experience significant delays in commercialization, our business will be harmed.</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currently generate minimal commercial revenue from the sale of any prodrugs and we may never be able to successfully commercialize a prodrug product. For instance, we entered into the KP415 License Agreement with Commave pursuant to which we granted an exclusive, worldwide license to Commave to develop, manufacture and commercialize AZSTARYS and KP484 worldwide. We cannot guarantee that Commave will be able to successfully develop, manufacture or commercialize AZSTARYS or KP484 or that we will ever receive any future payments under the KP415 License Agreement.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also entered into the APADAZ License Agreement with KVK pursuant to which we granted an exclusive license to KVK to commercialize APADAZ in the United States, but we cannot guarantee that KVK will be able to successfully commercialize APADAZ or that we will ever receive any payments under the APADAZ License Agreement from commercial sales of APADAZ.</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invested substantially all our efforts and financial resources in the development of our proprietary LAT technology, the identification of potential product candidates and the development of our product candidates. Our ability to generate revenue from APADAZ under the APADAZ License Agreement, AZSTARYS under the KP415 License Agreement and generate revenue from any of our other product candidates will depend heavily on their successful development and eventual commercialization. The success of AZSTARYS, APADAZ and any of our other product candidates will depend on several factors, including:</w:t>
      </w:r>
    </w:p>
    <w:p>
      <w:pPr>
        <w:spacing w:after="0" w:line="190" w:lineRule="exact"/>
        <w:rPr>
          <w:sz w:val="20"/>
          <w:szCs w:val="20"/>
          <w:color w:val="auto"/>
        </w:rPr>
      </w:pPr>
    </w:p>
    <w:p>
      <w:pPr>
        <w:ind w:left="660" w:hanging="33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completion and achievement of endpoints in our clinical trials;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demonstration that the risks involved with AZSTARYS, APADAZ and any of our other product candidates are outweighed by the benefits;</w:t>
      </w:r>
    </w:p>
    <w:p>
      <w:pPr>
        <w:spacing w:after="0" w:line="234"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development of our manufacturing processes for AZSTARYS under the KP415 License Agreement, APADAZ under the APADAZ License Agreement and for any of our other product candidates, including entering into and maintaining arrangements with third-party manufacturers;</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completion of an FDA preapproval inspection of the facilities used to manufacture AZSTARYS, APADAZ and any of our other product candidates, as well as select clinical trial sites;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differentiating claims in the labels for our product candidates;</w:t>
      </w:r>
    </w:p>
    <w:p>
      <w:pPr>
        <w:spacing w:after="0" w:line="22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AZSTARYS, APADAZ and any of our other product candidates and otherwise protecting our rights in our intellectual property portfolio;</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w:t>
      </w:r>
    </w:p>
    <w:p>
      <w:pPr>
        <w:spacing w:after="0" w:line="222" w:lineRule="exact"/>
        <w:rPr>
          <w:rFonts w:ascii="Arial" w:cs="Arial" w:eastAsia="Arial" w:hAnsi="Arial"/>
          <w:sz w:val="18"/>
          <w:szCs w:val="18"/>
          <w:color w:val="auto"/>
        </w:rPr>
      </w:pPr>
    </w:p>
    <w:p>
      <w:pPr>
        <w:ind w:left="660" w:hanging="330"/>
        <w:spacing w:after="0" w:line="33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launching commercial sales of AZSTARYS under the KP415 License Agreement, APADAZ under the APADAZ License Agreement and launching commercial sales of any of our other product candidates, if and when approved, whether alone or in collaboration with Commave or others;</w:t>
      </w:r>
    </w:p>
    <w:p>
      <w:pPr>
        <w:spacing w:after="0" w:line="125" w:lineRule="exact"/>
        <w:rPr>
          <w:rFonts w:ascii="Arial" w:cs="Arial" w:eastAsia="Arial" w:hAnsi="Arial"/>
          <w:sz w:val="16"/>
          <w:szCs w:val="16"/>
          <w:color w:val="auto"/>
        </w:rPr>
      </w:pPr>
    </w:p>
    <w:p>
      <w:pPr>
        <w:ind w:left="660" w:hanging="330"/>
        <w:spacing w:after="0" w:line="27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AZSTARYS, APADAZ and any of our other product candidates, if approved, by patients, the medical community and third-party payors;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and</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a continued acceptable safety and efficacy profile of the prodrug products following approval.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It is possible that none of our product candidates in clinical development or any of our future product candidates will ever obtain regulatory approval, even if we expend substantial time and resources seeking such approval.</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KVK could experience an inability to successfully commercialize APADAZ, Corium could experience an inability to successfully commercialize AZSTARYS or any of our other product candidates covered by the KP415 License Agreement, if approved, or we could experience an inability to successfully commercialize any of our other product candidates approved for marketing in the future, if any, which would harm our business.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key element of our strategy is to use our proprietary LAT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those product candidates into prodrugs that are bioequivalent, safe and effective and that have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If APADAZ and AZSTARYS are not successfully commercialized under our APADAZ License Agreement or KP415 License Agreement and we do not successfully develop and commercialize any of our other product candidates based upon our proprietary LAT technology, we will not be able to obtain product revenue in future periods, which likely would result in significant harm to our financial position and adversely affect our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On March 2, 2021, we announced that the FDA approved the NDA for AZSTARYS, a once-daily product for the treatment of ADHD in patients ranging from six years and older. In February 2018, we announced that the FDA approved the NDA for APADAZ for the short-term (no more than 14 days) management of acute pain severe enough to require an opioid analgesic and for which alternative treatments are inadequate. Even with the regulatory approval of AZSTARYS and APADAZ by the FDA, we cannot guarantee that the FDA will approve any of our other product candidates for commercial sale or approve any proposed label we may have for any such product candidate. If our development efforts for our product candidates, including regulatory approval, are not successful for their planned indications or are delayed, or if adequate demand for our product candidates that are approved for marketing, if any, is not generated, our business will be harmed.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71" w:lineRule="exact"/>
        <w:rPr>
          <w:sz w:val="20"/>
          <w:szCs w:val="20"/>
          <w:color w:val="auto"/>
        </w:rPr>
      </w:pPr>
    </w:p>
    <w:p>
      <w:pPr>
        <w:ind w:left="460" w:right="20" w:hanging="224"/>
        <w:spacing w:after="0" w:line="27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institutional review boards, or IRBs, or ethics committees may disagree with the design or conduct of our clinical trials;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dosing in a particular clinical trial may not be at an optimal level;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product candidates;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submissions to regulatory authorities or to obtain regulatory approval in the United States or elsewhere;</w:t>
      </w:r>
    </w:p>
    <w:p>
      <w:pPr>
        <w:spacing w:after="0" w:line="170"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and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even if we obtain marketing approval in one or more countries, future safety or other issues could result in the suspension or withdrawal of regulatory approval in such countries.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only limited experience in filing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ectPr>
          <w:pgSz w:w="11900" w:h="16838" w:orient="portrait"/>
          <w:cols w:equalWidth="0" w:num="1">
            <w:col w:w="11240"/>
          </w:cols>
          <w:pgMar w:left="320" w:top="125" w:right="339" w:bottom="113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13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foreign and domestic inspections of manufacturing facilities and products, and subsequently, in July 2020, restarted routine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subject to the approval of Commave,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our strategy is to seek FDA approval for most of our product candidates under Section 505(b)(2) of the Federal Food, Drug and Cosmetic Act,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Such reliance is typically predicated on a showing of bioequivalence or comparable bioavailability to an approved drug.</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For instance, subject to Commave approval, we currently plan on relying on the 505(b)(2) pathway for any NDA submitted for KP484. However, we do not anticipate that the 505(b)(2) pathway will be available for every product candidate. For instance, it is possible we will only be permitted to utilize the 505(b)(2) NDA pathway for either AZSTARYS or KP484, but not both. We utilized the 505(b)(2) NDA pathway for the AZSTARYS NDA which was approved on March 2, 2021. If this were to occur, the time and financial resources required to obtain FDA approval for our product candidates, and complications and risks associated with our product candidates, would likely substantially increase.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 such as an abbreviated new drug application, or ANDA, which is used for the development of generic drug products.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notwithstanding the approval of several products by the FDA under 505(b)(2) over the last few years, pharmaceutical companies and others have objected to the FDA’s interpretation of 505(b)(2). If the FDA’s interpretation of 505(b)(2) is successfully challenged, the FDA may change its policies and practices with respect to 505(b)(2) regulatory approvals, which could delay or even prevent the FDA from approving any NDA that we submit under 505(b)(2).</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our product candidates are approved under 505(b)(2), the approval may be subject to limitations on the indicated uses for which the products may be marketed, including more limited subject populations than we request, may require that contraindications, warnings or precautions be included in the product labeling, including a boxed warning, may be subject to other conditions of approval, or may contain requirements for costly post-marketing clinical trials, testing and surveillance to monitor the safety or efficacy of the products, or other post-market requirements, such as a Risk Evaluation and Mitigation Strategy, or REMS. The FDA also may not approve a product candidate with a label that includes the labeling claims necessary or desirable for the successful commercialization of that product candidate. Based upon currently approved products, we anticipate that we will be required to conduct Phase 4 studies and to implement a REMS and will have a boxed warning for at least some of our product candidates, including APADAZ.</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The FDA may determine that any NDA we may submit under the 505(b)(2) regulatory pathway for any of our product candidates in the future is not sufficiently complete to permit a substantive review.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If we were to submit an NDA under the 505(b)(2) regulatory for any of our product candidates, within 60 days of the agency’s receipt of our NDA, the FDA will make a threshold determination of whether the NDA is sufficiently complete to permit a substantive review. This 60-day review period is referred to as the filing review. If the NDA is sufficiently complete, the FDA will file the NDA. If the agency refuses to file the NDA, it will notify us and state the reason(s) for the refusal. The FDA may refuse to file our NDA for various reasons, including but not limited to, if:</w:t>
      </w:r>
    </w:p>
    <w:p>
      <w:pPr>
        <w:spacing w:after="0" w:line="172" w:lineRule="exact"/>
        <w:rPr>
          <w:sz w:val="20"/>
          <w:szCs w:val="20"/>
          <w:color w:val="auto"/>
        </w:rPr>
      </w:pPr>
    </w:p>
    <w:p>
      <w:pPr>
        <w:ind w:left="460" w:hanging="224"/>
        <w:spacing w:after="0" w:line="27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NDA is incomplete because it does not on its face contain the information required under the Federal Food, Drug and Cosmetic Act or the FDA’s regulations;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NDA does not contain a statement that each non-clinical laboratory study was conducted in compliance with good laboratory practices requirements, or for each study not so conducted, a brief statement of the reason for the noncompliance;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NDA does not contain a statement that each clinical trial was conducted in compliance with the IRB regulations or was not subject to those regulations, and the agency’s informed consent regulations or a brief statement of the reason for noncompliance; or</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drug is a duplicate of a listed drug approved before receipt of the NDA and is eligible for approval under an ANDA for generic drugs.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its procedures, the FDA has stated that it could find an NDA submitted under the Section 505(b)(2) regulatory pathway incomplete and refuse to file it if the NDA, among other reasons:</w:t>
      </w:r>
    </w:p>
    <w:p>
      <w:pPr>
        <w:spacing w:after="0" w:line="171" w:lineRule="exact"/>
        <w:rPr>
          <w:sz w:val="20"/>
          <w:szCs w:val="20"/>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fails to include appropriate literature or a listed drug citation to support the safety or efficacy of the drug product;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fails to include data necessary to support any aspects of the proposed drug that represent modifications to the listed drug(s) relied upon;</w:t>
      </w:r>
    </w:p>
    <w:p>
      <w:pPr>
        <w:spacing w:after="0" w:line="234"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fails to provide a bridge, for example by providing comparative bioavailability data, between the proposed drug product and the listed drug product to demonstrate that such reliance is scientifically justified;</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uses an unapproved drug as a reference product for the bioequivalence study;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fails to provide a patent certification or statement as required by the FDA’s regulations where the 505(b)(2) NDA relies on one or more listed drugs.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FDA will refuse to file an NDA if an approved drug with the same active moiety is entitled to five years of exclusivity, unless the exclusivity period has elapsed, or unless four years of the five-year period have elapsed, and the NDA contains a certification of patent invalidity or non-infringement. An active moiety is the molecule or ion, excluding those appended portions of the molecule that cause the drug to be an ester, salt (including a salt with hydrogen or coordination bond) or other noncovalent derivative (such as a complex, chelate, or clathrate) of the molecule, responsible for the therapeutic activity of the drug substance.</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FDA refuses to file an NDA submitted by us, we may amend the NDA and resubmit it. In such a case, the FDA will again review the NDA and determine whether it may be filed. There can be no assurance that the FDA will file any NDA submitted by us in the future. If the agency refuses to file an NDA, we will need to address the deficiencies cited by the FDA, which could substantially delay the review process.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71" w:lineRule="exact"/>
        <w:rPr>
          <w:sz w:val="20"/>
          <w:szCs w:val="20"/>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clinical trial protocols as needed;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CROs;</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8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trial protocols, or meet their contractual obligations to us in a timely manner, or at all;</w:t>
      </w:r>
    </w:p>
    <w:p>
      <w:pPr>
        <w:spacing w:after="0" w:line="170"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including if we are not able to pursue the 505(b)(2) NDA pathway for approval of our product candidates;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need to pay substantial application user fees, which we may not be able to afford;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abandon our development program or programs based on the changing regulatory or commercial environment;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not agree with our trial design or implementation;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2" w:lineRule="exact"/>
        <w:rPr>
          <w:sz w:val="20"/>
          <w:szCs w:val="20"/>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but without the claims necessary for us to successfully commercialize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additional post-marketing testing, surveillance, or other requirements, such as REMS;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prodrug development costs may also increase if we experience delays in testing or obtaining marketing approvals. Additionally, if we do not successfully develop any product candidates subject to the KP415 License Agreement, we may not be eligible to receive any future payments under the KP415 License Agreement.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product candidates are developed through preclinical studies to late-stage clinical trials towards approval and commercialization, various aspects of the development program, such as manufacturing methods and formulation, may be altered 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decision to seek approval of our product candidates under the 505(b)(2) NDA pathway, if available, may increase the risk that patent infringement suits are filed against us, which would delay the FDA</w:t>
      </w:r>
      <w:r>
        <w:rPr>
          <w:rFonts w:ascii="Arial" w:cs="Arial" w:eastAsia="Arial" w:hAnsi="Arial"/>
          <w:sz w:val="18"/>
          <w:szCs w:val="18"/>
          <w:color w:val="auto"/>
        </w:rPr>
        <w:t>’</w:t>
      </w:r>
      <w:r>
        <w:rPr>
          <w:rFonts w:ascii="Arial" w:cs="Arial" w:eastAsia="Arial" w:hAnsi="Arial"/>
          <w:sz w:val="18"/>
          <w:szCs w:val="18"/>
          <w:b w:val="1"/>
          <w:bCs w:val="1"/>
          <w:i w:val="1"/>
          <w:iCs w:val="1"/>
          <w:color w:val="auto"/>
        </w:rPr>
        <w:t>s approval of such product candidates.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AZSTARYS, APADAZ and certain of our other product candidates contain controlled substances, the manufacture, use, sale, importation, exportation, prescribing and distribution of which are subject to regulation by the DEA.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The DEA determined APADAZ and AZSTARYS to be Schedule II drugs. In addition, the DEA scheduled SDX, the prodrug present within AZSTARYS, and determined it to be a Schedule IV drug. We expect that most of our other product candidates, including KP484, KP879 and KP1077, if approved, will be regulated as “controlled substances” as defined in the CSA and the implementing regulations of the DEA, which establish registration, security, recordkeeping, reporting, storage, distribution, importation, exportation, inventory, quota and other requirements administered by the DEA. These requirements are applicable to us,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 A number of states and foreign countries also independently regulate these drugs as controlled substances.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85" w:lineRule="exact"/>
        <w:rPr>
          <w:sz w:val="20"/>
          <w:szCs w:val="20"/>
          <w:color w:val="auto"/>
        </w:rPr>
      </w:pPr>
    </w:p>
    <w:p>
      <w:pPr>
        <w:ind w:left="460" w:hanging="224"/>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that most of our current product candidates may be listed by the DEA as Schedule II controlled substances under the CSA. If our product candidates are listed as Schedule II controlled substances, then the importation of the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 DEA quota system controls and limits the availability and production of controlled substances in Schedule I or II. Because most of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if our product candidates are approved for marketing.</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containing controlled substances. States may also have their own controlled substance laws that may further restrict and regulate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62" w:lineRule="exact"/>
        <w:rPr>
          <w:sz w:val="20"/>
          <w:szCs w:val="20"/>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nature of the subject population specified in the trial protocol;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the product candidate is a controlled substance;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or conditions under study;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severity of the disease or condition under investigation;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obtain and maintain subject informed consent;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retain subjects in the clinical trial and their return for follow-up;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trial design, including required tests, procedures and follow-up;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treatment;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subjects.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4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The FDA or an IRB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i w:val="1"/>
          <w:iCs w:val="1"/>
          <w:color w:val="auto"/>
        </w:rPr>
        <w:t>Social issues around the abuse of opioids and stimulants, including law enforcement concerns over diversion and regulatory efforts to combat abuse, could decrease the potential market for AZSTARYS, APADAZ or any of our other applicable product candidates.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the ability to commercialize AZSTARYS under the KP415 License Agreement, APADAZ under the APADAZ License Agreement or to commercialize any of our other applicable product candidates. Aggressive enforcement and unfavorable publicity regarding, for example, the use or misuse of hydrocodone or other opioid drugs and stimulants,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AZSTARYS, APADAZ or any of our other applicable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efforts by the FDA and other regulatory bodies to combat abuse of opioids and stimulants may negatively impact the market for AZSTARYS, APADAZ and any of our other applicable product candidates. For example, in April 2014, the FDA approved class-wide labeling changes to the indications for use of all approved ER/LA opioids, so that ER/LA opioids will be indicated only for the management of pain severe enough to require daily, around-the-clock, long-term opioid treatment and for which alternative treatment options are inadequate. These changes have reduced the number of prescriptions for opioids written by physicians and negatively impact the potential market for APADAZ or our other applicable product candidates. The FDA also held a public meeting in October 2014, on the development and regulation of abuse-deterrent formulations of opioid medications. Further, the Centers for Disease Control and Prevention previously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AZSTARYS, APADAZ or any of our other applicable product candidates.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effective internal control over financial reporting could harm us.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If our management is unable to conclude that we have effective internal control over financial reporting, or to certify the effectiveness of such controls,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incurred significant recurring negative net operating cash flows. We expect to incur minimal positive net operating cash flows or negative net operating cash flows over the next several years and may never achieve or maintain profitability.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historically had significant negative net operating cash flows since inception. For the nine months ended September 30, 2021 and 2020, net cash provided by (used in) operations was $11.3 million and ($0.9) million, respectively. We have financed our operations through September 30, 2021 with funds raised in private placements of redeemable convertible preferred stock, in the issuance of convertible promissory notes and term debt, our initial public offering and other public and private offerings of our common stock, as well as through revenue received under the KP415 License Agreement, the Corium Consulting Agreement and other consulting arrangements.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are in various stages of development of our product candidates, and we have only completed development of, and received regulatory approval for, two products, AZSTARYS and APADAZ. We expect to continue to incur significant expenses and operating losses over the next several years and our net losses may fluctuate significantly from quarter to quarter and year to year as we:</w:t>
      </w:r>
    </w:p>
    <w:p>
      <w:pPr>
        <w:spacing w:after="0" w:line="185" w:lineRule="exact"/>
        <w:rPr>
          <w:sz w:val="20"/>
          <w:szCs w:val="20"/>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regulatory approvals for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 operational systems and personnel, if needed, to support any future commercialization efforts.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For instance, in September 2019, we entered into the KP415 License Agreement with Commave pursuant to which we granted an exclusive, worldwide license to Commave to develop, manufacture and commercialize AZSTARYS and KP484 worldwide. We cannot guarantee that Commave will be able to successfully manufacture or commercialize AZSTARYS, or develop, manufacture or commercialize KP484, if approved, or that we will ever receive any future payments under the KP415 License Agreement. In addition, in October 2018, we entered into the APADAZ License Agreement with KVK pursuant to which we granted an exclusive license to KVK to commercialize APADAZ in the United States. We cannot guarantee that KVK will be able to successfully commercialize APADAZ or that we will ever receive any payments under the APADAZ License Agreement from commercial sales of APADAZ. We may never succeed in commercialization activities and, even if we do, may never generate revenue that is significant enough to achieve profitability.</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2020, the World Health Organization declared the outbreak of COVID-19 a global pandemic. This pandemic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If the pandemic continues to be a severe worldwide crisis, it could have a material adverse effect on our business, results of operations, financial condition, and cash flows.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AZSTARYS, APADAZ or any of our other product candidates, if approved, may not achieve commercial success. Our commercial revenue will be derived from sales of prodrug products. We cannot guarantee that Commave will be able to successfully commercialize AZSTARYS or any of the other product candidates subject to the KP415 License Agreement, even if approved, that KVK will be able to successfully commercialize APADAZ or that we will ever receive any payments under the KP415 License Agreement from the commercial sales of AZSTARYS or any future payments under the KP415 License Agreement or payment under the APADAZ License Agreement from commercial sales of APADAZ.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b w:val="1"/>
          <w:bCs w:val="1"/>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that our only sources of revenues will be through payments arising from our license agreements with Commave and KVK, or through the Corium Consulting Agreement or other potential consulting arrangements and any other future arrangements related to one of our other product candidates. We cannot guarantee that we will be able to generate sufficient proceeds from the KP415 License Agreement, the APADAZ License Agreement, the Corium Consulting Agreement or other consulting arrangements, or be successful in completing other transactions, that will fully fund our operating expenses. Further, the economic uncertainty surrounding the COVID-19 pandemic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64" w:lineRule="exact"/>
        <w:rPr>
          <w:sz w:val="20"/>
          <w:szCs w:val="20"/>
          <w:color w:val="auto"/>
        </w:rPr>
      </w:pPr>
    </w:p>
    <w:p>
      <w:pPr>
        <w:ind w:left="660" w:hanging="330"/>
        <w:spacing w:after="0" w:line="27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progress and results of our preclinical studies, clinical trials, chemistry, manufacturing and controls, or CMC, and other product development and commercialization activities;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product candidates;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our product candidates;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w:t>
      </w:r>
    </w:p>
    <w:p>
      <w:pPr>
        <w:spacing w:after="0" w:line="22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jc w:val="both"/>
        <w:ind w:left="660" w:hanging="330"/>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commercial revenue received from commercial sales of AZSTARYS under our KP415 License Agreement, APADAZ under our APADAZ License Agreement, if any, or any of our other product candidates subject to the terms of the KP415 License agreement, or sales of our other product candidates for which we receive marketing approval in the future, which may be affected by market conditions, including obtaining coverage and adequate reimbursement of AZSTARYS, APADAZ, or any of our other product candidates, from third-party payors, including government programs and managed care organizations, and competition within the therapeutic class to which AZSTARYS, APADAZ, or any our other product candidates are assigned;</w:t>
      </w:r>
    </w:p>
    <w:p>
      <w:pPr>
        <w:spacing w:after="0" w:line="19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partner, Commave, in commercializing AZSTARYS, or the successful development of other Additional Products or other Licensed Products in accordance with the terms of the KP415 License Agreement;</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business has been, and may in the future be, adversely affected by the effects of health epidemics, including the recent COVID-19 pandemic, in regions where we or third parties on which we rely have clinical trial sites or other business operations In addition, if COVID-19 continues to be a worldwide pandemic, it could materially affect our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business has been, and may continue to be, adversely affected by health epidemics, including the COVID-19 pandemic, in regions where we have significant manufacturing facilities, concentrations of clinical trial sites, or other business operations.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the COVID-19 pandemic, we have implemented limitations on our operations, including a work-from-home policy, and could face further limitations in our operations in the future. There is a risk that countries or regions may be less effective at containing COVID-19 than others, or it may be more difficult to contain if the pandemic reaches a larger population or broader geography, in which case the risks described herein could be elevated significantly.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particular, our future clinical trials may be affected by the COVID-19 pandemic or other future health epidemics. Site initiation, patient enrollment, distribution of drug product candidates, study monitoring, and data collection may be delayed due to changes in hospital policies, local regulations, and/or prioritization of hospital resources toward the COVID-19 pandemic or other future health epidemics. If COVID-19 continues to spread or there are similar health epidemics in the future, some patients and clinical investigators may not be able to comply with clinical trial protocols. For example, quarantines may impede patient movement, affect sponsor access to study sites, or interrupt healthcare services, and we may be required to delay patient enrollment or unable to obtain patient data as a result.</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third-party manufacturing of our products and product candidates and suppliers of the materials used in the production of our product candidates may be impacted by restrictions resulting from the COVID-19 pandemic or other future health epidemics which may disrupt our supply chain or limit our ability to manufacture drug product candidates for our clinical trials.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ultimate impact of the COVID-19 pandemic or a similar future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history may make it difficult for you to evaluate the success of our business to date and to assess our future viability.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commenced active operations in 2006, and our operations to date have been largely focused on raising capital, identifying potential product candidates, broadening our expertise in the development of our prodrugs, undertaking preclinical studies and conducting clinical trials. To date, we have only two products approved by the FDA, AZSTARYS, a once-daily product for the treatment of ADHD in patients age six years and older, and APADAZ for the short-term (no more than 14 days) management of acute pain severe enough to require an opioid analgesic and for which alternative treatments are inadequate. We have not yet demonstrated an ability to manufacture a prodrug on a commercial scale, or arrange for a third party to do so, or conduct sales and marketing activities necessary for successful commercialization. Further, we cannot guarantee that Commave will be able to successfully commercialize AZSTARYS or any of our other product candidates subject to the KP415 License Agreement, if approved, that KVK will be able to successfully commercialize APADAZ, or that we will ever receive any payments under the KP415 License Agreement or the APADAZ License Agreement from commercial sales of AZSTARYS, APADAZ, or any of our other product candidates, if approved. Consequently, any predictions you make about our future success or viability may not be as accurate as they could be if we had a longer operating history.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research and development focus to a company capable of supporting commercial activities. We may not be successful in such a transition.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Anti-Kickback Statute.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partnered products and product candidates that utilize benzhydrocodone and SDX as the API used in our clinical trials and with a sole source supplier for the manufacture of bulk quantities of benzhydrocodone and SDX used in the partnered products and product candidates that utilize these moieties as the API and we expect to continue to do so. This reliance on third-party manufacturers increases the risk that we will not have sufficient quantities of benzhydrocodone and SDX, or such quantities at an acceptable cost, which could delay, prevent or impair our development or commercialization efforts.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any manufacturing facilities. We procure the bulk drug substances for AZSTARYS, KP484, APADAZ, KP879 and KP1077 from sole-source, third-party manufacturers and the partnered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AZSTARYS, APADAZ, or any of our other product candidates should they receive marketing approval. This reliance on third parties increases the risk that we will not have sufficient quantities of benzhydrocodone, SDX, other bulk drug substances or our partnered product or product candidates, or such quantities at an acceptable cost or quality, which could delay, prevent or impair our ability to timely conduct our clinical trials or our other development or commercialization efforts.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82" w:lineRule="exact"/>
        <w:rPr>
          <w:sz w:val="20"/>
          <w:szCs w:val="20"/>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FDA and DEA regulatory compliance and quality assurance;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termination or nonrenewal of the agreement by the third party at a time that is costly or inconvenient for us;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222" w:lineRule="exact"/>
        <w:rPr>
          <w:rFonts w:ascii="Arial" w:cs="Arial" w:eastAsia="Arial" w:hAnsi="Arial"/>
          <w:sz w:val="18"/>
          <w:szCs w:val="18"/>
          <w:color w:val="auto"/>
        </w:rPr>
      </w:pPr>
    </w:p>
    <w:p>
      <w:pPr>
        <w:jc w:val="both"/>
        <w:ind w:left="460" w:right="20" w:hanging="224"/>
        <w:spacing w:after="0" w:line="262"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Any of these events could lead to clinical trial delays, failure to obtain regulatory approval or impact our ability to successfully commercialize our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these events could be the basis for FDA action, including injunction, recall, seizure or total or partial suspension of production.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facilities used by our contract manufacturers to manufacture AZSTARYS, APADAZ, and any of our other product candidates must be approved by the FDA pursuant to inspections that will be conducted after we submit our marketing application to the FDA, and these facilities could fail to obtain FDA approval.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do not, other than through our contractual arrangements, control the manufacturing process of AZSTARYS, APADAZ,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AZSTARYS, APADAZ or any of our other product candidates or if it withdraws any such approval in the future, we may need to find alternative manufacturing facilities, which would significantly impact our ability to develop, obtain marketing approval for or market AZSTARYS, APADAZ, or any of our other product candidates, if approved.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for AZSTARYS, APADAZ and any of our other product candidates, if approved, our suppliers will be subject to regulatory requirements, covering manufacturing, testing, quality control and record keeping relating to AZSTARYS, APADAZ or any of our other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AZSTARYS, KP484, KP879 or KP1077 bulk drug substance. If our current contract manufacturer for AZSTARYS, KP484, KP879 or KP1077 bulk drug substance cannot perform as agreed, we may be required to replace such manufacturer and we may incur added costs and delays in identifying and qualifying any such replacement.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have entered into collaborations with Commave, to develop, manufacture and commercialize AZSTARYS and KP484 worldwide, and KVK, for the commercialization of APADAZ in the United States. In addition, we may seek collaborations with third parties for the development or commercialization of our other product candidates, or in other territories. If those collaborations are not successful, we may not be able to capitalize on the market potential of AZSTARYS, APADAZ, or any of our other product candidates, if approved.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entered into the KP415 License Agreement with Commave pursuant to which we granted an exclusive, worldwide license to Commave to develop, manufacture and commercialize AZSTARYS and KP484. We cannot guarantee that the K415 License Agreement with Commave will be successful or that we will receive any future payments under the KP415 License Agreement. For instance, Commave has the option to terminate the KP415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KP415 License Agreement, we cannot guarantee that we will receive any additional milestone or royalty payments under the KP415 License Agreement. In addition, under the KP415 License Agreement, we have limited control over the amount and timing of resources that Commave will dedicate to the development, manufacturing or commercialization of AZSTARYS and KP484, and we may not always agree with Commave’s efforts. Our ability to generate revenue under the KP415 License Agreement will depend, in part, on Commave’s ability to successfully perform the functions assigned to it under the KP415 License Agreement.</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we have entered into the APADAZ License Agreement with KVK pursuant to which we granted an exclusive license to KVK to commercialize APADAZ in the United States. We cannot guarantee that our collaboration with KVK will be successful or that we will ever receive any payments under the APADAZ License Agreement. For instance, if the Initial Adoption Milestone under the APADAZ License Agreement is not achieved, KVK may terminate the APADAZ License Agreement without making any payments to us. Further, even if the Initial Adoption Milestone under the APADAZ License Agreement is achieved, we cannot guarantee that we will receive any additional milestone or royalty payments under the APADAZ License Agreement. Further, under the APADAZ License Agreement, we have limited control over the amount and timing of resources that KVK will dedicate to the commercialization of APADAZ, and we may not always agree with KVK’s commercialization efforts. Our ability to generate revenue under the APADAZ License Agreement will depend on KVK’s ability to successfully perform the functions assigned to it under the APADAZ License Agreement. The commercialization strategy under the APADAZ License Agreement is novel and untested, and, even if successful we expect that the pricing for any sales of APADAZ will be at or near the prices of currently available generic equivalent drugs. As a result, even if KVK does successfully perform its functions under the APADAZ License Agreement, we cannot guarantee that there will be sufficient market demand for APADAZ for us to receive any revenue under the APADAZ License Agreement.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seek additional third-party collaborators for the commercialization of APADAZ outside of the United States or for the development or commercialization of any of our other product candidates, which are not subject to the KP415 License Agreement, or those that are subject to the KP415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AZSTARYS or APADAZ outside of the United States or any of our other product candidates. Our ability to generate revenue from these arrangements will depend on our collaborators’ abilities to successfully perform the functions assigned to them in these arrangements.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collaborations with Commave and KVK, or combined the Collaborators, pose the following risks to us:</w:t>
      </w:r>
    </w:p>
    <w:p>
      <w:pPr>
        <w:spacing w:after="0" w:line="223" w:lineRule="exact"/>
        <w:rPr>
          <w:sz w:val="20"/>
          <w:szCs w:val="20"/>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Collaborators have significant discretion in determining the efforts and resources that they will apply to these collaborations;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Collaborators may not perform their obligations as expected;</w:t>
      </w:r>
    </w:p>
    <w:p>
      <w:pPr>
        <w:spacing w:after="0" w:line="222" w:lineRule="exact"/>
        <w:rPr>
          <w:rFonts w:ascii="Arial" w:cs="Arial" w:eastAsia="Arial" w:hAnsi="Arial"/>
          <w:sz w:val="18"/>
          <w:szCs w:val="18"/>
          <w:color w:val="auto"/>
        </w:rPr>
      </w:pPr>
    </w:p>
    <w:p>
      <w:pPr>
        <w:jc w:val="both"/>
        <w:ind w:left="460" w:hanging="224"/>
        <w:spacing w:after="0" w:line="25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Collaborators may not pursue commercialization of AZSTARYS, APADAZ, or any of our other product candidates covered under the KP415 License Agreement, if approved, or may elect not to continue or renew commercialization programs based on post-approval clinical trial results, changes in the Collaborators' strategic focus or available funding, or external factors, such as an acquisition, that divert resources or create competing priorities;</w:t>
      </w:r>
    </w:p>
    <w:p>
      <w:pPr>
        <w:spacing w:after="0" w:line="184" w:lineRule="exact"/>
        <w:rPr>
          <w:rFonts w:ascii="Arial" w:cs="Arial" w:eastAsia="Arial" w:hAnsi="Arial"/>
          <w:sz w:val="18"/>
          <w:szCs w:val="18"/>
          <w:color w:val="auto"/>
        </w:rPr>
      </w:pPr>
    </w:p>
    <w:p>
      <w:pPr>
        <w:jc w:val="both"/>
        <w:ind w:left="460" w:hanging="224"/>
        <w:spacing w:after="0" w:line="310"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Collaborators could independently develop, or develop with third parties, products that compete directly or indirectly with AZSTARYS, APADAZ, or any of our other products covered under the KP415 License Agreement, as applicable, if the Collaborators believe that competitive products are more likely to be successfully developed or can be commercialized under terms that are more economically attractive than ours;</w:t>
      </w:r>
    </w:p>
    <w:p>
      <w:pPr>
        <w:spacing w:after="0" w:line="146" w:lineRule="exact"/>
        <w:rPr>
          <w:rFonts w:ascii="Arial" w:cs="Arial" w:eastAsia="Arial" w:hAnsi="Arial"/>
          <w:sz w:val="16"/>
          <w:szCs w:val="16"/>
          <w:color w:val="auto"/>
        </w:rPr>
      </w:pPr>
    </w:p>
    <w:p>
      <w:pPr>
        <w:jc w:val="both"/>
        <w:ind w:left="460" w:hanging="224"/>
        <w:spacing w:after="0" w:line="284"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AZSTARYS, APADAZ, and any of our other products covered under the KP415 License Agreement may be viewed by the Collaborators as competitive with their own product candidates or products, which may cause the Collaborators to cease to devote resources to the commercialization of AZSTARYS, APADAZ, or any of our other products covered under the KP415 License Agreement, if approved;</w:t>
      </w:r>
    </w:p>
    <w:p>
      <w:pPr>
        <w:spacing w:after="0" w:line="166"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Collaborators may not commit sufficient resources to the development, marketing and distribution of AZSTARYS, APADAZ, and any of our other products covered under the KP415 License Agreement, as applicable;</w:t>
      </w:r>
    </w:p>
    <w:p>
      <w:pPr>
        <w:spacing w:after="0" w:line="170" w:lineRule="exact"/>
        <w:rPr>
          <w:rFonts w:ascii="Arial" w:cs="Arial" w:eastAsia="Arial" w:hAnsi="Arial"/>
          <w:sz w:val="18"/>
          <w:szCs w:val="18"/>
          <w:color w:val="auto"/>
        </w:rPr>
      </w:pPr>
    </w:p>
    <w:p>
      <w:pPr>
        <w:jc w:val="both"/>
        <w:ind w:left="460" w:hanging="224"/>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disagreements with the Collaborators, including disagreements over proprietary rights, contract interpretation or the preferred course of development or commercialization, might cause delays or termination of the development or commercialization of AZSTARYS, APADAZ, or any of our other products covered under the KP415 License Agreement, as applicable, might lead to additional responsibilities for us with respect to AZSTARYS, APADAZ, or any of our other products covered under the KP415 License Agreement, or might result in litigation or arbitration, any of which would be time-consuming and expensive;</w:t>
      </w:r>
    </w:p>
    <w:p>
      <w:pPr>
        <w:spacing w:after="0" w:line="190" w:lineRule="exact"/>
        <w:rPr>
          <w:rFonts w:ascii="Arial" w:cs="Arial" w:eastAsia="Arial" w:hAnsi="Arial"/>
          <w:sz w:val="18"/>
          <w:szCs w:val="18"/>
          <w:color w:val="auto"/>
        </w:rPr>
      </w:pPr>
    </w:p>
    <w:p>
      <w:pPr>
        <w:jc w:val="both"/>
        <w:ind w:left="460" w:hanging="224"/>
        <w:spacing w:after="0" w:line="339"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25" w:lineRule="exact"/>
        <w:rPr>
          <w:rFonts w:ascii="Arial" w:cs="Arial" w:eastAsia="Arial" w:hAnsi="Arial"/>
          <w:sz w:val="16"/>
          <w:szCs w:val="16"/>
          <w:color w:val="auto"/>
        </w:rPr>
      </w:pPr>
    </w:p>
    <w:p>
      <w:pPr>
        <w:ind w:left="460" w:hanging="224"/>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Collaborators may infringe the intellectual property rights of third parties, which may expose us to litigation and potential liability; and</w:t>
      </w:r>
    </w:p>
    <w:p>
      <w:pPr>
        <w:spacing w:after="0" w:line="234"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license agreements may be terminated by the Collaborators under specified circumstances and, if terminated, we could be required to raise additional capital to pursue further development or commercialization of AZSTARYS, APADAZ, or any of our other products covered under the KP415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we enter into any future collaborations we will face similar risks with any future collaborators as well.</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KP415 License Agreement, the APADAZ License Agreement, and any other licensing or collaboration agreements we may enter into may not lead to commercialization of AZSTARYS, commercialization of APADAZ, or development of KP484, KP879 or any of our other product candidates in the most efficient manner or at all. If Commave or KVK or a future collaborator of ours were to be involved in a business combination, the continued pursuit and emphasis on our drug development or commercialization program could be delayed, diminished or terminated.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establish collaborations for our product candidates, we may have to alter our development and commercialization plans.</w:t>
      </w:r>
    </w:p>
    <w:p>
      <w:pPr>
        <w:spacing w:after="0" w:line="24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prodrug development programs and the potential commercialization of our product candidates, if approved, will require substantial additional capital. For our product candidates, which are not subject to the terms of the KP415 License Agreement or the APADAZ License Agreement, we may need to collaborate with pharmaceutical and biotechnology companies for the development and potential commercialization of those product candidates.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agreements with Aquestive and Commave may inhibit our ability to enter into future collaborations with third parties.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party to a termination agreement with Aquestive Therapeutics, or Aquestive, that may limit the value of any sale, license or commercialization of AZSTARYS, KP484, KP879 or KP1077. Under this termination agreement, Aquestive has the right to receive a royalty amount equal to 10% of any value generated by AZSTARYS, KP484, KP879 or KP1077, and any product candidates which contain SDX, including royalty payments on any license of AZSTARYS, KP484, KP879 or KP1077, the sale of AZSTARYS, KP484, KP879 or KP1077 to a third party or the commercialization of AZSTARYS, KP484, KP879 or KP1077. As part of the KP415 License Agreement, we paid Aquestive a royalty equal to 10% of the license upfront payment we received in the third quarter of 2019, the regulatory milestone payment we received in the second quarter of 2020 and the regulatory milestone payments we received in the first and second quarter of 2021.</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granted to Commave a right of first refusal to acquire, license or commercialize any Additional Product Candidate which contains SDX and are intended to treat ADHD or any other CNS disorder, excluding KP922,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 We cannot predict if these obligations will limit the value we may receive from any future sale or license of any Additional Product Candidate.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are unable to obtain and maintain trade secret protection or patent protection for our technology, AZSTARYS, APADAZ, or our other product candidates, or if the scope of the patent protection obtained is not sufficiently broad, our competitors could develop and commercialize technology and drugs similar or identical to ours, and our ability to successfully commercialize our technology, AZSTARYS, APADAZ, or our other product candidates, if approved, may be impaired.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success depends in large part on our ability to obtain and maintain trade secret protection of our proprietary LAT technology as well as patent protection in the United States and other countries with respect to AZSTARYS, APADAZ, and any of our other product candidates. We seek to protect our proprietary position by filing patent applications in the United States and abroad related to our product technology and product candidates. As part of the KP415 License Agreement, Commave obtained from us an exclusive, worldwide license to certain patents that cover AZSTARYS and KP484. In addition, as part of the APADAZ License Agreement, KVK obtained from us an exclusive license to certain patents that cover APADAZ.</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patent position is subject to numerous additional risks, including the following:</w:t>
      </w:r>
    </w:p>
    <w:p>
      <w:pPr>
        <w:spacing w:after="0" w:line="223" w:lineRule="exact"/>
        <w:rPr>
          <w:sz w:val="20"/>
          <w:szCs w:val="20"/>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fail to seek patent protection for inventions that are important to our success;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disclaim part or all of the term of certain patents or all of the term of certain patent applications;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be able to acquire patent term extensions of certain patents, domestic or foreign, due to regulatory delays, among others, which may affect the term of enforceability of such patents over time;</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8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460" w:right="540" w:hanging="224"/>
        <w:spacing w:after="0" w:line="27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may be able to design around our owned or licensed patents by developing similar or alternative technologies or drugs without infringing on our intellectual property rights;</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 candidates;</w:t>
      </w:r>
    </w:p>
    <w:p>
      <w:pPr>
        <w:spacing w:after="0" w:line="222" w:lineRule="exact"/>
        <w:rPr>
          <w:rFonts w:ascii="Arial" w:cs="Arial" w:eastAsia="Arial" w:hAnsi="Arial"/>
          <w:sz w:val="18"/>
          <w:szCs w:val="18"/>
          <w:color w:val="auto"/>
        </w:rPr>
      </w:pPr>
    </w:p>
    <w:p>
      <w:pPr>
        <w:jc w:val="both"/>
        <w:ind w:left="460" w:hanging="224"/>
        <w:spacing w:after="0" w:line="277"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 assurance can be given that our patents would be declared by a court, domestic or foreign, to be valid or enforceable or that a competitor’s technology or product would be found by a court,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72"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develop products that have the same or similar effect as our products without infringing our patents;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intentionally circumvent our patents by means of alternate designs or processes or file applications or be granted patents that would block or hurt our efforts;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dominating or intervening patents relevant to our product candidates of which we are not aware;</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70" w:lineRule="exact"/>
        <w:rPr>
          <w:rFonts w:ascii="Arial" w:cs="Arial" w:eastAsia="Arial" w:hAnsi="Arial"/>
          <w:sz w:val="18"/>
          <w:szCs w:val="18"/>
          <w:color w:val="auto"/>
        </w:rPr>
      </w:pPr>
    </w:p>
    <w:p>
      <w:pPr>
        <w:ind w:left="460" w:hanging="224"/>
        <w:spacing w:after="0" w:line="305"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48" w:lineRule="exact"/>
        <w:rPr>
          <w:rFonts w:ascii="Arial" w:cs="Arial" w:eastAsia="Arial" w:hAnsi="Arial"/>
          <w:sz w:val="17"/>
          <w:szCs w:val="17"/>
          <w:color w:val="auto"/>
        </w:rPr>
      </w:pPr>
    </w:p>
    <w:p>
      <w:pPr>
        <w:ind w:left="460" w:hanging="22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a third party may misappropriate or reverse engineer our proprietary LAT technology, which could limit our ability to stop others from using or commercializing similar or identical technology and resultant product candidates, product technology or prodrugs, or limit the duration of the trade secret protection of our proprietary LAT technology.</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those parties to assert counterclaims against us alleging that we infringe their intellectual property rights.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or its prior use by a third party. An adverse result in any litigation proceeding could put one or more of our patents at risk of being invalidated or interpreted narrowly, which would undermine our competitive position.</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reduce the scope of our intellectual property due to third-party intellectual property claims.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Furthermore, recent changes in U.S. patent law under the Leahy-Smith Act allow for post-issuance challenges to U.S. patents, including ex parte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or nullify proceedings that can result in changes in scope or cancellation of patent claims.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We may also in the future be subject to claims that we have caused an employee to breach the terms of his or her non-competition or non-solicitation agreement. Litigation may be necessary to defend against these potential claims.</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rely on trademarks as one means to distinguish our product candidates that are approved for marketing from the products of our competitors. We have registered trademarks for LAT and KemPharm. In addition, we have solicited and applied for trademarks for the KemPharm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Outside of the U.S. we cannot be certain that any country</w:t>
      </w:r>
      <w:r>
        <w:rPr>
          <w:rFonts w:ascii="Arial" w:cs="Arial" w:eastAsia="Arial" w:hAnsi="Arial"/>
          <w:sz w:val="18"/>
          <w:szCs w:val="18"/>
          <w:color w:val="auto"/>
        </w:rPr>
        <w:t>’</w:t>
      </w:r>
      <w:r>
        <w:rPr>
          <w:rFonts w:ascii="Arial" w:cs="Arial" w:eastAsia="Arial" w:hAnsi="Arial"/>
          <w:sz w:val="18"/>
          <w:szCs w:val="18"/>
          <w:b w:val="1"/>
          <w:bCs w:val="1"/>
          <w:i w:val="1"/>
          <w:iCs w:val="1"/>
          <w:color w:val="auto"/>
        </w:rPr>
        <w:t>s patent or trademark office will not implement new rules that could seriously affect how we draft, file, prosecute and maintain patents, trademarks and patent and trademark applications.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inventions to save costs. We may be forced to abandon or return the rights to specific patents due to a lack of financial resources.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Partnered Products and Product Candidates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our product candidates, if approved, we may not be successful in commercializing any approved product candidate in the United States.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only a limited sales and marketing infrastructure and have no experience in the sale, marketing or distribution of pharmaceutical products. To achieve commercial success for any product candidate for which we may obtain marketing approval in the United States, we will need to enter into collaborations with one or more parties or establish our own sales and marketing organization. While we entered into the KP415 License Agreement to establish a collaboration for the commercialization of AZSTARYS and any of our other product candidates which are subject to such agreement, and we entered into the APADAZ License Agreement to establish a collaboration for the commercialization of APADAZ, we may not choose to enter into a collaboration for any future approved product. Should we decide to establish our own sales, marketing and distribution capabilities, we would encounter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3" w:lineRule="exact"/>
        <w:rPr>
          <w:sz w:val="20"/>
          <w:szCs w:val="20"/>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inability to access government and commercial health plan formularies or secure preferred coverage and adequate reimbursement levels;</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achieve adequate numbers of physicians to prescribe any future prodrug products;</w:t>
      </w:r>
    </w:p>
    <w:p>
      <w:pPr>
        <w:spacing w:after="0" w:line="245" w:lineRule="exact"/>
        <w:rPr>
          <w:rFonts w:ascii="Arial" w:cs="Arial" w:eastAsia="Arial" w:hAnsi="Arial"/>
          <w:sz w:val="16"/>
          <w:szCs w:val="16"/>
          <w:color w:val="auto"/>
        </w:rPr>
      </w:pPr>
    </w:p>
    <w:p>
      <w:pPr>
        <w:ind w:left="460" w:right="220" w:hanging="224"/>
        <w:spacing w:after="0" w:line="27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liability for personnel, including sales personnel, failing to comply with applicable legal requirements;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any product candidates that we develop ourselves. For instance, under the KP415 License Agreement we are entitled to receive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as well as sales milestones based on specified sales targets. In addition, we may not be successful in entering into arrangements with third parties to sell, market and distribute our product candidates in the future, or may be unable to do so on terms that are favorable to us. Further, under the APADAZ License Agreement, we and KVK will share the quarterly net profits of APADAZ by KVK in the United States at specified tiered percentages, with the portion we receive ranging from 30% to 50% of net profits. As a result, we will be entitled to a smaller portion of the net profits of any sales of APADAZ in the United States than if we had decided to sell, market and distribute APADAZ ourselves. We likely will have little control over such third parties, including Commave and KVK, and any of them may fail to devote the necessary resources and attention to sell and market AZSTARYS, APADAZ, or any of our other product candidates, if approved, effectively. Further, we may be liable for conduct of third parties, including Commave and KVK,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AZSTARYS, APADAZ, or any of our other product candidates, if approved.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i w:val="1"/>
          <w:iCs w:val="1"/>
          <w:color w:val="auto"/>
        </w:rPr>
        <w:t>AZSTARYS, APADAZ, or any of our other product candidates that may receive marketing approval, may fail to achieve the degree of market acceptance by physicians, patients, third-party payors and others in the medical community necessary for commercial success.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AZSTARYS, APADAZ, or any of our other product candidates that may receive marketing approval, may fail to gain sufficient market acceptance by physicians, patients, third-party payors and others in the medical community. Despite the fact that APADAZ is now nationally available, we cannot guarantee that it will receive significant, if any, market acceptance in the United States. If AZSTARYS, APADAZ, or any of our other product candidates, if approved for commercial sale, do not achieve an adequate level of market acceptance, they may not generate significant product revenue and we may not become profitable. For instance, under the APADAZ License Agreement, we are entitled to milestone and royalty payments only if APADAZ sales in the United States are above specified levels. If APADAZ does not achieve an adequate level of market acceptance, it is unlikely that sales will satisfy these thresholds and we may not be entitled to any payments under the APADAZ License Agreement. Additionally, the commercialization strategy under the APADAZ License Agreement is novel and untested, and, even if successful we expect that the pricing for any sales of APADAZ will be at or near the prices of currently available generic equivalent drugs. Accordingly, we expect that APADAZ will need to achieve broad market acceptance in order for this strategy to be successful. The degree of market acceptance of AZSTARYS, APADAZ, or any of our other product candidates if approved for commercial sale, will depend on a number of factors, including:</w:t>
      </w:r>
    </w:p>
    <w:p>
      <w:pPr>
        <w:spacing w:after="0" w:line="179" w:lineRule="exact"/>
        <w:rPr>
          <w:sz w:val="20"/>
          <w:szCs w:val="20"/>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including less expensive generic treatments;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most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offer our prodrug products for sale at competitive prices;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2" w:lineRule="exact"/>
        <w:rPr>
          <w:rFonts w:ascii="Arial" w:cs="Arial" w:eastAsia="Arial" w:hAnsi="Arial"/>
          <w:sz w:val="18"/>
          <w:szCs w:val="18"/>
          <w:color w:val="auto"/>
        </w:rPr>
      </w:pPr>
    </w:p>
    <w:p>
      <w:pPr>
        <w:ind w:left="460" w:hanging="224"/>
        <w:spacing w:after="0" w:line="339"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steps that prescribers and dispensers must take, since AZSTARYS and APADAZ are, and we expect that most of our other product candidates are likely going to be, considered controlled substances, as well as the perceived risks based upon their controlled substance status;</w:t>
      </w:r>
    </w:p>
    <w:p>
      <w:pPr>
        <w:spacing w:after="0" w:line="125" w:lineRule="exact"/>
        <w:rPr>
          <w:rFonts w:ascii="Arial" w:cs="Arial" w:eastAsia="Arial" w:hAnsi="Arial"/>
          <w:sz w:val="16"/>
          <w:szCs w:val="16"/>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or willingness of patients to pay out of pocket in the absence of third-party coverage;</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potential unfavorable publicity;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restrictions on the use, sale or distribution of AZSTARYS, APADAZ, or any of our other product candidates, including through REMS; and</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restrictions on the use of our prodrug products together with other medications.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AZSTARYS, and, if approved, KP484 will compete against currently marketed, branded and generic methylphenidate products for the treatment of ADHD. Some of these currently marketed products include Janssen’s CONCERTA,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and, if approved, KP484 will face potential competition from any other methylphenidate products for the treatment of ADHD that are currently in or which may enter into clinical development.</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Currently, there are no approved drugs in the United States for the treatment of SUD. If approved, KP879 will face potential competition from any products for the treatment of SUD that are currently in or which may enter into clinical development.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KP1077, if approved, would compete against currently marketed, branded and generic products for the treatment of IH. One of these currently marketed products includes Jazz Pharmaceuticals' XYWAV. In addition, KP1077, if approved, would face potential competition from any other products for the treatment of IH that are currently in or which may enter into clinical development.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APADAZ competes against currently marketed, branded and generic IR hydrocodone/APAP combination products indicated for the short-term management of acute pain. In addition, APADAZ will face potential competition from any IR or hydrocodone/APAP combination products for the short-term management of acute pain that are currently in or may enter into clinical development.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7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Consequently, our competitors may develop products for the treatment of ADHD, pain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either five-year FDA regulatory exclusivity as a new chemical entity or three-year FDA regulatory exclusivity.</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Even if we or our collaborators are able to commercialize AZSTARYS, APADAZ, or any of our other product candidates, if approved, they may be subject to unfavorable pricing regulations, third-party coverage and reimbursement policies.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successful commercialization of AZSTARYS, APADAZ, and any of our other product candidates for which marketing approval is obtained, will depend, in part, on the extent to which coverage and adequate reimbursement for AZSTARYS, APADAZ, or any of our other product candidates, for which marketing approval is obtained,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AZSTARYS, APADAZ, or any of our other product candidates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AZSTARYS under the KP415 License Agreement, APADAZ under the APADAZ License Agreement, or commercialize any of our other product candidates for which marketing approval is obtained.</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AZSTARYS, APADAZ, or any of our other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the ability to sell AZSTARYS under the KP415 License Agreement, APADAZ under the APADAZ License Agreement, or our ability to sell any of any of our other product candidates profitably if they are approved for sale.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enforcement action if we engage in improper marketing or promotion of our products.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our promotional materials, statements and training methods must comply with the FDA’s prohibition of the promotion of unapproved, or off-label, use.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AZSTARYS, APADAZ or any of our other product candidates that we may develop.</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as AZSTARYS, APADAZ and any of our other product candidates that may be approved in the future, are commercialized. This includes the risk that our products may be misused. For example, AZSTARYS and APADAZ do, and we anticipate that any of our other product candidates we may choose to develop in the future, if approved, may carry a boxed warning regarding lethality if our oral tablets or capsules are prepared for injection and hepatotoxicity, as is commonly done by abusers of opioids.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62" w:lineRule="exact"/>
        <w:rPr>
          <w:sz w:val="20"/>
          <w:szCs w:val="20"/>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AZSTARYS, APADAZ and any of our other product candidates that we may develop;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and marketing or promotional restrictions;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inability to successfully commercialize AZSTARYS, APADAZ, or any of our other product candidates that might be approved in the future.</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3" w:lineRule="exact"/>
        <w:rPr>
          <w:sz w:val="20"/>
          <w:szCs w:val="20"/>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some countries;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2" w:lineRule="exact"/>
        <w:rPr>
          <w:rFonts w:ascii="Arial" w:cs="Arial" w:eastAsia="Arial" w:hAnsi="Arial"/>
          <w:sz w:val="18"/>
          <w:szCs w:val="18"/>
          <w:color w:val="auto"/>
        </w:rPr>
      </w:pPr>
    </w:p>
    <w:p>
      <w:pPr>
        <w:ind w:left="460" w:right="580" w:hanging="224"/>
        <w:spacing w:after="0" w:line="27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and clinical trial participant data;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AZSTARYS, APADAZ and any of our other product candidates from being marketed abroad.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 variety of risks associated with marketing AZSTARYS, APADAZ and any of our other product candidates internationally, if approved, could affect our business.</w:t>
      </w:r>
    </w:p>
    <w:p>
      <w:pPr>
        <w:spacing w:after="0" w:line="17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We may seek regulatory approval for AZSTARYS, APADAZ and any of our other product candidates, if approved, outside of the United States and, accordingly, we expect that we will be subject to additional risks related to operating in foreign countries if we obtain the necessary approvals, including:</w:t>
      </w:r>
    </w:p>
    <w:p>
      <w:pPr>
        <w:spacing w:after="0" w:line="125" w:lineRule="exact"/>
        <w:rPr>
          <w:sz w:val="20"/>
          <w:szCs w:val="20"/>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AZSTARYS is, APADAZ is, and any of our other product candidates for which we obtain marketing approval could be, subject to post-marketing restrictions or recall or withdrawal from the market, and we may be subject to penalties if we or our collaborators fail to comply with regulatory requirements or if we or our collaborators experience unanticipated problems with AZSTARYS, APADAZ or any of our other product candidates when, and if, approved.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AZSTARYS is, APADAZ is, and any of our other product candidates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For example, we are required to conduct pediatric studies related to AZSTARYS to determine its safety and effectiveness for the claimed indication in pediatric patients. Under the KP415 License Agreement, Commave will be responsible for these regulatory activities going forward, and we cannot guarantee they will be complied with. In addition, we are required to conduct pediatric studies related to APADAZ to determine its safety and effectiveness for the claimed indication in pediatric patients. Under the APADAZ License Agreement, KVK will be responsible for these regulatory activities going forward, and we cannot guarantee they will be complied with.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AZSTARYS and APADAZ are, and if marketing approval of any of our other product candidates is granted, they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For example, in September 2018, the FDA approved the Opioid Analgesic REMS for ER/LA and IR opioids as one strategy among multiple national and state efforts to reduce the risk of abuse, misuse, addiction, overdose, and deaths due to prescription opioid analgesics. APADAZ is subject to this REMS, and we anticipate that any of our other opioid product candidates that we may choose to develop in the future, if approved by the FDA, are likely to also be subject to a REMS requirement.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AZSTARYS and APADAZ do, and if any of our other product candidates receive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we expect that at least some of our product candidates would likely be required to carry boxed warnings, including warnings regarding tampering, lethality if our oral tablets or capsules are prepared for injection and hepatotoxicity.</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APADAZ is subject to a post-marketing requirement for four deferred pediatric assessments that must be completed pursuant to the FDA’s February 2018 approval letter.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71" w:lineRule="exact"/>
        <w:rPr>
          <w:sz w:val="20"/>
          <w:szCs w:val="20"/>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inspectional findings;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such prodrug products, distribution, manufacturers or manufacturing processes;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warnings or other restrictions on the product’s indicated use, label or marketing;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issuance of safety alerts, dear-healthcare-provider letters, press releases or other communications containing warnings regarding the product;</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requirement to establish or modify a REMS;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requirement to conduct post-marketing studies or surveillance;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recall or withdrawal of the prodrug products from the market;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 and other delays;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clinical holds, or the suspension or termination of ongoing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suspension or withdrawal of marketing approvals or other permits or voluntary suspension of marketing;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prodrug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of government contracts or future orders under existing contracts, exclusion from participation in federal health care programs, and corporate integrity agreements;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False Claims Act liability.</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38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Healthcare providers and third-party payors in the United States and elsewhere will play a primary role in the recommendation and prescription of our products, as well as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U.S. states and foreign jurisdictions in which we conduct our business. The applicable federal, state and foreign healthcare laws that may affect our ability to operate include the following:</w:t>
      </w:r>
    </w:p>
    <w:p>
      <w:pPr>
        <w:spacing w:after="0" w:line="189" w:lineRule="exact"/>
        <w:rPr>
          <w:sz w:val="20"/>
          <w:szCs w:val="20"/>
          <w:color w:val="auto"/>
        </w:rPr>
      </w:pPr>
    </w:p>
    <w:p>
      <w:pPr>
        <w:jc w:val="both"/>
        <w:ind w:left="460" w:hanging="224"/>
        <w:spacing w:after="0" w:line="25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460" w:hanging="224"/>
        <w:spacing w:after="0" w:line="29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federal civil and criminal false claims laws, including the False Claims Act, which impose criminal and civil penalties, including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161" w:lineRule="exact"/>
        <w:rPr>
          <w:rFonts w:ascii="Arial" w:cs="Arial" w:eastAsia="Arial" w:hAnsi="Arial"/>
          <w:sz w:val="16"/>
          <w:szCs w:val="16"/>
          <w:color w:val="auto"/>
        </w:rPr>
      </w:pPr>
    </w:p>
    <w:p>
      <w:pPr>
        <w:jc w:val="both"/>
        <w:ind w:left="460" w:hanging="224"/>
        <w:spacing w:after="0" w:line="262"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2" w:lineRule="exact"/>
        <w:rPr>
          <w:rFonts w:ascii="Arial" w:cs="Arial" w:eastAsia="Arial" w:hAnsi="Arial"/>
          <w:sz w:val="18"/>
          <w:szCs w:val="18"/>
          <w:color w:val="auto"/>
        </w:rPr>
      </w:pPr>
    </w:p>
    <w:p>
      <w:pPr>
        <w:jc w:val="both"/>
        <w:ind w:left="460" w:hanging="224"/>
        <w:spacing w:after="0" w:line="253"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92" w:lineRule="exact"/>
        <w:rPr>
          <w:rFonts w:ascii="Arial" w:cs="Arial" w:eastAsia="Arial" w:hAnsi="Arial"/>
          <w:sz w:val="18"/>
          <w:szCs w:val="18"/>
          <w:color w:val="auto"/>
        </w:rPr>
      </w:pPr>
    </w:p>
    <w:p>
      <w:pPr>
        <w:jc w:val="both"/>
        <w:ind w:left="460" w:hanging="224"/>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covered subcontractors, with respect to safeguarding the privacy, security and transmission of individually identifiable health information;</w:t>
      </w:r>
    </w:p>
    <w:p>
      <w:pPr>
        <w:spacing w:after="0" w:line="190" w:lineRule="exact"/>
        <w:rPr>
          <w:rFonts w:ascii="Arial" w:cs="Arial" w:eastAsia="Arial" w:hAnsi="Arial"/>
          <w:sz w:val="18"/>
          <w:szCs w:val="18"/>
          <w:color w:val="auto"/>
        </w:rPr>
      </w:pPr>
    </w:p>
    <w:p>
      <w:pPr>
        <w:jc w:val="both"/>
        <w:ind w:left="460" w:hanging="224"/>
        <w:spacing w:after="0" w:line="288"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federal Open Payments program, created under Section 6002 of the Affordable Care Act, or the ACA, and its implementing regulations, which imposes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and, beginning in 2022, will require applicable manufacturers to report information regarding payments and other transfers of value provided during the previous year to physician assistants, nurse practitioners, clinical nurse specialists, certified nurse anesthetists, anesthesiologist assistants and certified nurse-midwives; and</w:t>
      </w:r>
    </w:p>
    <w:p>
      <w:pPr>
        <w:spacing w:after="0" w:line="168" w:lineRule="exact"/>
        <w:rPr>
          <w:rFonts w:ascii="Arial" w:cs="Arial" w:eastAsia="Arial" w:hAnsi="Arial"/>
          <w:sz w:val="16"/>
          <w:szCs w:val="16"/>
          <w:color w:val="auto"/>
        </w:rPr>
      </w:pPr>
    </w:p>
    <w:p>
      <w:pPr>
        <w:ind w:left="460" w:hanging="224"/>
        <w:spacing w:after="0" w:line="27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comparable state and foreign laws, which may be broader in scope than the analogous federal laws and may differ from each other in significant ways.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laws may affect our sales, marketing, and other promotional activities by imposing administrative and compliance burdens on us.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to obtain marketing approval of our product candidates and increase the cost to commercialize AZSTARYS, APADAZ and any of our product candidates that may be approved in the future and affect the prices thereof.</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AZSTARYS under the KP415 License Agreement or APADAZ under the APADAZ License Agreement and our ability to profitably sell any of our other product candidates for which we obtain marketing approval.</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President Obama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3" w:lineRule="exact"/>
        <w:rPr>
          <w:sz w:val="20"/>
          <w:szCs w:val="20"/>
          <w:color w:val="auto"/>
        </w:rPr>
      </w:pPr>
    </w:p>
    <w:p>
      <w:pPr>
        <w:ind w:left="46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jc w:val="both"/>
        <w:ind w:left="460" w:hanging="224"/>
        <w:spacing w:after="0" w:line="284"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66"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182"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from February 15, 2021 through May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which went into effect in April 2013, and, due to subsequent legislative amendments, including the BBA, will stay in effect through 2030 with the exception of a temporary suspension from May 1, 2020 through December 31, 2021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for the Northern District of California issued a nationwide preliminary injunction against implementation of the interim final rule. On January 13, 2021, in a separate lawsuit brought by industry groups in the U.S. District Court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Most Favored Nation Model interim final rule shall not commence earlier than 60 days after publication of that regulation in the Federal Register. Additionally, based on a recent executive order, the Biden administration expressed its intent to pursue certain policy initiatives to reduce drug prices.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 It is also possible that additional governmental action is taken in response to the COVID-19 pandemic.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25" w:lineRule="auto"/>
        <w:rPr>
          <w:sz w:val="20"/>
          <w:szCs w:val="20"/>
          <w:color w:val="auto"/>
        </w:rPr>
      </w:pPr>
      <w:r>
        <w:rPr>
          <w:rFonts w:ascii="Arial" w:cs="Arial" w:eastAsia="Arial" w:hAnsi="Arial"/>
          <w:sz w:val="15"/>
          <w:szCs w:val="15"/>
          <w:b w:val="1"/>
          <w:bCs w:val="1"/>
          <w:i w:val="1"/>
          <w:iCs w:val="1"/>
          <w:color w:val="auto"/>
        </w:rPr>
        <w:t>If our security measures are compromised now, or in the future, or the security, confidentiality, integrity or availability of, our information technology,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ordinary course of our business, we may collect, process and store proprietary, confidential and sensitive information, including personal information (including key-coded data and health information), intellectual property, trade secrets and proprietary business information owned or controlled by ourselves or other parties.</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Despite the implementation of security measures, our information technology systems and data, and those of our CROs and other third parties on which we rely, are vulnerable to system failure, interruption, compromise or damage from several sources, such as data corruption; breakdown; malicious human acts; malicious code (such as computer viruses or worms); fraudulent activity; employee misconduct, theft or error; denial-of-service attacks; public health epidemics (such as the COVID-19 pandemic); cyber-attacks by sophisticated nation-state and nation-state supported actors; natural disasters; terrorism; war; and telecommunication and electrical failures. Moreover,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service providers, partners, or other relevant third parties have experienced, or in the future experience, any security incident(s) that result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negative publicity, a loss of confidence in our products or operations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Regulation of data (including personal data) 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(e.g., laws and regulations that address data privacy and security, including, without limitation, personal data such as health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information privacy laws (e.g., the California Consumer Privacy Act of 2018, or CCPA),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health information from third parties (including research institutions from which we may obtain clinical trial data) that are subject to privacy and security requirements under HIPAA. Depending on the facts and circumstances, we could be subject to civil and criminal penalties, including if we knowingly obtain, use, or disclose individually identifiable health information maintained by a HIPAA-covered entity in a manner that is not authorized or permitted by HIPAA.</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CCPA became effective on January 1, 2020. The CCPA gives California residents expanded rights to access and delete their personal information, opt out of certain personal information sharing and receive detailed information about how their personal information is used. The CCPA requires covered entities to provide new disclosures to California residents. The CCPA provides for civil penalties for violations, as well as a private right of action and statutory damages for data breaches that is expected to increase class action data breach litigation. Although there are limited exemptions for clinical trial data,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the CPRA, becomes operative. The CPRA will, among other things, give California residents the ability to limit use of certain sensitive information, establish restrictions on the retention of personal information, expand the types of data breaches subject to the CCPA’s private right of action and establish a new California Privacy Protection Agency to implement and enforce the new law. These laws demonstrate our vulnerability to the evolving regulatory environment related to personal data. As we expand our operations, these and similar laws may increase our compliance costs and potential liability.</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Foreign data protection laws, such as, without limitation, the EU’s GDPR and member state data protection laws, may also apply to health-related and other personal information that we process, including, without limitation, personal data relating to clinical trial participants. European data protection laws impose strict obligations on the ability to process health-related and other personal information of data subjects in Europe, including, among other things, standards relating to the privacy and security of personal data, which require the adoption of administrative, physical and technical safeguards designed to protect such information. The United Kingdom’s vote in favor of exiting the EU, often referred to as Brexit, has created uncertainty with regard to data protection regulation in the United Kingdom. Beginning in 2021, the UK will be a “third country” under the GDPR and transfers of European personal information to the U.K. will require an adequacy mechanism to render such transfers compliant under the GDPR. European data protection laws may affect our use, collection, analysis, and transfer (including cross-border transfer) of such personal information. These laws include several requirements relating to transparency related to communications with data subjects regarding the processing of their personal data, obtaining the consent of the individuals to whom the personal data relates, limitations on data processing, establishing a legal basis for processing, notification of data processing obligations or security incidents to appropriate data protection authorities or data subjects, the security and confidentiality of the personal data and various rights that data subjects may exercise.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European data protection laws prohibit the transfer, without an appropriate legal basis, of personal data to countries outside of Europe, such as to the United States, which are not considered by the relevant authorities to provide an adequate level of data protection. A decision by the Court of Justice of the European Union, or the Schrems II ruling, invalidated the EU-U.S. Privacy Shield Framework, and raised questions about whether the European Commission’s Standard Contractual Clauses, or SCCs, one of the primary alternatives to the Privacy Shield, can lawfully be used for personal information transfers from Europe to the United States or most other countries. Similarly, the Swiss Federal Data Protection and Information Commissioner recently opined that the Swiss-U.S. Privacy Shield is inadequate for transfers of personal data from Switzerland to the U.S. The United Kingdom, whose data protection laws are similar to those of the European Union, may similarly determine that the EU-U.S. Privacy Shield is not a valid mechanism for lawfully transferring personal data from the United Kingdom to the United States. The European Commission recently proposed updates to the SCCs, and additional regulatory guidance has been released that seeks to impose additional obligations on entities that rely on the SCCs. Given that, at present, there are few, if any, alternatives to the EU-U.S. Privacy Shield and the SCCs, any transfers by us or our vendors of personal data from Europe may not comply with European data protection laws, which may increase our exposure to such laws’ sanctions for violations of its cross-border transfer restrictions and may prohibit our transfer of European personal data outside of Europe, and may adversely impact our operations, product development and ability to provide our products. Additionally, other countries have passed or are considering passing laws requiring local data residency and/or restricting the international transfer of data.</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example, under the GDPR, regulators may impose substantial fines and penalties for non-compliance. Entities that violate the GDPR can face fines of up to the greater of 20 million Euros or 4% of their worldwide annual turnover (revenue). Additionally, regulators could prohibit our use of personal data subject to the GDPR. The GDPR has increased our responsibility and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Failure, or perceived failure, to comply with federal, state and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Any of these matters could materially adversely affect our business, financial condition, or operational results.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Travis C. Mickle, Ph.D., our president and chief executive officer, R. LaDuane Clifton, CPA, our chief financial officer, and Sven Guenther, Ph.D., our executive vice president research and development, as well as the other members of our scientific and clinical teams. Although we have employment agreements with each of our executive officers, these agreements do not obligate them to continue working for our company and they may terminate their employment with us at any time.</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is likely to be volatile, and purchasers of our common stock could incur substantial losses.</w:t>
      </w:r>
    </w:p>
    <w:p>
      <w:pPr>
        <w:spacing w:after="0" w:line="2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October 29, 2021.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59" w:lineRule="exact"/>
        <w:rPr>
          <w:sz w:val="20"/>
          <w:szCs w:val="20"/>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conditions or trends in our industry, including without limitation changes in the structure of healthcare payment systems;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pharmaceutical industry;</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regulatory announcements or determinations regarding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of the factors described above are not within our control. 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SEC in support of the offering. In June 2018, the case was dismissed without prejudice to members of the putative class. Future litigation could cause us to incur substantial costs and divert management’s attention and resources from our business. Further,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portion of our outstanding warrants are entitled to certain anti-dilution protections which, if triggered, may cause dilution to your investment.</w:t>
      </w:r>
    </w:p>
    <w:p>
      <w:pPr>
        <w:spacing w:after="0" w:line="2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Deerfield Warrant includes an exercise price protection provision, pursuant to which the exercise price of the Deerfield Warrant will be adjusted downward on a broad-based weighted-average basis if we issue or sell any shares of common stock, convertible securities, warrants or options at a sale or exercise price per share less than the greater of (i) $38.34 per share, which represents the Deerfield Warrant’s exercise price, or (ii) the closing sale price of our common stock on the last trading date immediately prior to such issuance or, in the case of a firm commitment underwritten offering, on the date of execution of the underwriting agreement between us and the underwriters for such offering. Additionally, if we effect an “at the market offering”, as defined in Rule 415 of the Securities Act, of our common stock, the exercise price of the Deerfield Warrant will be adjusted downward pursuant to this anti-dilution adjustment only if such sales are made at a price less than $38.34 per share, provided that this anti-dilution adjustment will not apply to certain specified sales. For example, in June 2021, we entered into the June 2021 Inducement Letters with certain holders of the January 2021 Inducement Warrants, pursuant to which such holders exercised for cash their January 2021 Inducement Warrants to purchase 6,117,509 shares of our common stock in exchange for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completion of this transaction resulted in the exercise price of the Deerfield Warrant being adjusted downward to $38.34 per share from its pre-transaction exercise price of $46.25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equity and debt could result in additional dilution to our stockholders.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need additional capital in the future to fund our planned future operations, including to complete potential clinical trials for our product candidates. To raise capital, we may sell common stock, convertible securities or other equity securities in one or more transactions at prices and in a manner we determine from time to time.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instance in January 2021, we issued and sold 6,765,463 shares of our common stock, pre-funded warrants to purchase 926,844 shares of our common stock and warrants to purchase 7,692,307 shares of our common stock at an exercise price per share of $6.50 in the Public Offering. Also in January 2021, the underwriter exercised its over-allotment option, in part, for warrants to purchase 754,035 shares of our common stock. Further, in February 2021, the underwriter again exercised its over-allotment option, in part, to purchase 374,035 shares of our common stock.</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in January 2021, we entered into the January 2021 Inducement Letters with certain holders of the Existing Warrants, pursuant to which such holders exercised for cash their Existing Warrants to purchase 6,620,358 shares of our common stock in exchange for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January 2021 Inducement Warrants was $0.125 per share underlying each January 2021 Inducement Warrant, and the January 2021 Inducement Warrants had an exercise price of $6.36 per share.</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 June 2021, we entered into the June 2021 Inducement Letters with certain holders of the January 2021 Warrants, pursuant to which such holders exercised for cash their January 2021 Inducement Warrants to purchase 6,117,509 shares of our common stock in exchange for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the holders of any of these warrants elect to exercise such warrants and receive shares of common stock, your ownership interest will be diluted and the market price of our common stock may be materially and adversely effected.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at the annual meeting of stockholders, the stockholders approved the Amended and Restated 2014 Equity Incentive Plan, which, among other things, added 4.9 million shares to the equity plan pool, and the 2021 ESPP, which allows for employees to purchase up to 1.5 million shares of stock through the plan. In addition, in July 2021, the Company entered into the Equity Distribution Agreement with JMP and RBCCM, under which the Company may offer and sell, from time to time at its sole discretion, shares of its common stock having an aggregate offering price of up to $75,000,000 through JMP and RBCCM as its sales agents.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To the extent that new options are granted and exercised, or we issue additional shares of common stock in the future, either through the 2021 ESPP, Equity Distribution Agreement or through other means, our stockholders may experience additional dilution, which could cause our stock price to fall.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Deerfield Warrant and certain other warrants issued could have a material effect on our reported financial results.</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Deerfield Warrant and certain other warrants we issued contain embedded derivatives,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74" w:lineRule="exact"/>
        <w:rPr>
          <w:sz w:val="20"/>
          <w:szCs w:val="20"/>
          <w:color w:val="auto"/>
        </w:rPr>
      </w:pPr>
    </w:p>
    <w:p>
      <w:pPr>
        <w:ind w:left="460" w:hanging="224"/>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staggered three-year terms so that not all members of our board of directors are elected at one time;</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providing that directors may be removed by stockholders only for cause;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preventing the ability of our stockholders to call and bring business before special meetings and to take action by written consent in lieu of a meeting;</w:t>
      </w:r>
    </w:p>
    <w:p>
      <w:pPr>
        <w:spacing w:after="0" w:line="245" w:lineRule="exact"/>
        <w:rPr>
          <w:rFonts w:ascii="Arial" w:cs="Arial" w:eastAsia="Arial" w:hAnsi="Arial"/>
          <w:sz w:val="16"/>
          <w:szCs w:val="16"/>
          <w:color w:val="auto"/>
        </w:rPr>
      </w:pPr>
    </w:p>
    <w:p>
      <w:pPr>
        <w:ind w:left="460" w:hanging="224"/>
        <w:spacing w:after="0" w:line="27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permitting the board of directors to issue up to 10,000,000 shares of preferred stock with any rights, preferences and privileges they may designate;</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providing that vacancies may be filled by remaining directors;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preventing cumulative voting;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providing for a supermajority requirement to amend our bylaws.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provisions of our termination agreement with Aquestive and the Deerfield Warrant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KP484, KP879 or KP1077. Further, under the Deerfield Warrant, Deerfield has the right to demand that we redeem the Deerfield Warrant for a cash amount equal to the Black-Scholes value of a portion of the warrant upon the occurrence of specified events, including a merger, an asset sale or any other change of control transaction. A takeover of us may trigger the requirement that we repurchase the Deerfield Warrant, which could make it more costly for a potential acquirer to engage in a business combination transaction with us.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obtain a favorable judicial forum for disputes with us or our directors, officers or other employees.</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sole and exclusive forum for (i) 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certificate of incorporation or our bylaws, or (iv) any action asserting a claim against us that is governed by the internal affairs doctrine.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addition, on and effective July 15, 2020, we amended and restated our bylaws, or the Bylaws, pursuant to which: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certificate of incorporation or our Bylaws (as each may be amended from time to time); (D) any action or proceeding to interpret, apply, enforce or determine the validity of our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provision shall not apply to suits brought to enforce a duty or liability created by the Securities Act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(iii) any person or entity holding, owning or otherwise acquiring any interest in any security of us shall be deemed to have notice of and consented to the provisions of the Bylaws.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or our Bylaws to be inapplicable or unenforceable in an action, we may incur additional costs associated with resolving such action in other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 which could adversely affect our profitability.</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December 31, 2020, we had federal net operating loss carryforwards of approximately $226.0 million, due to prior period losses, $138.1 million of which, if not utilized, will begin to expire in 2027. These net operating loss carryforwards could expire unused and be unavailable to offset future income tax liabilities, which could adversely affect our profitability. These federal net operating loss carryforwards are fully reserved under a valuation allowance in the unaudited condensed balance sheets as of September 30, 2021 and December 31, 2020.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to the Tax Cuts and Jobs Act.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experience ownership changes in the future as a result of subsequent shifts in our stock ownership, including as a result of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controls over financial reporting. We have performed system and process evaluation and testing of our internal controls over financial reporting to allow management to report on the effectiveness of our internal controls over financial reporting, as required by Section 404 of the Sarbanes-Oxley Act. We will be required to perform this evaluation and testing of our internal controls over financial reporting to allow management to report on the effectiveness of our internal controls over financial reporting on an annual basis. This requires that we incur substantial additional professional fees and internal costs and that we expend significant management efforts on an annual basis. We have and will be required to test our internal controls within a specified period, and, as a result, we may experience difficulty in meeting these reporting requirements.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of our common stock for a profit, if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 active trading market for our shares may not be sustained. If an active market for our common stock is not sustained, it may be difficult for you to sell our shares at an attractive price, or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879"/>
        <w:spacing w:after="0" w:line="500"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is a list of exhibits filed as part of this Form 10-Q (the SEC file number for all items incorporated by reference herein from reports on Forms 10-K, 10-Q, and 8-K is 001-36913):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00" w:type="dxa"/>
            <w:vAlign w:val="bottom"/>
            <w:gridSpan w:val="6"/>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0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980" w:type="dxa"/>
            <w:vAlign w:val="bottom"/>
            <w:tcBorders>
              <w:top w:val="single" w:sz="8" w:color="auto"/>
              <w:bottom w:val="single" w:sz="8" w:color="0000EE"/>
            </w:tcBorders>
            <w:gridSpan w:val="14"/>
          </w:tcPr>
          <w:p>
            <w:pPr>
              <w:spacing w:after="0" w:line="168"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Amended and Restated Certificate of Incorporation of KemPharm, Inc. (incorporated herein by reference to the Registrant’s Current</w:t>
              </w:r>
            </w:hyperlink>
          </w:p>
        </w:tc>
        <w:tc>
          <w:tcPr>
            <w:tcW w:w="20" w:type="dxa"/>
            <w:vAlign w:val="bottom"/>
            <w:tcBorders>
              <w:bottom w:val="single" w:sz="8" w:color="0000EE"/>
            </w:tcBorders>
          </w:tcPr>
          <w:p>
            <w:pPr>
              <w:spacing w:after="0"/>
              <w:rPr>
                <w:sz w:val="14"/>
                <w:szCs w:val="14"/>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6"/>
          </w:tcPr>
          <w:p>
            <w:pPr>
              <w:spacing w:after="0" w:line="195" w:lineRule="exact"/>
              <w:rPr>
                <w:rFonts w:ascii="Arial" w:cs="Arial" w:eastAsia="Arial" w:hAnsi="Arial"/>
                <w:sz w:val="18"/>
                <w:szCs w:val="18"/>
                <w:color w:val="0000EE"/>
              </w:rPr>
            </w:pPr>
            <w:hyperlink r:id="rId130">
              <w:r>
                <w:rPr>
                  <w:rFonts w:ascii="Arial" w:cs="Arial" w:eastAsia="Arial" w:hAnsi="Arial"/>
                  <w:sz w:val="18"/>
                  <w:szCs w:val="18"/>
                  <w:color w:val="0000EE"/>
                </w:rPr>
                <w:t>Report on Form 8-K as filed with the SEC on April 21, 2015).</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6"/>
          </w:tcPr>
          <w:p>
            <w:pPr>
              <w:spacing w:after="0" w:line="195"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Certificate of Amendment of Amended and Restated Certificate of Incorporation of the Registrant, effective as of December 23, 2020</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2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(incorporated herein by reference to Registrant's Current Report on Form 8-K as filed with the SEC on December 23, 2020).</w:t>
              </w:r>
            </w:hyperlink>
          </w:p>
        </w:tc>
        <w:tc>
          <w:tcPr>
            <w:tcW w:w="1100" w:type="dxa"/>
            <w:vAlign w:val="bottom"/>
            <w:gridSpan w:val="3"/>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6"/>
          </w:tcPr>
          <w:p>
            <w:pPr>
              <w:spacing w:after="0" w:line="195"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Amended and Restated Bylaws, as currently in effect, of KemPharm, Inc. (incorporated herein by reference to the Registrant's Current</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6"/>
          </w:tcPr>
          <w:p>
            <w:pPr>
              <w:spacing w:after="0" w:line="195" w:lineRule="exact"/>
              <w:rPr>
                <w:rFonts w:ascii="Arial" w:cs="Arial" w:eastAsia="Arial" w:hAnsi="Arial"/>
                <w:sz w:val="18"/>
                <w:szCs w:val="18"/>
                <w:color w:val="0000EE"/>
              </w:rPr>
            </w:pPr>
            <w:hyperlink r:id="rId132">
              <w:r>
                <w:rPr>
                  <w:rFonts w:ascii="Arial" w:cs="Arial" w:eastAsia="Arial" w:hAnsi="Arial"/>
                  <w:sz w:val="18"/>
                  <w:szCs w:val="18"/>
                  <w:color w:val="0000EE"/>
                </w:rPr>
                <w:t>Report on Form 8-K as filed with the SEC on July 17, 2020).</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6"/>
                <w:szCs w:val="16"/>
                <w:color w:val="auto"/>
              </w:rPr>
            </w:pPr>
          </w:p>
        </w:tc>
        <w:tc>
          <w:tcPr>
            <w:tcW w:w="10020" w:type="dxa"/>
            <w:vAlign w:val="bottom"/>
            <w:gridSpan w:val="16"/>
          </w:tcPr>
          <w:p>
            <w:pPr>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Reference is made to </w:t>
            </w:r>
            <w:hyperlink w:anchor="page108">
              <w:r>
                <w:rPr>
                  <w:rFonts w:ascii="Arial" w:cs="Arial" w:eastAsia="Arial" w:hAnsi="Arial"/>
                  <w:sz w:val="18"/>
                  <w:szCs w:val="18"/>
                  <w:color w:val="0000EE"/>
                </w:rPr>
                <w:t>Exhibit 3.1</w:t>
              </w:r>
            </w:hyperlink>
            <w:r>
              <w:rPr>
                <w:rFonts w:ascii="Arial" w:cs="Arial" w:eastAsia="Arial" w:hAnsi="Arial"/>
                <w:sz w:val="18"/>
                <w:szCs w:val="18"/>
                <w:color w:val="auto"/>
              </w:rPr>
              <w:t xml:space="preserve">, </w:t>
            </w:r>
            <w:hyperlink w:anchor="page108">
              <w:r>
                <w:rPr>
                  <w:rFonts w:ascii="Arial" w:cs="Arial" w:eastAsia="Arial" w:hAnsi="Arial"/>
                  <w:sz w:val="18"/>
                  <w:szCs w:val="18"/>
                  <w:color w:val="0000EE"/>
                </w:rPr>
                <w:t>Exhibit 3.1.1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108">
              <w:r>
                <w:rPr>
                  <w:rFonts w:ascii="Arial" w:cs="Arial" w:eastAsia="Arial" w:hAnsi="Arial"/>
                  <w:sz w:val="18"/>
                  <w:szCs w:val="18"/>
                  <w:color w:val="0000EE"/>
                </w:rPr>
                <w:t>Exhibit 3.2</w:t>
              </w:r>
              <w:r>
                <w:rPr>
                  <w:rFonts w:ascii="Arial" w:cs="Arial" w:eastAsia="Arial" w:hAnsi="Arial"/>
                  <w:sz w:val="18"/>
                  <w:szCs w:val="18"/>
                  <w:color w:val="auto"/>
                </w:rPr>
                <w:t xml:space="preserve"> </w:t>
              </w:r>
            </w:hyperlink>
            <w:r>
              <w:rPr>
                <w:rFonts w:ascii="Arial" w:cs="Arial" w:eastAsia="Arial" w:hAnsi="Arial"/>
                <w:sz w:val="18"/>
                <w:szCs w:val="18"/>
                <w:color w:val="auto"/>
              </w:rPr>
              <w:t>hereof.</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6"/>
                <w:szCs w:val="16"/>
                <w:color w:val="auto"/>
              </w:rPr>
            </w:pPr>
          </w:p>
        </w:tc>
        <w:tc>
          <w:tcPr>
            <w:tcW w:w="10020" w:type="dxa"/>
            <w:vAlign w:val="bottom"/>
            <w:gridSpan w:val="16"/>
          </w:tcPr>
          <w:p>
            <w:pPr>
              <w:spacing w:after="0" w:line="195"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Equity Distribution Agreement, dated July 2, 2021, by and among the Registrant, JMP Securities LLC and RBC Capital Markets, LLC</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133">
              <w:r>
                <w:rPr>
                  <w:rFonts w:ascii="Arial" w:cs="Arial" w:eastAsia="Arial" w:hAnsi="Arial"/>
                  <w:sz w:val="18"/>
                  <w:szCs w:val="18"/>
                  <w:color w:val="0000EE"/>
                </w:rPr>
                <w:t>(incorporated herein by reference to the Registrant's Current Report on Form 8-K as filed with the SEC on July 2, 2021).</w:t>
              </w:r>
            </w:hyperlink>
          </w:p>
        </w:tc>
        <w:tc>
          <w:tcPr>
            <w:tcW w:w="360" w:type="dxa"/>
            <w:vAlign w:val="bottom"/>
            <w:gridSpan w:val="2"/>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0" w:type="dxa"/>
            <w:vAlign w:val="bottom"/>
            <w:gridSpan w:val="9"/>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5"/>
          </w:tcPr>
          <w:p>
            <w:pPr>
              <w:spacing w:after="0" w:line="195"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Certification of the Principal Executive Officer pursuant to Rule 13a-14(a) or Rule 15d-14(a) of the Securities Exchange Act of 1934, as</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rFonts w:ascii="Arial" w:cs="Arial" w:eastAsia="Arial" w:hAnsi="Arial"/>
                <w:sz w:val="18"/>
                <w:szCs w:val="18"/>
                <w:color w:val="0000EE"/>
                <w:w w:val="84"/>
              </w:rPr>
            </w:pPr>
            <w:hyperlink w:anchor="page110">
              <w:r>
                <w:rPr>
                  <w:rFonts w:ascii="Arial" w:cs="Arial" w:eastAsia="Arial" w:hAnsi="Arial"/>
                  <w:sz w:val="18"/>
                  <w:szCs w:val="18"/>
                  <w:color w:val="0000EE"/>
                  <w:w w:val="84"/>
                </w:rPr>
                <w:t>amended.</w:t>
              </w:r>
            </w:hyperlink>
          </w:p>
        </w:tc>
        <w:tc>
          <w:tcPr>
            <w:tcW w:w="9320" w:type="dxa"/>
            <w:vAlign w:val="bottom"/>
            <w:gridSpan w:val="14"/>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6"/>
          </w:tcPr>
          <w:p>
            <w:pPr>
              <w:spacing w:after="0" w:line="195"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Certification of the Principal Financial Officer pursuant to Rule 13a-14(a) or Rule 15d-14(a) of the Securities Exchange Act of 1934, as</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rFonts w:ascii="Arial" w:cs="Arial" w:eastAsia="Arial" w:hAnsi="Arial"/>
                <w:sz w:val="18"/>
                <w:szCs w:val="18"/>
                <w:color w:val="0000EE"/>
                <w:w w:val="84"/>
              </w:rPr>
            </w:pPr>
            <w:hyperlink w:anchor="page111">
              <w:r>
                <w:rPr>
                  <w:rFonts w:ascii="Arial" w:cs="Arial" w:eastAsia="Arial" w:hAnsi="Arial"/>
                  <w:sz w:val="18"/>
                  <w:szCs w:val="18"/>
                  <w:color w:val="0000EE"/>
                  <w:w w:val="84"/>
                </w:rPr>
                <w:t>amended.</w:t>
              </w:r>
            </w:hyperlink>
          </w:p>
        </w:tc>
        <w:tc>
          <w:tcPr>
            <w:tcW w:w="9320" w:type="dxa"/>
            <w:vAlign w:val="bottom"/>
            <w:gridSpan w:val="14"/>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5"/>
          </w:tcPr>
          <w:p>
            <w:pPr>
              <w:spacing w:after="0" w:line="195"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Certification of the Principal Executive Officer pursuant to Rule 13a-14(b) of the Securities Exchange Act of 1934, as amended, and 18.</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6"/>
          </w:tcPr>
          <w:p>
            <w:pPr>
              <w:spacing w:after="0" w:line="195" w:lineRule="exact"/>
              <w:rPr>
                <w:rFonts w:ascii="Arial" w:cs="Arial" w:eastAsia="Arial" w:hAnsi="Arial"/>
                <w:sz w:val="18"/>
                <w:szCs w:val="18"/>
                <w:color w:val="0000EE"/>
              </w:rPr>
            </w:pPr>
            <w:hyperlink w:anchor="page112">
              <w:r>
                <w:rPr>
                  <w:rFonts w:ascii="Arial" w:cs="Arial" w:eastAsia="Arial" w:hAnsi="Arial"/>
                  <w:sz w:val="18"/>
                  <w:szCs w:val="18"/>
                  <w:color w:val="0000EE"/>
                </w:rPr>
                <w:t>U.S.C. Section 1350, as adopted pursuant to Section 906 of the Sarbanes-Oxley Act of 2002. (1)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00" w:type="dxa"/>
            <w:vAlign w:val="bottom"/>
            <w:gridSpan w:val="11"/>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6"/>
          </w:tcPr>
          <w:p>
            <w:pPr>
              <w:spacing w:after="0" w:line="195"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Certification of the Principal Financial Officer pursuant to Rule 13a-14(b) of the Securities Exchange Act of 1934, as amended, and 18.</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6"/>
          </w:tcPr>
          <w:p>
            <w:pPr>
              <w:spacing w:after="0" w:line="195" w:lineRule="exact"/>
              <w:rPr>
                <w:rFonts w:ascii="Arial" w:cs="Arial" w:eastAsia="Arial" w:hAnsi="Arial"/>
                <w:sz w:val="18"/>
                <w:szCs w:val="18"/>
                <w:color w:val="0000EE"/>
              </w:rPr>
            </w:pPr>
            <w:hyperlink w:anchor="page113">
              <w:r>
                <w:rPr>
                  <w:rFonts w:ascii="Arial" w:cs="Arial" w:eastAsia="Arial" w:hAnsi="Arial"/>
                  <w:sz w:val="18"/>
                  <w:szCs w:val="18"/>
                  <w:color w:val="0000EE"/>
                </w:rPr>
                <w:t>U.S.C. Section 1350, as adopted pursuant to Section 906 of the Sarbanes-Oxley Act of 2002. (1)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00" w:type="dxa"/>
            <w:vAlign w:val="bottom"/>
            <w:gridSpan w:val="11"/>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r>
      <w:tr>
        <w:trPr>
          <w:trHeight w:val="221"/>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220" w:type="dxa"/>
            <w:vAlign w:val="bottom"/>
          </w:tcPr>
          <w:p>
            <w:pPr>
              <w:spacing w:after="0"/>
              <w:rPr>
                <w:sz w:val="19"/>
                <w:szCs w:val="19"/>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 (2)</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101.SCH**</w:t>
            </w:r>
          </w:p>
        </w:tc>
        <w:tc>
          <w:tcPr>
            <w:tcW w:w="22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22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22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101.PRE**</w:t>
            </w:r>
          </w:p>
        </w:tc>
        <w:tc>
          <w:tcPr>
            <w:tcW w:w="220" w:type="dxa"/>
            <w:vAlign w:val="bottom"/>
          </w:tcPr>
          <w:p>
            <w:pPr>
              <w:spacing w:after="0"/>
              <w:rPr>
                <w:sz w:val="19"/>
                <w:szCs w:val="19"/>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0" w:lineRule="exact"/>
        <w:rPr>
          <w:sz w:val="20"/>
          <w:szCs w:val="20"/>
          <w:color w:val="auto"/>
        </w:rPr>
      </w:pPr>
    </w:p>
    <w:p>
      <w:pPr>
        <w:ind w:left="1240" w:hanging="856"/>
        <w:spacing w:after="0"/>
        <w:tabs>
          <w:tab w:leader="none" w:pos="12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combined in Exhibit 101.1)</w:t>
      </w:r>
    </w:p>
    <w:p>
      <w:pPr>
        <w:spacing w:after="0" w:line="2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 w:lineRule="exact"/>
        <w:rPr>
          <w:rFonts w:ascii="Arial" w:cs="Arial" w:eastAsia="Arial" w:hAnsi="Arial"/>
          <w:sz w:val="18"/>
          <w:szCs w:val="18"/>
          <w:color w:val="auto"/>
        </w:rPr>
      </w:pPr>
    </w:p>
    <w:p>
      <w:pPr>
        <w:jc w:val="both"/>
        <w:ind w:left="500" w:hanging="493"/>
        <w:spacing w:after="0" w:line="249"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Attached as Exhibit 101 to this Quarterly Report on Form 10-Q for the quarter ended September 30, 2021, formatted in XBRL (Extensible Business Reporting Language): (i) Unaudited Condensed Balance Sheets, (ii) Unaudited Condensed Statements of Operations, (iii) Unaudited Condensed Statements of Changes in Stockholders' Deficit, (iv) Unaudited Condensed Statements of Cash Flows, and (v) Notes to Unaudited Condensed Financial Statements, tagged as blocks of text and including detailed tags.</w:t>
      </w:r>
    </w:p>
    <w:p>
      <w:pPr>
        <w:spacing w:after="0" w:line="1" w:lineRule="exact"/>
        <w:rPr>
          <w:sz w:val="20"/>
          <w:szCs w:val="20"/>
          <w:color w:val="auto"/>
        </w:rPr>
      </w:pPr>
    </w:p>
    <w:p>
      <w:pPr>
        <w:jc w:val="both"/>
        <w:ind w:left="500" w:hanging="493"/>
        <w:spacing w:after="0" w:line="249"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 and is not to be incorporated by reference into any filing of the Registrant under the Securities Act or the Exchange Act (whether made before or after the date of the Quarterly Report on Form 10-Q), irrespective of any general incorporation language contained in such filing.</w:t>
      </w:r>
    </w:p>
    <w:p>
      <w:pPr>
        <w:ind w:left="500" w:right="20" w:hanging="493"/>
        <w:spacing w:after="0" w:line="258"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interactive data files shall not be deemed filed for purposes of Section 11 or 12 of the Securities Act of 1933, as amended, or Section 18 of the Securities Exchange Act of 1934, as amended, or otherwise subject to liability under those sections.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280" w:type="dxa"/>
            <w:vAlign w:val="bottom"/>
            <w:gridSpan w:val="2"/>
          </w:tcPr>
          <w:p>
            <w:pPr>
              <w:ind w:left="1860"/>
              <w:spacing w:after="0"/>
              <w:rPr>
                <w:sz w:val="20"/>
                <w:szCs w:val="20"/>
                <w:color w:val="auto"/>
              </w:rPr>
            </w:pPr>
            <w:r>
              <w:rPr>
                <w:rFonts w:ascii="Arial" w:cs="Arial" w:eastAsia="Arial" w:hAnsi="Arial"/>
                <w:sz w:val="18"/>
                <w:szCs w:val="18"/>
                <w:b w:val="1"/>
                <w:bCs w:val="1"/>
                <w:color w:val="auto"/>
              </w:rPr>
              <w:t>KemPharm, Inc.</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140"/>
              <w:spacing w:after="0"/>
              <w:rPr>
                <w:sz w:val="20"/>
                <w:szCs w:val="20"/>
                <w:color w:val="auto"/>
              </w:rPr>
            </w:pPr>
            <w:r>
              <w:rPr>
                <w:rFonts w:ascii="Arial" w:cs="Arial" w:eastAsia="Arial" w:hAnsi="Arial"/>
                <w:sz w:val="18"/>
                <w:szCs w:val="18"/>
                <w:color w:val="auto"/>
              </w:rPr>
              <w:t>November 10, 2021</w:t>
            </w:r>
          </w:p>
        </w:tc>
        <w:tc>
          <w:tcPr>
            <w:tcW w:w="2280" w:type="dxa"/>
            <w:vAlign w:val="bottom"/>
          </w:tcPr>
          <w:p>
            <w:pPr>
              <w:ind w:left="18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Travis C. Mickle, Ph.D.</w:t>
            </w:r>
          </w:p>
        </w:tc>
      </w:tr>
      <w:tr>
        <w:trPr>
          <w:trHeight w:val="215"/>
        </w:trPr>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140"/>
              <w:spacing w:after="0"/>
              <w:rPr>
                <w:sz w:val="20"/>
                <w:szCs w:val="20"/>
                <w:color w:val="auto"/>
              </w:rPr>
            </w:pPr>
            <w:r>
              <w:rPr>
                <w:rFonts w:ascii="Arial" w:cs="Arial" w:eastAsia="Arial" w:hAnsi="Arial"/>
                <w:sz w:val="18"/>
                <w:szCs w:val="18"/>
                <w:color w:val="auto"/>
              </w:rPr>
              <w:t>November 10, 2021</w:t>
            </w:r>
          </w:p>
        </w:tc>
        <w:tc>
          <w:tcPr>
            <w:tcW w:w="2280" w:type="dxa"/>
            <w:vAlign w:val="bottom"/>
          </w:tcPr>
          <w:p>
            <w:pPr>
              <w:ind w:left="18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210"/>
        </w:trPr>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 LaDuane Clifton, CPA</w:t>
            </w:r>
          </w:p>
        </w:tc>
      </w:tr>
    </w:tbl>
    <w:p>
      <w:pPr>
        <w:ind w:left="6240"/>
        <w:spacing w:after="0"/>
        <w:rPr>
          <w:sz w:val="20"/>
          <w:szCs w:val="20"/>
          <w:color w:val="auto"/>
        </w:rPr>
      </w:pPr>
      <w:r>
        <w:rPr>
          <w:rFonts w:ascii="Arial" w:cs="Arial" w:eastAsia="Arial" w:hAnsi="Arial"/>
          <w:sz w:val="18"/>
          <w:szCs w:val="18"/>
          <w:color w:val="auto"/>
        </w:rPr>
        <w:t>Chief Financial Officer, Secretary and Treasurer</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Travis C. Mickle, certify that:</w:t>
      </w:r>
    </w:p>
    <w:p>
      <w:pPr>
        <w:spacing w:after="0" w:line="223" w:lineRule="exact"/>
        <w:rPr>
          <w:sz w:val="20"/>
          <w:szCs w:val="20"/>
          <w:color w:val="auto"/>
        </w:rPr>
      </w:pPr>
    </w:p>
    <w:p>
      <w:pPr>
        <w:ind w:left="880" w:hanging="429"/>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10,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223" w:lineRule="exact"/>
        <w:rPr>
          <w:sz w:val="20"/>
          <w:szCs w:val="20"/>
          <w:color w:val="auto"/>
        </w:rPr>
      </w:pPr>
    </w:p>
    <w:p>
      <w:pPr>
        <w:ind w:left="880" w:hanging="429"/>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10,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7" w:lineRule="exact"/>
        <w:rPr>
          <w:sz w:val="20"/>
          <w:szCs w:val="20"/>
          <w:color w:val="auto"/>
        </w:rPr>
      </w:pPr>
    </w:p>
    <w:p>
      <w:pPr>
        <w:jc w:val="center"/>
        <w:spacing w:after="0" w:line="284" w:lineRule="auto"/>
        <w:rPr>
          <w:sz w:val="20"/>
          <w:szCs w:val="20"/>
          <w:color w:val="auto"/>
        </w:rPr>
      </w:pPr>
      <w:r>
        <w:rPr>
          <w:rFonts w:ascii="Arial" w:cs="Arial" w:eastAsia="Arial" w:hAnsi="Arial"/>
          <w:sz w:val="17"/>
          <w:szCs w:val="17"/>
          <w:color w:val="auto"/>
        </w:rPr>
        <w:t>CERTIFICATION OF THE PRINCIPAL EXECUTIVE OFFICER PURSUANT TO 18 U.S.C. SECTION 1350, AS ADOPTED PURSUANT TO SECTION 906 OF THE SARBANES-OXLEY ACT OF 2002</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on Form 10-Q of KemPharm, Inc., (the “Company”) for the quarterly period ended September 30, 2021,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80" w:hanging="429"/>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10,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7" w:lineRule="exact"/>
        <w:rPr>
          <w:sz w:val="20"/>
          <w:szCs w:val="20"/>
          <w:color w:val="auto"/>
        </w:rPr>
      </w:pPr>
    </w:p>
    <w:p>
      <w:pPr>
        <w:jc w:val="center"/>
        <w:spacing w:after="0" w:line="284" w:lineRule="auto"/>
        <w:rPr>
          <w:sz w:val="20"/>
          <w:szCs w:val="20"/>
          <w:color w:val="auto"/>
        </w:rPr>
      </w:pPr>
      <w:r>
        <w:rPr>
          <w:rFonts w:ascii="Arial" w:cs="Arial" w:eastAsia="Arial" w:hAnsi="Arial"/>
          <w:sz w:val="17"/>
          <w:szCs w:val="17"/>
          <w:color w:val="auto"/>
        </w:rPr>
        <w:t>CERTIFICATION OF THE PRINCIPAL FINANCIAL OFFICER PURSUANT TO 18 U.S.C. SECTION 1350, AS ADOPTED PURSUANT TO SECTION 906 OF THE SARBANES-OXLEY ACT OF 2002</w:t>
      </w:r>
    </w:p>
    <w:p>
      <w:pPr>
        <w:spacing w:after="0" w:line="16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connection with the Quarterly Report on Form 10-Q of KemPharm, Inc., (the “Company”) for the quarterly period ended September 30, 2021,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880" w:hanging="429"/>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10,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upperLetter"/>
      <w:start w:val="1"/>
    </w:lvl>
  </w:abstractNum>
  <w:abstractNum w:abstractNumId="3">
    <w:nsid w:val="6CEAF087"/>
    <w:multiLevelType w:val="hybridMultilevel"/>
    <w:lvl w:ilvl="0">
      <w:lvlJc w:val="left"/>
      <w:lvlText w:val="%1."/>
      <w:numFmt w:val="upperLetter"/>
      <w:start w:val="2"/>
    </w:lvl>
  </w:abstractNum>
  <w:abstractNum w:abstractNumId="4">
    <w:nsid w:val="22221A70"/>
    <w:multiLevelType w:val="hybridMultilevel"/>
    <w:lvl w:ilvl="0">
      <w:lvlJc w:val="left"/>
      <w:lvlText w:val="%1."/>
      <w:numFmt w:val="upperLetter"/>
      <w:start w:val="3"/>
    </w:lvl>
  </w:abstractNum>
  <w:abstractNum w:abstractNumId="5">
    <w:nsid w:val="4516DDE9"/>
    <w:multiLevelType w:val="hybridMultilevel"/>
    <w:lvl w:ilvl="0">
      <w:lvlJc w:val="left"/>
      <w:lvlText w:val="(%1)"/>
      <w:numFmt w:val="lowerRoman"/>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lowerRoman"/>
      <w:start w:val="1"/>
    </w:lvl>
  </w:abstractNum>
  <w:abstractNum w:abstractNumId="9">
    <w:nsid w:val="5577F8E1"/>
    <w:multiLevelType w:val="hybridMultilevel"/>
    <w:lvl w:ilvl="0">
      <w:lvlJc w:val="left"/>
      <w:lvlText w:val="%1."/>
      <w:numFmt w:val="upperLetter"/>
      <w:start w:val="4"/>
    </w:lvl>
  </w:abstractNum>
  <w:abstractNum w:abstractNumId="10">
    <w:nsid w:val="440BADFC"/>
    <w:multiLevelType w:val="hybridMultilevel"/>
    <w:lvl w:ilvl="0">
      <w:lvlJc w:val="left"/>
      <w:lvlText w:val="%1."/>
      <w:numFmt w:val="upperLetter"/>
      <w:start w:val="5"/>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upperLetter"/>
      <w:start w:val="6"/>
    </w:lvl>
  </w:abstractNum>
  <w:abstractNum w:abstractNumId="13">
    <w:nsid w:val="77465F01"/>
    <w:multiLevelType w:val="hybridMultilevel"/>
    <w:lvl w:ilvl="0">
      <w:lvlJc w:val="left"/>
      <w:lvlText w:val="%1."/>
      <w:numFmt w:val="upperLetter"/>
      <w:start w:val="7"/>
    </w:lvl>
  </w:abstractNum>
  <w:abstractNum w:abstractNumId="14">
    <w:nsid w:val="7724C67E"/>
    <w:multiLevelType w:val="hybridMultilevel"/>
    <w:lvl w:ilvl="0">
      <w:lvlJc w:val="left"/>
      <w:lvlText w:val="%1."/>
      <w:numFmt w:val="upperLetter"/>
      <w:start w:val="8"/>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upperLetter"/>
      <w:start w:val="9"/>
    </w:lvl>
  </w:abstractNum>
  <w:abstractNum w:abstractNumId="17">
    <w:nsid w:val="5E884ADC"/>
    <w:multiLevelType w:val="hybridMultilevel"/>
    <w:lvl w:ilvl="0">
      <w:lvlJc w:val="left"/>
      <w:lvlText w:val="%1."/>
      <w:numFmt w:val="upperLetter"/>
      <w:start w:val="10"/>
    </w:lvl>
  </w:abstractNum>
  <w:abstractNum w:abstractNumId="18">
    <w:nsid w:val="51EAD36B"/>
    <w:multiLevelType w:val="hybridMultilevel"/>
    <w:lvl w:ilvl="0">
      <w:lvlJc w:val="left"/>
      <w:lvlText w:val="%1."/>
      <w:numFmt w:val="upperLetter"/>
      <w:start w:val="11"/>
    </w:lvl>
  </w:abstractNum>
  <w:abstractNum w:abstractNumId="19">
    <w:nsid w:val="2D517796"/>
    <w:multiLevelType w:val="hybridMultilevel"/>
    <w:lvl w:ilvl="0">
      <w:lvlJc w:val="left"/>
      <w:lvlText w:val="%1."/>
      <w:numFmt w:val="upperLetter"/>
      <w:start w:val="12"/>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lvl w:ilvl="1">
      <w:lvlJc w:val="left"/>
      <w:lvlText w:val="%2"/>
      <w:numFmt w:val="decimal"/>
      <w:start w:val="104"/>
    </w:lvl>
  </w:abstractNum>
  <w:abstractNum w:abstractNumId="54">
    <w:nsid w:val="180115BE"/>
    <w:multiLevelType w:val="hybridMultilevel"/>
    <w:lvl w:ilvl="0">
      <w:lvlJc w:val="left"/>
      <w:lvlText w:val="**"/>
      <w:numFmt w:val="bullet"/>
      <w:start w:val="1"/>
    </w:lvl>
    <w:lvl w:ilvl="1">
      <w:lvlJc w:val="left"/>
      <w:lvlText w:val="%2"/>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4" Type="http://schemas.openxmlformats.org/officeDocument/2006/relationships/image" Target="media/image123.png"/><Relationship Id="rId130" Type="http://schemas.openxmlformats.org/officeDocument/2006/relationships/hyperlink" Target="http://www.sec.gov/Archives/edgar/data/1434647/000119312515140072/d911803dex31.htm" TargetMode="External"/><Relationship Id="rId131" Type="http://schemas.openxmlformats.org/officeDocument/2006/relationships/hyperlink" Target="http://www.sec.gov/Archives/edgar/data/0001434647/000143774920025891/ex_218888.htm" TargetMode="External"/><Relationship Id="rId132" Type="http://schemas.openxmlformats.org/officeDocument/2006/relationships/hyperlink" Target="http://www.sec.gov/Archives/edgar/data/0001434647/000143774920015351/ex_194015.htm" TargetMode="External"/><Relationship Id="rId133" Type="http://schemas.openxmlformats.org/officeDocument/2006/relationships/hyperlink" Target="http://www.sec.gov/Archives/edgar/data/0001434647/000119312521207570/d36597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2021-11-10T16:24:47Z</dcterms:created>
  <dcterms:modified xsi:type="dcterms:W3CDTF">2021-11-10T16:24:47Z</dcterms:modified>
</cp:coreProperties>
</file>