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660" w:right="1560" w:hanging="3634"/>
        <w:spacing w:after="0" w:line="427" w:lineRule="auto"/>
        <w:tabs>
          <w:tab w:leader="none" w:pos="542"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6"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1" w:lineRule="exact"/>
        <w:rPr>
          <w:rFonts w:ascii="Wingdings" w:cs="Wingdings" w:eastAsia="Wingdings" w:hAnsi="Wingdings"/>
          <w:sz w:val="18"/>
          <w:szCs w:val="18"/>
          <w:b w:val="1"/>
          <w:bCs w:val="1"/>
          <w:color w:val="auto"/>
        </w:rPr>
      </w:pPr>
    </w:p>
    <w:p>
      <w:pPr>
        <w:ind w:left="34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001-36913</w:t>
      </w:r>
    </w:p>
    <w:p>
      <w:pPr>
        <w:spacing w:after="0" w:line="3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57"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70"/>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526"/>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1180 Celebration Boulevard, Suite 103, Celebration, FL</w:t>
            </w: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34747</w:t>
            </w:r>
          </w:p>
        </w:tc>
      </w:tr>
      <w:tr>
        <w:trPr>
          <w:trHeight w:val="270"/>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608"/>
        </w:trPr>
        <w:tc>
          <w:tcPr>
            <w:tcW w:w="6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(321) 939-3416</w:t>
            </w:r>
          </w:p>
        </w:tc>
        <w:tc>
          <w:tcPr>
            <w:tcW w:w="3200" w:type="dxa"/>
            <w:vAlign w:val="bottom"/>
          </w:tcPr>
          <w:p>
            <w:pPr>
              <w:spacing w:after="0"/>
              <w:rPr>
                <w:sz w:val="24"/>
                <w:szCs w:val="24"/>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ZVRA</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3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1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91" w:orient="portrait"/>
          <w:cols w:equalWidth="0" w:num="1">
            <w:col w:w="11240"/>
          </w:cols>
          <w:pgMar w:left="320" w:top="229" w:right="339" w:bottom="0" w:gutter="0" w:footer="0" w:header="0"/>
        </w:sectPr>
      </w:pPr>
    </w:p>
    <w:bookmarkStart w:id="1" w:name="page2"/>
    <w:bookmarkEnd w:id="1"/>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2025, the registrant had 56,297,535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1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540" w:type="dxa"/>
            <w:vAlign w:val="bottom"/>
            <w:gridSpan w:val="17"/>
            <w:shd w:val="clear" w:color="auto" w:fill="CCEEFF"/>
          </w:tcPr>
          <w:p>
            <w:pPr>
              <w:jc w:val="center"/>
              <w:ind w:right="2820"/>
              <w:spacing w:after="0" w:line="182" w:lineRule="exact"/>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04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 AS OF SEPTEMBER 30, 2025, AND DECEMBER</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31, 2024</w:t>
            </w: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0000FF"/>
            </w:tcBorders>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UNAUDITED CONDENSED CONSOLIDATED STATEMENTS OF OPERATIONS FOR THE THREE AND NINE</w:t>
            </w:r>
          </w:p>
        </w:tc>
        <w:tc>
          <w:tcPr>
            <w:tcW w:w="60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MONTHS ENDED SEPTEMBER 30, 2025, AND 2024</w:t>
            </w:r>
          </w:p>
        </w:tc>
        <w:tc>
          <w:tcPr>
            <w:tcW w:w="5080" w:type="dxa"/>
            <w:vAlign w:val="bottom"/>
            <w:tcBorders>
              <w:bottom w:val="single" w:sz="8" w:color="CCEEFF"/>
            </w:tcBorders>
            <w:gridSpan w:val="13"/>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(LOSS) INCOME FOR THE</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THREE AND NINE MONTHS ENDED SEPTEMBER 30, 2025, AND 2024</w:t>
            </w:r>
          </w:p>
        </w:tc>
        <w:tc>
          <w:tcPr>
            <w:tcW w:w="380" w:type="dxa"/>
            <w:vAlign w:val="bottom"/>
            <w:gridSpan w:val="3"/>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AND NINE MONTHS ENDED SEPTEMBER 30, 2025, AND 2024</w:t>
            </w:r>
          </w:p>
        </w:tc>
        <w:tc>
          <w:tcPr>
            <w:tcW w:w="460" w:type="dxa"/>
            <w:vAlign w:val="bottom"/>
            <w:tcBorders>
              <w:top w:val="single" w:sz="8" w:color="CCEEFF"/>
            </w:tcBorders>
            <w:gridSpan w:val="4"/>
            <w:shd w:val="clear" w:color="auto" w:fill="CCEEFF"/>
          </w:tcPr>
          <w:p>
            <w:pPr>
              <w:spacing w:after="0"/>
              <w:rPr>
                <w:sz w:val="17"/>
                <w:szCs w:val="17"/>
                <w:color w:val="auto"/>
              </w:rPr>
            </w:pPr>
          </w:p>
        </w:tc>
        <w:tc>
          <w:tcPr>
            <w:tcW w:w="560" w:type="dxa"/>
            <w:vAlign w:val="bottom"/>
            <w:tcBorders>
              <w:top w:val="single" w:sz="8" w:color="CCEEFF"/>
            </w:tcBorders>
            <w:gridSpan w:val="4"/>
            <w:shd w:val="clear" w:color="auto" w:fill="CCEEFF"/>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38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6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180" w:type="dxa"/>
            <w:vAlign w:val="bottom"/>
            <w:gridSpan w:val="2"/>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9</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10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29</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00" w:type="dxa"/>
            <w:vAlign w:val="bottom"/>
            <w:gridSpan w:val="16"/>
          </w:tcPr>
          <w:p>
            <w:pPr>
              <w:jc w:val="center"/>
              <w:ind w:right="3040"/>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44</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1A.</w:t>
            </w:r>
          </w:p>
        </w:tc>
        <w:tc>
          <w:tcPr>
            <w:tcW w:w="220" w:type="dxa"/>
            <w:vAlign w:val="bottom"/>
            <w:shd w:val="clear" w:color="auto" w:fill="CCEEFF"/>
          </w:tcPr>
          <w:p>
            <w:pPr>
              <w:spacing w:after="0"/>
              <w:rPr>
                <w:sz w:val="17"/>
                <w:szCs w:val="17"/>
                <w:color w:val="auto"/>
              </w:rPr>
            </w:pPr>
          </w:p>
        </w:tc>
        <w:tc>
          <w:tcPr>
            <w:tcW w:w="9300" w:type="dxa"/>
            <w:vAlign w:val="bottom"/>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220" w:type="dxa"/>
            <w:vAlign w:val="bottom"/>
          </w:tcPr>
          <w:p>
            <w:pPr>
              <w:spacing w:after="0"/>
              <w:rPr>
                <w:sz w:val="17"/>
                <w:szCs w:val="17"/>
                <w:color w:val="auto"/>
              </w:rPr>
            </w:pP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49</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49</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9300" w:type="dxa"/>
            <w:vAlign w:val="bottom"/>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50</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51</w:t>
            </w:r>
          </w:p>
        </w:tc>
      </w:tr>
      <w:tr>
        <w:trPr>
          <w:trHeight w:val="905"/>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of our Annual Report on Form 10-K for the fiscal year ended December 31, 2024, filed with the SEC on March 12, 2025 (the “Annual Report on Form 10-K”),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7" w:lineRule="exact"/>
        <w:rPr>
          <w:sz w:val="20"/>
          <w:szCs w:val="20"/>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commercialize and the timing of commercializing our products and product candidates, if approved;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timing of and expected amount of expenses associated with our commercialization, research, and development activities;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line="284" w:lineRule="auto"/>
        <w:tabs>
          <w:tab w:leader="none" w:pos="77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outcome of and timing of any regulatory approval for any of our product candidates and the expected amount or timing of any payment related thereto under any of our collaboration agreements;</w:t>
      </w:r>
    </w:p>
    <w:p>
      <w:pPr>
        <w:spacing w:after="0" w:line="90"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federal, state and foreign tax, legal and regulatory requirements;</w:t>
      </w:r>
    </w:p>
    <w:p>
      <w:pPr>
        <w:spacing w:after="0" w:line="157" w:lineRule="exact"/>
        <w:rPr>
          <w:rFonts w:ascii="Times New Roman" w:cs="Times New Roman" w:eastAsia="Times New Roman" w:hAnsi="Times New Roman"/>
          <w:sz w:val="18"/>
          <w:szCs w:val="18"/>
          <w:i w:val="1"/>
          <w:iCs w:val="1"/>
          <w:color w:val="auto"/>
        </w:rPr>
      </w:pPr>
    </w:p>
    <w:p>
      <w:pPr>
        <w:ind w:left="780" w:right="20" w:hanging="513"/>
        <w:spacing w:after="0" w:line="284" w:lineRule="auto"/>
        <w:tabs>
          <w:tab w:leader="none" w:pos="77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 if approved;</w:t>
      </w:r>
    </w:p>
    <w:p>
      <w:pPr>
        <w:spacing w:after="0" w:line="7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senior leadership and board member transitions and refreshments; and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“Zevra,” “Company,” “we,” “us” and “our” in this Quarterly Report on Form 10-Q to refer to Zevra Therapeutics, Inc. We have proprietary rights to a number of trademarks and service marks used in this Quarterly Report on Form 10-Q that are important to our business, including MIPLYFFA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OLPRUVA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LAT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and the Zevra companies' logos. In addition, Zevra Therapeutics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Zevra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are both registered trademarks of the Company.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On August 30, 2023, we entered into an Agreement and Plan of Merger (the “Merger Agreement”) with Acer Therapeutics Inc. (“Acer”). On November 17, 2023 (the “Closing Date”), Zevra completed the acquisition of Acer (the “Merger”). Pursuant to the Merger Agreement, on the Closing Date, Acer continued as the surviving entity and as a wholly-owned subsidiary of 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33,785</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 at fair value, current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35,711</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10,509</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w:t>
            </w:r>
          </w:p>
        </w:tc>
      </w:tr>
      <w:tr>
        <w:trPr>
          <w:trHeight w:val="24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current</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33"/>
        </w:trPr>
        <w:tc>
          <w:tcPr>
            <w:tcW w:w="7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86,027</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at fair value, noncurrent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 noncurrent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10,999</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68,993</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270,116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178,127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discount and rebate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w:t>
            </w:r>
          </w:p>
        </w:tc>
      </w:tr>
      <w:tr>
        <w:trPr>
          <w:trHeight w:val="24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33"/>
        </w:trPr>
        <w:tc>
          <w:tcPr>
            <w:tcW w:w="7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34,065</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59,504</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17,804</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payable</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14,431</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and rebate liabilities, less current portion</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7,655</w:t>
            </w:r>
          </w:p>
        </w:tc>
      </w:tr>
      <w:tr>
        <w:trPr>
          <w:trHeight w:val="23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w:t>
            </w:r>
          </w:p>
        </w:tc>
      </w:tr>
      <w:tr>
        <w:trPr>
          <w:trHeight w:val="23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138,461</w:t>
            </w:r>
          </w:p>
        </w:tc>
      </w:tr>
      <w:tr>
        <w:trPr>
          <w:trHeight w:val="203"/>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M)</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2"/>
        </w:trPr>
        <w:tc>
          <w:tcPr>
            <w:tcW w:w="7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Undesignated preferred stock, $0.0001 par value, 10,000,000 shares authorized, no shares issued or outstanding</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as of September 30, 2025, or December 31, 2024</w:t>
            </w: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250,000,000 shares authorized; 57,793,414 shares issued and 56,217,722</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shares outstanding as of September 30, 2025; 55,246,401 shares issued and 53,670,709 shares outstanding as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0"/>
        </w:trPr>
        <w:tc>
          <w:tcPr>
            <w:tcW w:w="77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of December 31, 2024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580,783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555,302</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(505,289)</w:t>
            </w:r>
          </w:p>
        </w:tc>
      </w:tr>
      <w:tr>
        <w:trPr>
          <w:trHeight w:val="23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3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133,165</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270,116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178,127</w:t>
            </w:r>
          </w:p>
        </w:tc>
      </w:tr>
      <w:tr>
        <w:trPr>
          <w:trHeight w:val="21"/>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20"/>
          </w:cols>
          <w:pgMar w:left="320" w:top="121" w:right="359" w:bottom="794"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794"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5700" w:type="dxa"/>
            <w:vAlign w:val="bottom"/>
            <w:gridSpan w:val="4"/>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8"/>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60" w:type="dxa"/>
            <w:vAlign w:val="bottom"/>
            <w:gridSpan w:val="7"/>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25"/>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$315 and $1,545 in intangible asset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for the three months ended September 30, 2025, and 2024,</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 and $3,546 and $4,619 in intangible asset amortization for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nine months ended September 30, 2025, and 2024, respectively,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shown separately below)</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33,743</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38,743</w:t>
            </w:r>
          </w:p>
        </w:tc>
      </w:tr>
      <w:tr>
        <w:trPr>
          <w:trHeight w:val="237"/>
        </w:trPr>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27,153</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72,486</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r>
      <w:tr>
        <w:trPr>
          <w:trHeight w:val="22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PRV</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43"/>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37"/>
        </w:trPr>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r>
      <w:tr>
        <w:trPr>
          <w:trHeight w:val="20"/>
        </w:trPr>
        <w:tc>
          <w:tcPr>
            <w:tcW w:w="55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55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55,951,572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47,808,817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54,949,483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43,843,851</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55,951,572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47,808,817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56,782,763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43,843,851</w:t>
            </w:r>
          </w:p>
        </w:tc>
      </w:tr>
      <w:tr>
        <w:trPr>
          <w:trHeight w:val="27"/>
        </w:trPr>
        <w:tc>
          <w:tcPr>
            <w:tcW w:w="128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32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00" w:type="dxa"/>
            <w:vAlign w:val="bottom"/>
            <w:gridSpan w:val="11"/>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COMPREHENSIVE (LOSS)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700" w:type="dxa"/>
            <w:vAlign w:val="bottom"/>
            <w:tcBorders>
              <w:bottom w:val="single" w:sz="8" w:color="CCEEFF"/>
            </w:tcBorders>
            <w:gridSpan w:val="2"/>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760" w:type="dxa"/>
            <w:vAlign w:val="bottom"/>
            <w:tcBorders>
              <w:bottom w:val="single" w:sz="8" w:color="CCEEFF"/>
            </w:tcBorders>
            <w:gridSpan w:val="2"/>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71,064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70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3700" w:type="dxa"/>
            <w:vAlign w:val="bottom"/>
            <w:tcBorders>
              <w:bottom w:val="single" w:sz="8" w:color="CCEEFF"/>
            </w:tcBorders>
            <w:gridSpan w:val="2"/>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760" w:type="dxa"/>
            <w:vAlign w:val="bottom"/>
            <w:gridSpan w:val="2"/>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68,017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at cost</w:t>
            </w:r>
          </w:p>
        </w:tc>
        <w:tc>
          <w:tcPr>
            <w:tcW w:w="12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 or RSUs vested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560,471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41,023</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74,707</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the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 or RSUs vested</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564,316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(433,681)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117,230</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 or RSUs vested</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exercised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3"/>
                <w:szCs w:val="2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40" w:type="dxa"/>
            <w:vAlign w:val="bottom"/>
          </w:tcPr>
          <w:p>
            <w:pPr>
              <w:spacing w:after="0"/>
              <w:rPr>
                <w:sz w:val="23"/>
                <w:szCs w:val="23"/>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472,664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(399,778)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61,864</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476,056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48,818</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the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479,361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public</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64,517</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6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(469,550)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69,770</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3500" w:type="dxa"/>
            <w:vAlign w:val="bottom"/>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6"/>
        </w:trPr>
        <w:tc>
          <w:tcPr>
            <w:tcW w:w="77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71,064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(69,772)</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10,888</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 obsolescence charge</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warrant and CVR liability</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on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investments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Consulting fees paid in common stock</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foreign currency exchange rates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PRV</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(148,325)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w:t>
            </w:r>
          </w:p>
        </w:tc>
      </w:tr>
      <w:tr>
        <w:trPr>
          <w:trHeight w:val="25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and rebate liabilities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r>
      <w:tr>
        <w:trPr>
          <w:trHeight w:val="23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4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3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(53,415)</w:t>
            </w:r>
          </w:p>
        </w:tc>
      </w:tr>
      <w:tr>
        <w:trPr>
          <w:trHeight w:val="95"/>
        </w:trPr>
        <w:tc>
          <w:tcPr>
            <w:tcW w:w="77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 of property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(222,823)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(41,488)</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24,798</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PRV</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(16,690)</w:t>
            </w:r>
          </w:p>
        </w:tc>
      </w:tr>
      <w:tr>
        <w:trPr>
          <w:trHeight w:val="95"/>
        </w:trPr>
        <w:tc>
          <w:tcPr>
            <w:tcW w:w="77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 net of lender fees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58,990</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third-party debt issuance costs</w:t>
            </w:r>
          </w:p>
        </w:tc>
        <w:tc>
          <w:tcPr>
            <w:tcW w:w="10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(42,700)</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insurance financing arrangements</w:t>
            </w:r>
          </w:p>
        </w:tc>
        <w:tc>
          <w:tcPr>
            <w:tcW w:w="10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6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stock</w:t>
            </w:r>
          </w:p>
        </w:tc>
        <w:tc>
          <w:tcPr>
            <w:tcW w:w="10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64,516</w:t>
            </w:r>
          </w:p>
        </w:tc>
      </w:tr>
      <w:tr>
        <w:trPr>
          <w:trHeight w:val="25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options exercised or RSUs vested</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warrants exercised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principal on insurance financing arrangements</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3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81,312</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bl>
    <w:p>
      <w:pPr>
        <w:spacing w:after="0" w:line="13" w:lineRule="exact"/>
        <w:rPr>
          <w:sz w:val="20"/>
          <w:szCs w:val="20"/>
          <w:color w:val="auto"/>
        </w:rPr>
      </w:pPr>
    </w:p>
    <w:p>
      <w:pPr>
        <w:sectPr>
          <w:pgSz w:w="11900" w:h="16838" w:orient="portrait"/>
          <w:cols w:equalWidth="0" w:num="1">
            <w:col w:w="11220"/>
          </w:cols>
          <w:pgMar w:left="320" w:top="121" w:right="359" w:bottom="376"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10,990</w:t>
            </w:r>
          </w:p>
        </w:tc>
      </w:tr>
      <w:tr>
        <w:trPr>
          <w:trHeight w:val="256"/>
        </w:trPr>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43,049</w:t>
            </w:r>
          </w:p>
        </w:tc>
      </w:tr>
      <w:tr>
        <w:trPr>
          <w:trHeight w:val="236"/>
        </w:trPr>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54,439</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54,039</w:t>
            </w:r>
          </w:p>
        </w:tc>
      </w:tr>
      <w:tr>
        <w:trPr>
          <w:trHeight w:val="27"/>
        </w:trPr>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-350520</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-16510</wp:posOffset>
            </wp:positionV>
            <wp:extent cx="711517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6858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7000" w:space="720"/>
            <w:col w:w="3500"/>
          </w:cols>
          <w:pgMar w:left="320" w:top="121" w:right="359" w:bottom="376"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5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76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2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20"/>
          </w:cols>
          <w:pgMar w:left="320" w:top="121" w:right="359" w:bottom="376"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376"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Description of Business, Basis of Presentation, and 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Zevra Therapeutics, Inc. (the “Company” or “Zevra”) is a purpose-driven, commercial-stage company focused on bringing life-changing therapeutics to people living with rare diseases. The Company has a diverse portfolio of products and product candidates, which includes pre-clinical, clinical, and commercial stage assets.</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September 20, 2024, the U.S. Food and Drug Administration (“FDA”) approved the New Drug Application (“NDA”) for MIPLYFFA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MIPLYFFA has also been granted orphan medicinal product designation for the treatment of NPC by the European Commission. The Company's other commercial stage asset, OLPRUVA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phenylbutyrate) for oral suspension, is approved by the FDA for the treatment of certain urea cycle disorders (“UCDs”).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has a pipeline of investigational product candidates, including celiprolol for the treatment of Vascular Ehlers-Danlos syndrome (“VEDS”) in patients with a confirmed type III collagen mutation and KP1077, the Company's clinical development product candidate being developed to treat idiopathic hypersomnia (“IH”), a rare neurological sleep disorder, and narcolepsy. The sole active pharmaceutical ingredient of KP1077 is serdexmethylphenidate (“SDX”), the Company's proprietary prodrug of d-methylphenidate (“d-MPH”). The FDA has granted KP1077 orphan drug designation for the treatment of IH.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5, 2024, Zevra filed a registration statement on Form S-3 (File No. 333-276856) registering an aggregate of 2,269,721 shares of Zevra’s common stock. On April 5, 2024, the Company filed an amendment to such registration statement, which was declared effective on April 8,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2024, the Company entered into an underwriting agreement (the “Underwriting Agreement”) with Cantor Fitzgerald &amp; Co. and William Blair</w:t>
      </w:r>
    </w:p>
    <w:p>
      <w:pPr>
        <w:spacing w:after="0" w:line="27" w:lineRule="exact"/>
        <w:rPr>
          <w:sz w:val="20"/>
          <w:szCs w:val="20"/>
          <w:color w:val="auto"/>
        </w:rPr>
      </w:pPr>
    </w:p>
    <w:p>
      <w:pPr>
        <w:jc w:val="both"/>
        <w:ind w:firstLine="8"/>
        <w:spacing w:after="0" w:line="251" w:lineRule="auto"/>
        <w:tabs>
          <w:tab w:leader="none" w:pos="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intends to use the net proceeds of the offering to support the commercialization of its approved products and the continued development of its product candidates, and for other general corporate purposes.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September 30, 2025, no shares have been issued or sold under the 2024 ATM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were made to historical period's unaudited condensed consolidated financial statements to conform to the classifications used in the current year. These reclassifications had no impact on the consolidated net (loss) income, changes in stockholder's equity, or cash flows previously reported.</w:t>
      </w:r>
    </w:p>
    <w:p>
      <w:pPr>
        <w:spacing w:after="0" w:line="17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the Company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for which the Company has elected the fair value option under Financial Accounting Standards Board (“FASB”)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As such, these securities are carried at fair value with unrealized gains and losses included in fair value adjustment related to investments on the unaudited condensed consolidated statements of operations. The securities primarily consist of U.S. Treasury securities and corporate bonds and are included in securities at fair value in the unaudited condensed consolidated balance sheets. As of September 30, 2025, and December 31, 2024, the Company held securities with an aggregate fair value of $175.9 million and $41.7 million, respectively, that contained an aggregate unrealized gain of $119,000 and $18,000, respectively. For securities held at September 30, 2025, approximately $145.1 million mature within one year and approximately $30.9 million mature in one to three years.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members of the Board of Directors) are deemed to have the power to direct the activities of a VIE.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assessment requires judgment in determining whether these interests, in the aggregate, are considered potentially significant to the VIE. On August 30, 2023, the Company entered into an Agreement and Plan of Merger (the “Merger Agreement”) with Acer Therapeutics Inc. (“Acer”). On November 17, 2023 (the “Closing Date”), Zevra completed the acquisition of Acer (the “Merger”). Pursuant to the Merger Agreement, on the Closing Date, Acer continued as the surviving entity and as a wholly-owned subsidiary of Zevra. As of September 30, 2025, and December 31, 2024, the Company identified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and consolidates the assets and liabilities of the VIE.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PRV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received a transferable rare priority review voucher (“PRV”) in conjunction with the FDA approval of MIPLYFFA. On February 27,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 w:cs="Times New Roman" w:eastAsia="Times New Roman" w:hAnsi="Times New Roman"/>
          <w:sz w:val="18"/>
          <w:szCs w:val="18"/>
          <w:i w:val="1"/>
          <w:iCs w:val="1"/>
          <w:color w:val="auto"/>
        </w:rPr>
        <w:t>Gains and Losses from the Derecognition of Nonfinancial Assets,</w:t>
      </w:r>
      <w:r>
        <w:rPr>
          <w:rFonts w:ascii="Times New Roman" w:cs="Times New Roman" w:eastAsia="Times New Roman" w:hAnsi="Times New Roman"/>
          <w:sz w:val="18"/>
          <w:szCs w:val="18"/>
          <w:color w:val="auto"/>
        </w:rPr>
        <w:t xml:space="preserve"> the net proceeds from the sale were recorded as a gain on sale of PRV in the Company's unaudited condensed consolidated statements of operations for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is a specialty pharmacy provider.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Arimoclomol French AC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expanded access program in France, Accès Compassionnel (“French AC”). An expanded access program is a program giving specific patients access to a drug that is not yet approved for commercial sale. Only drugs targeting serious or rare indications and for which there is currently no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appropriate treatment are considered for expanded access programs. Further, to be considered for the expanded access program, the drug must have proven efficacy and safety and must either be undergoing price negotiations or seeking marketing approval.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French AC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sales under the French AC, but the final transaction price depends on the terms and conditions in the contracts with the French Health Authorities, following market approval.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 products. The limited available relevant market information for directly comparable commercialized drugs within rare disease increases the uncertainty in management's estimate.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inventories is recorded at net realizable value. The Company determines the cost of its inventories, which include amounts related to materials and manufacturing overhead, on a first-in, first-out basis. Inventories that are not expected to be sold within 12 months are classified as inventories, noncurrent.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The Company had no pre-approval inventory on its unaudited condensed consolidated balance sheets as of September 30, 2025, or December 31, 2024. Inventory used in clinical trials is also expensed as research and development expense when selected for such use. Inventory that can be used in the production of either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September 30, 2025, and December 31, 2024, the Company did not have pre-launch inventory that qualified for capitalization.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products are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three and nine months ended September 30, 2025, the Company recognized charges of approximately $0 and $11.7 million, respectively, related to write-downs for unsaleable inventory. For the three and nine months ended September 30, 2024, the Company recognized charges of approximately $2.0 million and $5.2 million, respectively, related to write-downs for unsaleable inventory.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components of cost of product revenue are royalties and expenses directly attributable to revenue. To date, the Company has generated revenue from product sales of MIPLYFFA and OLPRUVA, reimbursements received under the French AC, royalties or net sales milestone payments generated under the Collaboration and License Agreement with Commave Therapeutics SA (the “AZSTARYS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 Agreement”), and consulting agreements.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As a condition to entering into the Merger Agreement, Acer and Relief Therapeutics SA (“Relief”) entered into an exclusive license agreement on August 30, 2023 (the “Relief License Agreement”). Pursuant to the Relief License Agreement, Zevra was obligated to pay royalties of 10% of U.S. net sales of OLPRUVA up to a maximum of $45.0 million, plus specified regulatory milestones, for total payments to Relief of up to $56.5 million. On April 10, 2025, the rights to this royalty were sold to Soleus Capital Management L.P.</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AZSTARYS License Agreement, the Company pays Aquestive Therapeutics, Inc. (“Aquestive”) a royalty equal to 10% of all regulatory milestone and royalty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and liabilities are expected to be realized or settled. Valuation allowances are recorded to reduce deferred tax assets to the amount the Company believes is more likely than not to be realized.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2015,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 and offset by net operating loss carryforwards in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“OBBB”), which includes a broad range of tax reform provisions, was signed into law in the United States. The Company continues to assess the impact of the OBBB but currently does not expect the OBBB to have a material impact on the Company's estimated annual effective tax rate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unaudited condensed consolidated statements of changes in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unaudited condensed consolidated balance sheets and amortized over the life of the respective financing arrangement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or loss in other expense, net, on the unaudited condensed consolidated statements of operations. The fair value of the warrants was estimated using the Black-Scholes-Merton (“BSM”) option pricing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expands disclosures in an entity’s income tax rate reconciliation table and disclosures regarding cash taxes paid both in the U.S.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 The update will be effective for annual periods beginning after December 15, 2024. The Company is currently evaluating the impact that this guidance will have on the presentation of its financial statements and accompanying notes.</w:t>
      </w:r>
    </w:p>
    <w:p>
      <w:pPr>
        <w:spacing w:after="0" w:line="1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reimbursements received from product sales of MIPLYFFA and OLPRUVA, reimbursements received under the French AC, and royalties or net sales milestone payments generated under the AZSTARYS License Agreement. The accounting policies of the segment are the same as those described in Note B.</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Zevra's CODM is the Company's Chief Executive Officer, Neil F. McFarlane. The CODM uses net income (loss),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results of the Company's segment for the three and nine months ended September 30,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directly identified to</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4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r>
      <w:tr>
        <w:trPr>
          <w:trHeight w:val="225"/>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not directly identified to</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directly identified</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4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 programs</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r>
      <w:tr>
        <w:trPr>
          <w:trHeight w:val="225"/>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not directly</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identified to programs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26,183</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0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4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 (a)</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6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Segment net (loss) income</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(69,772)</w:t>
            </w:r>
          </w:p>
        </w:tc>
      </w:tr>
      <w:tr>
        <w:trPr>
          <w:trHeight w:val="21"/>
        </w:trPr>
        <w:tc>
          <w:tcPr>
            <w:tcW w:w="4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66"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included in segment net (loss) income includes the gain on the sale of the PRV, foreign currency exchange gains and losses, cost of product revenue (excluding intangible asset amortization), fair value adjustment related to warrant and contingent value right (“CVR”) liabilities, fair value adjustment related to investments, and other overhead expenses.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long-lived assets in the United States of $2.2 million and $13.4 million as of September 30, 2025, and December 31, 2024, respectively. The Company holds long-lived assets in Europe of $0.4 million and $0.5 million as of September 30, 2025, and December 31, 2024,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7"/>
        </w:trPr>
        <w:tc>
          <w:tcPr>
            <w:tcW w:w="7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6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6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was available to the Company in up to two drawings, each in an amount not to exceed $10.0 million, at the Company's option until October 5, 2025; and; (iii) $20.0 million, which was available to the Company upon approval by the FDA of the NDA for MIPLYFFA for the treatment of NPC, at the Company’s option until December 31, 2024 (collectively, the “Term Loans”). The Company did not draw down the amounts described in (ii) and (iii) above prior to their applicable expiration dates.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amount of the Term Loans outstanding (the “Outstanding Principal Amount”) will bear interest at a rate equal to 3-Month Term Secured Overnight Financing Rate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 June 30, 2026. The Company has recognized approximately $2.7 million and $1.4 million of interest-in-kind as of September 30, 2025, and December 31, 2024, which is included in long-term debt in the unaudited condensed consolidated balance sheets. 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and limit the ability of the Company to incur or guarantee additional indebtedness, engage in certain transactions, and effect a consolidation or merger without consent. In addition, as long as the line of credit remains active, the Company must maintain a minimum cash balance of $20.0 million to ensure the Company can meet its immediate capital needs.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The proceeds of the Term Loans were used to refinance certain existing indebtedness of the Company and its subsidiaries. The Company will use the remaining proceeds to pay fees and expenses related to the debt financing and commercialization of MIPLYFFA and OLPRUVA, and to further the development of its other product candidates.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4"/>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77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20" w:type="dxa"/>
            <w:vAlign w:val="bottom"/>
          </w:tcPr>
          <w:p>
            <w:pPr>
              <w:spacing w:after="0"/>
              <w:rPr>
                <w:sz w:val="21"/>
                <w:szCs w:val="21"/>
                <w:color w:val="auto"/>
              </w:rPr>
            </w:pP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21"/>
                <w:szCs w:val="21"/>
                <w:color w:val="auto"/>
              </w:rPr>
            </w:pPr>
          </w:p>
        </w:tc>
      </w:tr>
      <w:tr>
        <w:trPr>
          <w:trHeight w:val="27"/>
        </w:trPr>
        <w:tc>
          <w:tcPr>
            <w:tcW w:w="7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23"/>
                <w:szCs w:val="23"/>
                <w:color w:val="auto"/>
              </w:rPr>
            </w:pPr>
          </w:p>
        </w:tc>
      </w:tr>
      <w:tr>
        <w:trPr>
          <w:trHeight w:val="237"/>
        </w:trPr>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20" w:type="dxa"/>
            <w:vAlign w:val="bottom"/>
          </w:tcPr>
          <w:p>
            <w:pPr>
              <w:spacing w:after="0"/>
              <w:rPr>
                <w:sz w:val="20"/>
                <w:szCs w:val="20"/>
                <w:color w:val="auto"/>
              </w:rPr>
            </w:pPr>
          </w:p>
        </w:tc>
      </w:tr>
      <w:tr>
        <w:trPr>
          <w:trHeight w:val="27"/>
        </w:trPr>
        <w:tc>
          <w:tcPr>
            <w:tcW w:w="7720" w:type="dxa"/>
            <w:vAlign w:val="bottom"/>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77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principal payments under the Term Loans as of September 30, 2025, were as follows (in thousands):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7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63,090</w:t>
            </w:r>
          </w:p>
        </w:tc>
        <w:tc>
          <w:tcPr>
            <w:tcW w:w="20" w:type="dxa"/>
            <w:vAlign w:val="bottom"/>
            <w:tcBorders>
              <w:top w:val="single" w:sz="8" w:color="auto"/>
            </w:tcBorders>
          </w:tcPr>
          <w:p>
            <w:pPr>
              <w:spacing w:after="0"/>
              <w:rPr>
                <w:sz w:val="20"/>
                <w:szCs w:val="20"/>
                <w:color w:val="auto"/>
              </w:rPr>
            </w:pPr>
          </w:p>
        </w:tc>
      </w:tr>
      <w:tr>
        <w:trPr>
          <w:trHeight w:val="27"/>
        </w:trPr>
        <w:tc>
          <w:tcPr>
            <w:tcW w:w="7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7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debt issuance costs and paid in kind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w:t>
            </w:r>
          </w:p>
        </w:tc>
      </w:tr>
      <w:tr>
        <w:trPr>
          <w:trHeight w:val="26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20" w:type="dxa"/>
            <w:vAlign w:val="bottom"/>
            <w:tcBorders>
              <w:top w:val="single" w:sz="8" w:color="auto"/>
              <w:bottom w:val="single" w:sz="8" w:color="auto"/>
            </w:tcBorders>
          </w:tcPr>
          <w:p>
            <w:pPr>
              <w:spacing w:after="0"/>
              <w:rPr>
                <w:sz w:val="22"/>
                <w:szCs w:val="22"/>
                <w:color w:val="auto"/>
              </w:rPr>
            </w:pPr>
          </w:p>
        </w:tc>
      </w:tr>
      <w:tr>
        <w:trPr>
          <w:trHeight w:val="21"/>
        </w:trPr>
        <w:tc>
          <w:tcPr>
            <w:tcW w:w="1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$26.1 million and $72.3 million, respectively, of revenue. Included in revenue for the nine months ended September 30, 2025 is a de minimis amount related to the licensing of certain IP. For the three and nine months ended September 30, 2024, the Company recorded $3.7 million and $11.6 million, respectively,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2022, the FDA approved OLPRUVA (sodium phenylbutyrate), a prescription medicine used along with certain therapy, including changes in diet, for the chronic management of adults and children with certain UCDs. For the three and nine months ended September 30, 2025, sales of OLPRUVA were $0.1 million and $0.5 million, respectively. For the three and nine months ended September 30, 2024, sales of OLPRUVA were de minimis.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20, 2024, the FDA approved MIPLYFFA (arimoclomol), an orally-delivered treatment for NPC, which is an ultra-rare and progressive neurodegenerative disease, for treatment in combination with miglustat. For the three and nine months ended September 30, 2025, sales of MIPLYFFA were $22.4 million and $61.0 million, respectively.</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both MIPLYFFA and OLPRUVA. The Company also enters into arrangements with health care providers and payors that provide for government mandated and/or privately negotiated rebates with respect to the purchase of its products. To commercialize MIPLYFFA and OLPRUVA in the U.S., the Company has built marketing, sales, medical affairs, distribution, managerial and other non-technical capabilities or has made arrangements with third parties to perform these services. All revenues derived from sales of MIPLYFFA and OLPRUVA are 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Adjustments to product revenue recognized as a result of changes in estimates for discounts and allowances for products shipped in previous periods were 4% and 1% of revenue, net, on the unaudited condensed consolidated statements of operations during the three and nine months ended September 30, 2025, respectively. No adjustments to product revenue were recognized as a result of changes in estimates during the three and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Arimoclomol French AC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revenue related to the French AC of $2.4 million and $7.3 million, respectively, net of a clawback liability of $1.5 million and $4.5 million, respectively, and other gross to net adjustments. For the three and nine months ended September 30, 2024, the Company recognized revenue related to the French AC of</w:t>
      </w:r>
    </w:p>
    <w:p>
      <w:pPr>
        <w:sectPr>
          <w:pgSz w:w="11900" w:h="16838" w:orient="portrait"/>
          <w:cols w:equalWidth="0" w:num="1">
            <w:col w:w="11240"/>
          </w:cols>
          <w:pgMar w:left="320" w:top="108"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and $8.0 million, respectively, net of a clawback liability of $1.4 million and $4.4 million, respectively, and other gross to net adjustments.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estimated reserve liability as of September 30, 2025, and December 31, 2024, was $18.9 million and $12.6 million, respectively. As of September 30, 2025, and December 31, 2024,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“AZSTARYS License Agreement”) with Commave Therapeutics SA (formerly known as Boston Pharmaceuticals Holdings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and nine months ended September 30, 2025, the Company recognized revenue under the AZSTARYS License Agreement of $1.2 million and $3.3 million, respectively. For the three and nine months ended September 30, 2024, the Company recognized revenue under the AZSTARYS License Agreement of $1.1 million and $3.6 million, respectively. There was no deferred revenue related to this agreement as of September 30, 2025, or December 31, 2024. All revenues recognized under this agreement were derived in the United States.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Europe. For the three and nine months ended September 30, 2025, and 2024, the Company did not recognize any revenue under the Relief License Agreement. There was no deferred revenue related to this agreement as of September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product sales of MIPLYFFA and OLPRUVA, reimbursements received under the French AC, royalties generated under the AZSTARYS License Agreement, and other receivables due to the Company. Receivables under the AZSTARYS License Agreement are recorded for amounts due to the Company related to reimbursable third-party costs as well as milestones and royalties on product sales. Receivables are recorded for commercial sales of MIPLYFFA and OLPRUVA to a single specialty pharmacy and product sales under the French AC.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88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4"/>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7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accounts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related to product reimbursements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7"/>
        </w:trPr>
        <w:tc>
          <w:tcPr>
            <w:tcW w:w="7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77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no reserve or allowance for doubtful accounts had been established.</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Stock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authorized shares of common stock of 250,000,000 shares. Of the authorized shares, 57,793,414 and 55,246,401 shares of common stock were issued as of September 30, 2025, and December 31, 2024, respectively, and 56,217,722 and 53,670,709 shares of common stock were outstanding as of September 30,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reserved authorized shares of common stock for future issuance as follows: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right="2760"/>
        <w:spacing w:after="0" w:line="336" w:lineRule="auto"/>
        <w:rPr>
          <w:sz w:val="20"/>
          <w:szCs w:val="20"/>
          <w:color w:val="auto"/>
        </w:rPr>
      </w:pPr>
      <w:r>
        <w:rPr>
          <w:rFonts w:ascii="Times New Roman" w:cs="Times New Roman" w:eastAsia="Times New Roman" w:hAnsi="Times New Roman"/>
          <w:sz w:val="18"/>
          <w:szCs w:val="18"/>
          <w:color w:val="auto"/>
        </w:rPr>
        <w:t>Possible future issuances under equity incentive plans Possible future issuances under employee 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7,228,555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4,436,637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6,422,637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1,055,685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19,143,514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60325</wp:posOffset>
            </wp:positionV>
            <wp:extent cx="10801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7,789,658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5,483,537</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5,383,165</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1,148,012</w:t>
      </w:r>
    </w:p>
    <w:p>
      <w:pPr>
        <w:spacing w:after="0" w:line="7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19,804,372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60325</wp:posOffset>
            </wp:positionV>
            <wp:extent cx="10801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7320" w:space="720"/>
            <w:col w:w="1380" w:space="420"/>
            <w:col w:w="1400"/>
          </w:cols>
          <w:pgMar w:left="320" w:top="108" w:right="3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common stock activity for the 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compensation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warrants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warrants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Shares of</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53,670,709</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9,306</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999,338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54,679,363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34290</wp:posOffset>
            </wp:positionV>
            <wp:extent cx="9258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312,514</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92,327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34290</wp:posOffset>
            </wp:positionV>
            <wp:extent cx="925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55,084,204</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86,628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1,046,890</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56,217,722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60325</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00" w:space="720"/>
            <w:col w:w="1320"/>
          </w:cols>
          <w:pgMar w:left="320" w:top="108" w:right="339" w:bottom="1440" w:gutter="0" w:footer="0" w:header="0"/>
          <w:type w:val="continuous"/>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10,000,000 shares of authorized preferred stock, none of which were designated,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issued warrants to purchase common stock to various third parties, of which 4,436,637 remain outstanding as of September 30, 2025, and are immediately exercisable. These warrants qualify as participating securities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are treated as such in the net income (loss) per share calculation. The Company may be required to redeem these warrants for a cash amount equal to the BSM value of the portion of the warrants to be redeemed.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warrants are outstanding (but unexercised), the warrant holders will participate in any dividend or other distribution of the Company’s assets to its common stockholders by way of return of capital or otherwise. As of September 30, 2025, 1,046,900 of the warrants had been exercised. No warrants had been exercised as of December 31, 2024.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its outstanding warrants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September 30, 2025, and December 31, 2024, the fair value of the liability associated with these warrants was approximately $13.8 million and $17.8 million, respectively. The fair value adjustment related to these warrants for the three and nine months ended September 30, 2025 was $5.1 million and $3.1 million of loss, respectively. The fair value adjustment related to these warrants for the three and nine months ended September 30, 2024 was $6.0 million of loss and $2.2 million of income, respectively.</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12,079,711 as of September 30, 2025.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2025, the common stock reserved for issuance under the A&amp;R 2014 Plan automatically increased by 2,146,828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86,628 and 1,162,133 stock options were exercised, respectively. During the three and nine months ended September 30, 2024, 27,750 and 761,500 stock options were exercised,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September 30, 2025, 444,315 shares have been issued under the ESPP.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(as amended, the “2023 Plan”). The maximum number of shares of common stock that may be issued under the 2023 Plan was 4,500,000 as of September 30,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the A&amp;R 2014 Plan, ESPP and 2023 Plan is included in the following line items in the accompanying unaudited condensed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7"/>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stock-based compensation expense related to performance-based awards recognized during the three and nine months ended September 30, 2025. During the three and nine months ended September 30, 2024, the Company recognized approximately $2.5 million in stock-based compensation expense related to performance-based awards.</w:t>
      </w:r>
    </w:p>
    <w:p>
      <w:pPr>
        <w:spacing w:after="0" w:line="172"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0" w:lineRule="exact"/>
        <w:rPr>
          <w:sz w:val="20"/>
          <w:szCs w:val="20"/>
          <w:color w:val="auto"/>
        </w:rPr>
      </w:pPr>
    </w:p>
    <w:p>
      <w:pPr>
        <w:ind w:left="780" w:hanging="51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market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780" w:right="20" w:hanging="513"/>
        <w:spacing w:after="0" w:line="250" w:lineRule="auto"/>
        <w:tabs>
          <w:tab w:leader="none" w:pos="7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in active markets that are observable either directly or indirectly in the marketplace for identical or similar assets and liabilities; and</w:t>
      </w:r>
    </w:p>
    <w:p>
      <w:pPr>
        <w:ind w:left="780" w:hanging="51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data, which require the Company to develop its own assumptions.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and other receivables, and accounts payable and accrued expenses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2025, and December 31, 2024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438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916"/>
        </w:trPr>
        <w:tc>
          <w:tcPr>
            <w:tcW w:w="128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7"/>
        </w:trPr>
        <w:tc>
          <w:tcPr>
            <w:tcW w:w="43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3"/>
        </w:trPr>
        <w:tc>
          <w:tcPr>
            <w:tcW w:w="4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w:t>
            </w:r>
          </w:p>
        </w:tc>
      </w:tr>
      <w:tr>
        <w:trPr>
          <w:trHeight w:val="20"/>
        </w:trPr>
        <w:tc>
          <w:tcPr>
            <w:tcW w:w="43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BSM option pricing model. The following assumptions were used in determining the fair value of the warrant liabilities valued using the BSM option pricing model as of September 30,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- 3.92%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- 4.23%</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 - 63.88%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 - 68.68%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0.27 - 3.15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1.02 - 3.89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6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warrant liabilities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r>
      <w:tr>
        <w:trPr>
          <w:trHeight w:val="26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the changes in fair value of the warrant liabilities primarily resulted from changes in the discount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relate to the Company's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3,500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contingent consideration liabilities</w:t>
            </w:r>
          </w:p>
        </w:tc>
        <w:tc>
          <w:tcPr>
            <w:tcW w:w="500" w:type="dxa"/>
            <w:vAlign w:val="bottom"/>
          </w:tcPr>
          <w:p>
            <w:pPr>
              <w:spacing w:after="0"/>
              <w:rPr>
                <w:sz w:val="21"/>
                <w:szCs w:val="21"/>
                <w:color w:val="auto"/>
              </w:rPr>
            </w:pPr>
          </w:p>
        </w:tc>
        <w:tc>
          <w:tcPr>
            <w:tcW w:w="9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(1,750)</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1,750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changes in fair value of contingent consideration primarily resulted from changes in market data and revenue projections.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Net Income (Loss)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of common stock is the same as basic net loss per share of common stock for the three and nine months ended September 30, 2024, because the effects of potentially dilutive items were anti-dilutive for the respective periods. The following securities, presented on a common stock equivalent basis, have been excluded from the calculation of weighted-average number of shares of common stock outstanding because their effect is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right="1580"/>
        <w:spacing w:after="0" w:line="313" w:lineRule="auto"/>
        <w:rPr>
          <w:sz w:val="20"/>
          <w:szCs w:val="20"/>
          <w:color w:val="auto"/>
        </w:rPr>
      </w:pPr>
      <w:r>
        <w:rPr>
          <w:rFonts w:ascii="Times New Roman" w:cs="Times New Roman" w:eastAsia="Times New Roman" w:hAnsi="Times New Roman"/>
          <w:sz w:val="18"/>
          <w:szCs w:val="18"/>
          <w:color w:val="auto"/>
        </w:rPr>
        <w:t>Awards under equity incentive plans Common stock warrants</w:t>
      </w:r>
    </w:p>
    <w:p>
      <w:pPr>
        <w:jc w:val="right"/>
        <w:ind w:left="20"/>
        <w:spacing w:after="0" w:line="282" w:lineRule="auto"/>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 common stock outstanding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7,049,222</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8,987,997</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1,771,663</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8,987,997</w:t>
            </w:r>
          </w:p>
        </w:tc>
      </w:tr>
      <w:tr>
        <w:trPr>
          <w:trHeight w:val="270"/>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4,436,637</w:t>
            </w:r>
          </w:p>
        </w:tc>
        <w:tc>
          <w:tcPr>
            <w:tcW w:w="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5,483,537</w:t>
            </w:r>
          </w:p>
        </w:tc>
        <w:tc>
          <w:tcPr>
            <w:tcW w:w="80" w:type="dxa"/>
            <w:vAlign w:val="bottom"/>
          </w:tcPr>
          <w:p>
            <w:pPr>
              <w:spacing w:after="0"/>
              <w:rPr>
                <w:sz w:val="23"/>
                <w:szCs w:val="23"/>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5,483,537</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412"/>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11,485,859</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14,471,534</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1,771,663</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14,471,534</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-676275</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-325120</wp:posOffset>
            </wp:positionV>
            <wp:extent cx="71323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180"/>
            <w:col w:w="6840"/>
          </w:cols>
          <w:pgMar w:left="320" w:top="121"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from net income to basic net income attributable to common stockholders per share of common stock and diluted net income attributable to common stockholders per share of common stock for the three and nine months ended September 30, 2025,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income per share of common stock:</w:t>
            </w: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71,064</w:t>
            </w: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allocated to participating securities</w:t>
            </w:r>
          </w:p>
        </w:tc>
        <w:tc>
          <w:tcPr>
            <w:tcW w:w="160" w:type="dxa"/>
            <w:vAlign w:val="bottom"/>
          </w:tcPr>
          <w:p>
            <w:pPr>
              <w:spacing w:after="0"/>
              <w:rPr>
                <w:sz w:val="21"/>
                <w:szCs w:val="21"/>
                <w:color w:val="auto"/>
              </w:rPr>
            </w:pPr>
          </w:p>
        </w:tc>
        <w:tc>
          <w:tcPr>
            <w:tcW w:w="19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shares of common stock</w:t>
            </w: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Dividends declared or accumulated</w:t>
            </w:r>
          </w:p>
        </w:tc>
        <w:tc>
          <w:tcPr>
            <w:tcW w:w="8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Undistributed net (loss) income attributable to shares of common stock, basic</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54,949</w:t>
            </w:r>
          </w:p>
        </w:tc>
      </w:tr>
      <w:tr>
        <w:trPr>
          <w:trHeight w:val="27"/>
        </w:trPr>
        <w:tc>
          <w:tcPr>
            <w:tcW w:w="7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Basic net (loss) income per share of common stock</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(loss) income per share of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income attributable to shares of common stock</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65,755</w:t>
            </w:r>
          </w:p>
        </w:tc>
      </w:tr>
      <w:tr>
        <w:trPr>
          <w:trHeight w:val="27"/>
        </w:trPr>
        <w:tc>
          <w:tcPr>
            <w:tcW w:w="7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Fair value adjustment income related to warrant liability</w:t>
            </w:r>
          </w:p>
        </w:tc>
        <w:tc>
          <w:tcPr>
            <w:tcW w:w="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shares of common stock, diluted</w:t>
            </w:r>
          </w:p>
        </w:tc>
        <w:tc>
          <w:tcPr>
            <w:tcW w:w="8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r>
      <w:tr>
        <w:trPr>
          <w:trHeight w:val="27"/>
        </w:trPr>
        <w:tc>
          <w:tcPr>
            <w:tcW w:w="7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54,949</w:t>
            </w: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outstanding stock options (as converted to common stock)</w:t>
            </w:r>
          </w:p>
        </w:tc>
        <w:tc>
          <w:tcPr>
            <w:tcW w:w="8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7"/>
        </w:trPr>
        <w:tc>
          <w:tcPr>
            <w:tcW w:w="7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diluted</w:t>
            </w:r>
          </w:p>
        </w:tc>
        <w:tc>
          <w:tcPr>
            <w:tcW w:w="8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55,952</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56,783</w:t>
            </w:r>
          </w:p>
        </w:tc>
      </w:tr>
      <w:tr>
        <w:trPr>
          <w:trHeight w:val="263"/>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(loss) income per share of common stock</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0"/>
        </w:trPr>
        <w:tc>
          <w:tcPr>
            <w:tcW w:w="7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a straight-line basis over the lease term. The Company’s leases have remaining lease terms of approximately 1 year and up to approximately 3 years, and some which include options to terminate the leases within 1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6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8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r>
      <w:tr>
        <w:trPr>
          <w:trHeight w:val="27"/>
        </w:trPr>
        <w:tc>
          <w:tcPr>
            <w:tcW w:w="772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43"/>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77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7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720" w:type="dxa"/>
            <w:vAlign w:val="bottom"/>
            <w:gridSpan w:val="2"/>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77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12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3"/>
                <w:szCs w:val="23"/>
                <w:color w:val="auto"/>
              </w:rPr>
            </w:pPr>
          </w:p>
        </w:tc>
      </w:tr>
      <w:tr>
        <w:trPr>
          <w:trHeight w:val="26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2"/>
                <w:szCs w:val="2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21"/>
                <w:szCs w:val="21"/>
                <w:color w:val="auto"/>
              </w:rPr>
            </w:pPr>
          </w:p>
        </w:tc>
      </w:tr>
      <w:tr>
        <w:trPr>
          <w:trHeight w:val="270"/>
        </w:trPr>
        <w:tc>
          <w:tcPr>
            <w:tcW w:w="7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21"/>
                <w:szCs w:val="2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24"/>
                <w:szCs w:val="24"/>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7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1"/>
                <w:szCs w:val="21"/>
                <w:color w:val="auto"/>
              </w:rPr>
            </w:pPr>
          </w:p>
        </w:tc>
      </w:tr>
      <w:tr>
        <w:trPr>
          <w:trHeight w:val="5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4"/>
        </w:trPr>
        <w:tc>
          <w:tcPr>
            <w:tcW w:w="7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7"/>
        </w:trPr>
        <w:tc>
          <w:tcPr>
            <w:tcW w:w="7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Borders>
              <w:top w:val="single" w:sz="8" w:color="auto"/>
            </w:tcBorders>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r>
      <w:tr>
        <w:trPr>
          <w:trHeight w:val="26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Borders>
              <w:top w:val="single" w:sz="8" w:color="auto"/>
              <w:bottom w:val="single" w:sz="8" w:color="auto"/>
            </w:tcBorders>
          </w:tcPr>
          <w:p>
            <w:pPr>
              <w:spacing w:after="0"/>
              <w:rPr>
                <w:sz w:val="22"/>
                <w:szCs w:val="22"/>
                <w:color w:val="auto"/>
              </w:rPr>
            </w:pPr>
          </w:p>
        </w:tc>
      </w:tr>
      <w:tr>
        <w:trPr>
          <w:trHeight w:val="21"/>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&amp;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balance was $4.7 million as of September 30, 2025, and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non-amortizable intangible assets include $2.0 million related to in-process research and development associated with the Merger.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definite-lived intangible assets that are subject to amortization have been reviewed for impairment whenever events or changes in circumstances indicate that their carrying amounts may not be recoverable. In the second quarter of 2025, the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is not recoverable. Future cash flows specific to OLPRUVA, which most significantly includes an estimate of forecasted revenues, are based on reasonable and supportable assumptions regarding the cash flows expected to result from the use of the asset and its eventual disposition.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intangible asset impairment charge of $0 and $58.7 million, respectively, in the unaudited condensed consolidated statement of operations for the three and nine months ended September 30, 2025. As of December 31, 2024, the Company had a definite-lived intangible asset, net, related to the acquisition of OLPRUVA of $61.3 million.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impairment discussed above, the OLPRUVA definite-lived intangible asset was being amortized on a straight-line basis over the OLPRUVA patent life of 13 years. Amortization expense is recorded as intangible asset amortization in the unaudited condensed consolidated statements of operations and was $0 and $2.6 million for the three and nine months ended September 30, 2025, respectively. There was $1.5 million and $4.6 million of amortization expense related to this intangible asset for the three and nine months ended September 30, 2024,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XOMA License Agreement, a regulatory milestone payment of $6.0 million was due to XOMA upon approval of MIPLYFFA in the U.S., which the Company paid in October 2024. This definite-lived intangible asset is amortized on a straight-line basis over the MIPLYFFA patent life of approximately five years and is reviewed periodically for impairment. Amortization expense is recorded as intangible asset amortization in the unaudited condensed consolidated statements of operations and was $0.3 million and $0.9 million for the three and nine months ended September 30, 2025, respectively. Amortization expense related to this intangible asset was de minimis for the three and nine months ended September 30,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September 30, 2025, is expected to be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3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7"/>
        </w:trPr>
        <w:tc>
          <w:tcPr>
            <w:tcW w:w="7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7"/>
        </w:trPr>
        <w:tc>
          <w:tcPr>
            <w:tcW w:w="7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71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the AZSTARYS License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the Company became engaged in a legal dispute regarding the AZSTARYS License Agreement. The litigation is currently in the discovery phase. The Company cannot predict with certainty the timing or ultimate outcome of this litigation or its potential impact on the Company's business, financial condition, or results of operations. At this time, the Company has not recorded any accrual for contingent liability associated with this matter. The AZSTARYS License Agreement remains in effect during this litigation, and both parties continue to perform their respective obligations thereunder. However, there can be no assurance that this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dispute will not have an adverse impact on the Company's relationship with Commave or on the Company's business. The Company will continue to monitor developments in this matter and will assess the potential impact on the Company's financial statements in future periods. The Company expects to incur significant legal expenses in connection with this litigation, which may materially affect its results of operations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no accruals were made related to commitments and contingencies.</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tab/>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September 30, 2025, through November 5, 2025, the date the accompanying unaudited condensed consolidated financial statements were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this period, there were no subsequent events that required recognition in the accompanying unaudited condensed consolidated financial statements, nor were there any additional non-recognized subsequent events that required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2024, filed with the SEC on March 12, 2025,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purpose-driven, commercial-stage company focused on bringing life-changing therapeutics to people living with rare diseases. With a data-driven scientific approach and patient-first perspective, we are overcoming complex challenges to deliver therapies to the rare disease community. We have a diverse portfolio of products and product candidates, which includes pre-clinical, clinical, and commercial stage assets. Our team has specialized expertise and a track record of success in advancing promising therapies that face complex clinical, regulatory, and commercial challenges with an approach that balances science with patient need.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five-year strategic plan is focused on the continued transformation of Zevra into a leading rare-disease company. In addition to the commercialization of OLPRUVA and the approval and subsequent launch of MIPLYFFA, in the third quarter of 2024 we discontinued our in-house drug discovery activities and closed our laboratory facilities in Iowa and Virginia to prioritize near-term resources for our late-stage clinical development and commercial opportunities. In the future, we plan to outsource our discovery and early development activities and further expand our pipeline through both internal development and our business development activities to collaborate, partner, and potentially acquire additional assets. We intend to target assets that we believe will allow us to leverage the expertise and infrastructure that we have built to help mitigate risk and enhance our probability of success. If we are successful, expanding our pipeline could be accretive to our value proposition and has the potential to create incremental long-term value for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optimize and curate our IP portfolio through a variety of avenues to extract value for the benefit of stockholders. As part of our ongoing IP portfolio review, we licensed certain IP related to our pre-clinical stage prodrug of dextrorphan in April 2025 to an undisclosed party for an upfront payment of $250,000, potential future regulatory milestones of up to $8.45 million and single-digit royalties on net sales. This licensing revenue is included in revenue, net, on the unaudited condensed consolidated statements of operations for the nine months ended September 30,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20, 2024, the FDA approved the New Drug Application (“NDA”) for MIPLYFFA (arimoclomol), for use in combination with miglustat for the treatment of neurological manifestations of Niemann-Pick disease type C (NPC) in adult and pediatric patients 2 years of age and older. MIPLYFFA is an orally-delivered treatment for NPC, which is an ultra-rare and progressive neurodegenerative disease. In connection with this approval, we received a transferable rare pediatric disease priority review voucher (“PRV”). On April 1, 2025, we consummated the sale of the PRV, resulting in net proceeds of $148.3 million to us. MIPLYFFA has also been granted orphan medicinal product designation for the treatment of NPC by the European Commission. In November 2024, MIPLYFFA became commercially available for dispense in the United States.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30, 2023, we entered into an Agreement and Plan of Merger (the “Merger Agreement”) with Acer Therapeutics Inc. (“Acer”). On November 17, 2023 (the “Closing Date”), we completed the acquisition of Acer (the “Merger”). Pursuant to the Merger Agreement, Acer continues as a wholly-owned subsidiary of Zevra. The Merger included the acquisition of OLPRUVA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we purchased all of the assets and operations of Orphazyme A/S (“Orphazyme”) related to arimoclomol and agreed to assume an estimated reserve clawback liability of $5.2 million related to revenue generated from the sale of arimoclomol for the treatment of NPC under the remunerated expanded access program in France, Accès Compassionnel (“French AC”).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built a diverse portfolio of products and product candidates through a combination of internal development and strategic investments through acquisition. For example, we have employed our proprietary Ligand Activated Technology (LAT®) platform to develop approved products (e.g., AZSTARYS) and clinical development candidates (KP1077IH and KP1077N). Through our business development efforts, we have added commercial products (MIPLYFFA and OLPRUVA) and a clinical development candidate (celiprolol). We also have a variety of product candidates and compounds that are clinical-stage and designed to address a variety of rare diseases and other indications.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commercial products and active development assets are summarized in the table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Zevra Commercial and Active Development Assets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23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Product / Candidate</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Milestone(s)</w:t>
            </w:r>
          </w:p>
        </w:tc>
        <w:tc>
          <w:tcPr>
            <w:tcW w:w="0" w:type="dxa"/>
            <w:vAlign w:val="bottom"/>
          </w:tcPr>
          <w:p>
            <w:pPr>
              <w:spacing w:after="0"/>
              <w:rPr>
                <w:sz w:val="1"/>
                <w:szCs w:val="1"/>
                <w:color w:val="auto"/>
              </w:rPr>
            </w:pPr>
          </w:p>
        </w:tc>
      </w:tr>
      <w:tr>
        <w:trPr>
          <w:trHeight w:val="130"/>
        </w:trPr>
        <w:tc>
          <w:tcPr>
            <w:tcW w:w="202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23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3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FDA Approved</w:t>
            </w: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23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European Expanded</w:t>
            </w: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Tracking U.S. Commercial</w:t>
            </w:r>
          </w:p>
        </w:tc>
        <w:tc>
          <w:tcPr>
            <w:tcW w:w="0" w:type="dxa"/>
            <w:vAlign w:val="bottom"/>
          </w:tcPr>
          <w:p>
            <w:pPr>
              <w:spacing w:after="0"/>
              <w:rPr>
                <w:sz w:val="1"/>
                <w:szCs w:val="1"/>
                <w:color w:val="auto"/>
              </w:rPr>
            </w:pPr>
          </w:p>
        </w:tc>
      </w:tr>
      <w:tr>
        <w:trPr>
          <w:trHeight w:val="121"/>
        </w:trPr>
        <w:tc>
          <w:tcPr>
            <w:tcW w:w="202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36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Access Program (“EAP”)</w:t>
            </w:r>
          </w:p>
        </w:tc>
        <w:tc>
          <w:tcPr>
            <w:tcW w:w="2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Niemann-Pick</w:t>
            </w:r>
          </w:p>
        </w:tc>
        <w:tc>
          <w:tcPr>
            <w:tcW w:w="2380" w:type="dxa"/>
            <w:vAlign w:val="bottom"/>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03"/>
        </w:trPr>
        <w:tc>
          <w:tcPr>
            <w:tcW w:w="2020" w:type="dxa"/>
            <w:vAlign w:val="bottom"/>
            <w:shd w:val="clear" w:color="auto" w:fill="CCEEFF"/>
          </w:tcPr>
          <w:p>
            <w:pPr>
              <w:spacing w:after="0"/>
              <w:rPr>
                <w:sz w:val="8"/>
                <w:szCs w:val="8"/>
                <w:color w:val="auto"/>
              </w:rPr>
            </w:pPr>
          </w:p>
        </w:tc>
        <w:tc>
          <w:tcPr>
            <w:tcW w:w="2200" w:type="dxa"/>
            <w:vAlign w:val="bottom"/>
            <w:vMerge w:val="continue"/>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2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Arimoclomol</w:t>
            </w:r>
          </w:p>
        </w:tc>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disease type C</w:t>
            </w:r>
          </w:p>
        </w:tc>
        <w:tc>
          <w:tcPr>
            <w:tcW w:w="23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MIPLYFFA</w:t>
            </w:r>
          </w:p>
        </w:tc>
        <w:tc>
          <w:tcPr>
            <w:tcW w:w="236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Marketing Authorisation</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rPr>
                <w:sz w:val="10"/>
                <w:szCs w:val="10"/>
                <w:color w:val="auto"/>
              </w:rPr>
            </w:pPr>
          </w:p>
        </w:tc>
        <w:tc>
          <w:tcPr>
            <w:tcW w:w="22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(NPC)</w:t>
            </w:r>
          </w:p>
        </w:tc>
        <w:tc>
          <w:tcPr>
            <w:tcW w:w="2380" w:type="dxa"/>
            <w:vAlign w:val="bottom"/>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EMA Decision</w:t>
            </w: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236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Application (“MAA”)</w:t>
            </w:r>
          </w:p>
        </w:tc>
        <w:tc>
          <w:tcPr>
            <w:tcW w:w="2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2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c>
          <w:tcPr>
            <w:tcW w:w="2360" w:type="dxa"/>
            <w:vAlign w:val="bottom"/>
            <w:vMerge w:val="continue"/>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Submitted to European</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Medicines Agency (“EMA”)</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July 2025</w:t>
            </w: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Sodium phenylbutyrate</w:t>
            </w:r>
          </w:p>
        </w:tc>
        <w:tc>
          <w:tcPr>
            <w:tcW w:w="2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Urea Cycle</w:t>
            </w:r>
          </w:p>
        </w:tc>
        <w:tc>
          <w:tcPr>
            <w:tcW w:w="2380" w:type="dxa"/>
            <w:vAlign w:val="bottom"/>
            <w:tcBorders>
              <w:top w:val="single" w:sz="8" w:color="auto"/>
            </w:tcBorders>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OLPRUVA</w:t>
            </w:r>
          </w:p>
        </w:tc>
        <w:tc>
          <w:tcPr>
            <w:tcW w:w="236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FDA Approved</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Tracking Commercial</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Disorders (UCD)</w:t>
            </w:r>
          </w:p>
        </w:tc>
        <w:tc>
          <w:tcPr>
            <w:tcW w:w="238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20" w:type="dxa"/>
            <w:vAlign w:val="bottom"/>
            <w:shd w:val="clear" w:color="auto" w:fill="CCEEFF"/>
          </w:tcPr>
          <w:p>
            <w:pPr>
              <w:spacing w:after="0"/>
              <w:rPr>
                <w:sz w:val="18"/>
                <w:szCs w:val="18"/>
                <w:color w:val="auto"/>
              </w:rPr>
            </w:pPr>
          </w:p>
        </w:tc>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Ehlers</w:t>
            </w:r>
          </w:p>
        </w:tc>
        <w:tc>
          <w:tcPr>
            <w:tcW w:w="23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Ongoing Phase 3 Trial Fully</w:t>
            </w:r>
          </w:p>
        </w:tc>
        <w:tc>
          <w:tcPr>
            <w:tcW w:w="0" w:type="dxa"/>
            <w:vAlign w:val="bottom"/>
          </w:tcPr>
          <w:p>
            <w:pPr>
              <w:spacing w:after="0"/>
              <w:rPr>
                <w:sz w:val="1"/>
                <w:szCs w:val="1"/>
                <w:color w:val="auto"/>
              </w:rPr>
            </w:pPr>
          </w:p>
        </w:tc>
      </w:tr>
      <w:tr>
        <w:trPr>
          <w:trHeight w:val="108"/>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Celiprolol</w:t>
            </w:r>
          </w:p>
        </w:tc>
        <w:tc>
          <w:tcPr>
            <w:tcW w:w="22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Danlos Syndrome</w:t>
            </w:r>
          </w:p>
        </w:tc>
        <w:tc>
          <w:tcPr>
            <w:tcW w:w="2380" w:type="dxa"/>
            <w:vAlign w:val="bottom"/>
            <w:vMerge w:val="restart"/>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Celiprolol</w:t>
            </w:r>
          </w:p>
        </w:tc>
        <w:tc>
          <w:tcPr>
            <w:tcW w:w="236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Clinical - Phase 3</w:t>
            </w:r>
          </w:p>
        </w:tc>
        <w:tc>
          <w:tcPr>
            <w:tcW w:w="2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Enrolled</w:t>
            </w:r>
          </w:p>
        </w:tc>
        <w:tc>
          <w:tcPr>
            <w:tcW w:w="0" w:type="dxa"/>
            <w:vAlign w:val="bottom"/>
          </w:tcPr>
          <w:p>
            <w:pPr>
              <w:spacing w:after="0"/>
              <w:rPr>
                <w:sz w:val="1"/>
                <w:szCs w:val="1"/>
                <w:color w:val="auto"/>
              </w:rPr>
            </w:pPr>
          </w:p>
        </w:tc>
      </w:tr>
      <w:tr>
        <w:trPr>
          <w:trHeight w:val="126"/>
        </w:trPr>
        <w:tc>
          <w:tcPr>
            <w:tcW w:w="2020" w:type="dxa"/>
            <w:vAlign w:val="bottom"/>
            <w:shd w:val="clear" w:color="auto" w:fill="CCEEFF"/>
          </w:tcPr>
          <w:p>
            <w:pPr>
              <w:spacing w:after="0"/>
              <w:rPr>
                <w:sz w:val="10"/>
                <w:szCs w:val="10"/>
                <w:color w:val="auto"/>
              </w:rPr>
            </w:pPr>
          </w:p>
        </w:tc>
        <w:tc>
          <w:tcPr>
            <w:tcW w:w="22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(VEDS)</w:t>
            </w:r>
          </w:p>
        </w:tc>
        <w:tc>
          <w:tcPr>
            <w:tcW w:w="23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2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Borders>
              <w:bottom w:val="single" w:sz="8" w:color="CCEEFF"/>
            </w:tcBorders>
            <w:shd w:val="clear" w:color="auto" w:fill="CCEEFF"/>
          </w:tcPr>
          <w:p>
            <w:pPr>
              <w:spacing w:after="0"/>
              <w:rPr>
                <w:sz w:val="11"/>
                <w:szCs w:val="11"/>
                <w:color w:val="auto"/>
              </w:rPr>
            </w:pPr>
          </w:p>
        </w:tc>
        <w:tc>
          <w:tcPr>
            <w:tcW w:w="2200" w:type="dxa"/>
            <w:vAlign w:val="bottom"/>
            <w:tcBorders>
              <w:bottom w:val="single" w:sz="8" w:color="CCEEFF"/>
            </w:tcBorders>
            <w:vMerge w:val="continue"/>
            <w:shd w:val="clear" w:color="auto" w:fill="CCEEFF"/>
          </w:tcPr>
          <w:p>
            <w:pPr>
              <w:spacing w:after="0"/>
              <w:rPr>
                <w:sz w:val="11"/>
                <w:szCs w:val="11"/>
                <w:color w:val="auto"/>
              </w:rPr>
            </w:pPr>
          </w:p>
        </w:tc>
        <w:tc>
          <w:tcPr>
            <w:tcW w:w="2380" w:type="dxa"/>
            <w:vAlign w:val="bottom"/>
            <w:tcBorders>
              <w:bottom w:val="single" w:sz="8" w:color="CCEEFF"/>
            </w:tcBorders>
            <w:shd w:val="clear" w:color="auto" w:fill="CCEEFF"/>
          </w:tcPr>
          <w:p>
            <w:pPr>
              <w:spacing w:after="0"/>
              <w:rPr>
                <w:sz w:val="11"/>
                <w:szCs w:val="11"/>
                <w:color w:val="auto"/>
              </w:rPr>
            </w:pPr>
          </w:p>
        </w:tc>
        <w:tc>
          <w:tcPr>
            <w:tcW w:w="2360" w:type="dxa"/>
            <w:vAlign w:val="bottom"/>
            <w:tcBorders>
              <w:bottom w:val="single" w:sz="8" w:color="CCEEFF"/>
            </w:tcBorders>
            <w:shd w:val="clear" w:color="auto" w:fill="CCEEFF"/>
          </w:tcPr>
          <w:p>
            <w:pPr>
              <w:spacing w:after="0"/>
              <w:rPr>
                <w:sz w:val="11"/>
                <w:szCs w:val="11"/>
                <w:color w:val="auto"/>
              </w:rPr>
            </w:pPr>
          </w:p>
        </w:tc>
        <w:tc>
          <w:tcPr>
            <w:tcW w:w="22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Serdexmethylphenidate</w:t>
            </w:r>
          </w:p>
        </w:tc>
        <w:tc>
          <w:tcPr>
            <w:tcW w:w="2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Idiopathic</w:t>
            </w:r>
          </w:p>
        </w:tc>
        <w:tc>
          <w:tcPr>
            <w:tcW w:w="2380" w:type="dxa"/>
            <w:vAlign w:val="bottom"/>
            <w:tcBorders>
              <w:top w:val="single" w:sz="8" w:color="auto"/>
            </w:tcBorders>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9"/>
              </w:rPr>
              <w:t>KP1077IH</w:t>
            </w:r>
          </w:p>
        </w:tc>
        <w:tc>
          <w:tcPr>
            <w:tcW w:w="236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Clinical - Phase 2</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Phase 3 Trial Ready; Seeking</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Hypersomnia (IH)</w:t>
            </w:r>
          </w:p>
        </w:tc>
        <w:tc>
          <w:tcPr>
            <w:tcW w:w="238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Strategic Alternatives</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Serdexmethylphenidate</w:t>
            </w:r>
          </w:p>
        </w:tc>
        <w:tc>
          <w:tcPr>
            <w:tcW w:w="22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Narcolepsy</w:t>
            </w:r>
          </w:p>
        </w:tc>
        <w:tc>
          <w:tcPr>
            <w:tcW w:w="2380" w:type="dxa"/>
            <w:vAlign w:val="bottom"/>
            <w:vMerge w:val="restart"/>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KP1077N</w:t>
            </w:r>
          </w:p>
        </w:tc>
        <w:tc>
          <w:tcPr>
            <w:tcW w:w="236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Clinical - Phase 1/2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Phase 3 Trial Potential;</w:t>
            </w:r>
          </w:p>
        </w:tc>
        <w:tc>
          <w:tcPr>
            <w:tcW w:w="0" w:type="dxa"/>
            <w:vAlign w:val="bottom"/>
          </w:tcPr>
          <w:p>
            <w:pPr>
              <w:spacing w:after="0"/>
              <w:rPr>
                <w:sz w:val="1"/>
                <w:szCs w:val="1"/>
                <w:color w:val="auto"/>
              </w:rPr>
            </w:pPr>
          </w:p>
        </w:tc>
      </w:tr>
      <w:tr>
        <w:trPr>
          <w:trHeight w:val="126"/>
        </w:trPr>
        <w:tc>
          <w:tcPr>
            <w:tcW w:w="2020" w:type="dxa"/>
            <w:vAlign w:val="bottom"/>
            <w:vMerge w:val="continue"/>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380" w:type="dxa"/>
            <w:vAlign w:val="bottom"/>
            <w:vMerge w:val="continue"/>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Seeking Strategic Alternatives</w:t>
            </w:r>
          </w:p>
        </w:tc>
        <w:tc>
          <w:tcPr>
            <w:tcW w:w="0" w:type="dxa"/>
            <w:vAlign w:val="bottom"/>
          </w:tcPr>
          <w:p>
            <w:pPr>
              <w:spacing w:after="0"/>
              <w:rPr>
                <w:sz w:val="1"/>
                <w:szCs w:val="1"/>
                <w:color w:val="auto"/>
              </w:rPr>
            </w:pPr>
          </w:p>
        </w:tc>
      </w:tr>
      <w:tr>
        <w:trPr>
          <w:trHeight w:val="135"/>
        </w:trPr>
        <w:tc>
          <w:tcPr>
            <w:tcW w:w="2020" w:type="dxa"/>
            <w:vAlign w:val="bottom"/>
            <w:tcBorders>
              <w:bottom w:val="single" w:sz="8" w:color="CCEEFF"/>
            </w:tcBorders>
            <w:shd w:val="clear" w:color="auto" w:fill="CCEEFF"/>
          </w:tcPr>
          <w:p>
            <w:pPr>
              <w:spacing w:after="0"/>
              <w:rPr>
                <w:sz w:val="11"/>
                <w:szCs w:val="11"/>
                <w:color w:val="auto"/>
              </w:rPr>
            </w:pPr>
          </w:p>
        </w:tc>
        <w:tc>
          <w:tcPr>
            <w:tcW w:w="2200" w:type="dxa"/>
            <w:vAlign w:val="bottom"/>
            <w:tcBorders>
              <w:bottom w:val="single" w:sz="8" w:color="CCEEFF"/>
            </w:tcBorders>
            <w:shd w:val="clear" w:color="auto" w:fill="CCEEFF"/>
          </w:tcPr>
          <w:p>
            <w:pPr>
              <w:spacing w:after="0"/>
              <w:rPr>
                <w:sz w:val="11"/>
                <w:szCs w:val="11"/>
                <w:color w:val="auto"/>
              </w:rPr>
            </w:pPr>
          </w:p>
        </w:tc>
        <w:tc>
          <w:tcPr>
            <w:tcW w:w="2380" w:type="dxa"/>
            <w:vAlign w:val="bottom"/>
            <w:tcBorders>
              <w:bottom w:val="single" w:sz="8" w:color="CCEEFF"/>
            </w:tcBorders>
            <w:shd w:val="clear" w:color="auto" w:fill="CCEEFF"/>
          </w:tcPr>
          <w:p>
            <w:pPr>
              <w:spacing w:after="0"/>
              <w:rPr>
                <w:sz w:val="11"/>
                <w:szCs w:val="11"/>
                <w:color w:val="auto"/>
              </w:rPr>
            </w:pPr>
          </w:p>
        </w:tc>
        <w:tc>
          <w:tcPr>
            <w:tcW w:w="2360" w:type="dxa"/>
            <w:vAlign w:val="bottom"/>
            <w:tcBorders>
              <w:bottom w:val="single" w:sz="8" w:color="CCEEFF"/>
            </w:tcBorders>
            <w:shd w:val="clear" w:color="auto" w:fill="CCEEFF"/>
          </w:tcPr>
          <w:p>
            <w:pPr>
              <w:spacing w:after="0"/>
              <w:rPr>
                <w:sz w:val="11"/>
                <w:szCs w:val="11"/>
                <w:color w:val="auto"/>
              </w:rPr>
            </w:pPr>
          </w:p>
        </w:tc>
        <w:tc>
          <w:tcPr>
            <w:tcW w:w="22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Serdexmethylphenidate</w:t>
            </w:r>
          </w:p>
        </w:tc>
        <w:tc>
          <w:tcPr>
            <w:tcW w:w="2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Attention Deficit</w:t>
            </w:r>
          </w:p>
        </w:tc>
        <w:tc>
          <w:tcPr>
            <w:tcW w:w="23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FDA Approved and</w:t>
            </w:r>
          </w:p>
        </w:tc>
        <w:tc>
          <w:tcPr>
            <w:tcW w:w="2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Collecting Royalties and</w:t>
            </w: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and Hyperactivity</w:t>
            </w:r>
          </w:p>
        </w:tc>
        <w:tc>
          <w:tcPr>
            <w:tcW w:w="23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AZSTARYS</w:t>
            </w:r>
          </w:p>
        </w:tc>
        <w:tc>
          <w:tcPr>
            <w:tcW w:w="236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dexmethylphenidate</w:t>
            </w:r>
          </w:p>
        </w:tc>
        <w:tc>
          <w:tcPr>
            <w:tcW w:w="220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3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Partnered</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Milestones</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2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Disorder (ADHD)</w:t>
            </w:r>
          </w:p>
        </w:tc>
        <w:tc>
          <w:tcPr>
            <w:tcW w:w="23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2024, filed with the SEC on March 12, 2025, as updated by Part II, Item 1A. “Risk Factors”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U.S. and Europe combined, of which approximately 900 are in the U.S. and 1,100 are in Europe, where there is a mature market with an approved treatment available for NPC. Of this estimated population, approximately 300 to 350 people have been diagnosed in the U.S. However, low diagnostic rates may affect the number of potential patients, and we believe that the availability of treatment options in the U.S. could increase awareness of the disease and assist in more accurately identifying patients.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in combination with miglustat, for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previously disclosed sale of the PRV (“Asset Sale”). The Asset Sale was completed pursuant to the terms of an asset purchase agreement, dated February 26, 2025 (the “PRV Transfer Agreement”). Pursuant to the PRV Transfer Agreement, we received net proceeds of $148.3 million from the buyer upon the closing of the Asset Sale.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therapies to treat NPC are desperately needed, and, for this reason, MIPLYFFA is currently being made available to NPC patients in France, Germany, and other EU member states under various EAPs. MIPLYFFA has also been granted orphan medicinal product designation for the treatment of NPC by the European Commission.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there were a total of 137 enrollments to receive MIPLYFFA. Our commercial plans will focus on continuing to raise awareness among people who are living with NPC that are diagnosed and untreated, or undiagnosed. For MIPLYFFA, an enrollment is a prescription submitted to our specialty pharmacy, initiating the benefits investigation process to determine reimbursement and can lead to a 30-day paid dispense of MIPLYFFA. Soon after approval of MIPLYFFA, the FDA approved a second therapy for NPC, AQNEURSA, which is approved for the treatment of neurological manifestations of NPC in adults and pediatric patients weighing ≥15 kg and is marketed by IntraBio, Inc.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commercialize both of our commercial products, MIPLYFFA and OLPRUVA, in the U.S., we have built, or are making arrangements with third parties to perform, marketing, sales, medical affairs, distribution, managerial and other non-technical capabilities.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Zevra holds global rights to develop and commercialize MIPLYFFA. We continue to evaluate the potential to obtain regulatory approval for and to commercialize MIPLYFFA outside of the U.S. We are currently focusing on seeking regulatory approval in Europe, and filed an MAA in July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demonstrated a clinically significant improvement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placebo as early as 12 weeks and a halting of progression of the disease through 12 months of treatment. Data from the 48-month Open Label Extension study confirms the effectiveness of MIPLYFFA in halting disease progression over multiple years.</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flexible administration as an oral treatment.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Over 600 patients have been treated with arimoclomol across various clinical trials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indications as well as through our NPC EAPs, with no safety findings of concern found.</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Advantageous regulatory designations. </w:t>
      </w:r>
      <w:r>
        <w:rPr>
          <w:rFonts w:ascii="Times New Roman" w:cs="Times New Roman" w:eastAsia="Times New Roman" w:hAnsi="Times New Roman"/>
          <w:sz w:val="18"/>
          <w:szCs w:val="18"/>
          <w:color w:val="auto"/>
        </w:rPr>
        <w:t>MIPLYFFA has been granted orphan medicinal product designation for the treatment of NPC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Commission. On April 1, 2025, we completed the sale of the PRV, which we received upon approval of MIPLYFFA.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U.S. While there are therapies currently approved for the treatment of UCDs - specifically RAVICTI, marketed by Amgen, Inc. (formerly Horizon Therapeutics) and PHEBURANE, marketed by Medunik USA</w:t>
      </w:r>
    </w:p>
    <w:p>
      <w:pPr>
        <w:spacing w:after="0" w:line="3" w:lineRule="exact"/>
        <w:rPr>
          <w:sz w:val="20"/>
          <w:szCs w:val="20"/>
          <w:color w:val="auto"/>
        </w:rPr>
      </w:pPr>
    </w:p>
    <w:p>
      <w:pPr>
        <w:ind w:right="20" w:firstLine="8"/>
        <w:spacing w:after="0" w:line="260" w:lineRule="auto"/>
        <w:tabs>
          <w:tab w:leader="none" w:pos="1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remain unmet needs for this community of patients. OLPRUVA offers benefits over other UCD treatments by eliminating issues with palatability, offering improved portability with its single-dose envelopes, and being provided in a dosage personalized to the patient based on weight.</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2023, we began generating revenue from the sale of OLPRUVA in the U.S. Zevra has a partnership with Relief Therapeutics SA (“Relief”), which has rights to commercialize OLPRUVA in various European countries, if approved.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2025, we assessed the results of its refined commercial efforts related to OLPRUVA. This was determined to be a triggering event that could result in a decrease in future expected cash flows and, thus, indicated that the carrying amount of the OLPRUVA asset group may not be fully recoverable. We performed an undiscounted cash flow analysis over the OLPRUVA asset group and determined that the carrying value of the asset group is not recoverable. We then estimated the fair value of the asset group to measure the impairment loss for the period. Significant assumptions used to determine this fair value measurement included projected sales driven by market share and product sales price estimates, associated expenses, growth rates, and the discount rate used to measure the fair value of the net cash flows associated with this asset group. We recorded an intangible asset impairment charge of $58.7 million in the unaudited condensed consolidated statement of operations for the nine months ended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21" w:lineRule="exact"/>
        <w:rPr>
          <w:sz w:val="20"/>
          <w:szCs w:val="20"/>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certain types of UCDs. </w:t>
      </w:r>
      <w:r>
        <w:rPr>
          <w:rFonts w:ascii="Times New Roman" w:cs="Times New Roman" w:eastAsia="Times New Roman" w:hAnsi="Times New Roman"/>
          <w:sz w:val="18"/>
          <w:szCs w:val="18"/>
          <w:color w:val="auto"/>
        </w:rPr>
        <w:t>OLPRUVA is an adjunctive therapy for the chronic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adults and children weighing 20kg or greater with UCD from deficiencies of CPS, OTC, or AS.</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patients with a portable and discrete pre-measured dose.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with Acer included the acquisition of celiprolol. We are advancing celiprolol as an investigational product candidate for the treatment of VEDS in patients with a confirmed type III collagen (COL3A1) mutation. Celiprolol is a selective adrenergic modulator (“SAM”) that we believe would qualify as a new chemical entity (“NCE”) if approved in the U.S. Celiprolol is currently approved in certain EU states for the treatment of hypertension and angina.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The incidence of VEDS is estimated to be one in 50,000 to 200,000 people. There are approximately 7,500 patients in the 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thus, a pharmacologic intervention that reduces the rate of events would be clinically meaningful.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an U.S.-based prospective, randomized, double-blind, placebo-controlled, decentralized clinical trial in patients with COL3A1 positive VEDS and sought the FDA’s opinion on various proposed design features of the study.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U.S. for the treatment of patients with COL3A1-positive VEDS.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44 enrolled participants as of September 30, 2025. We believe that celiprolol could address significant unmet needs, as there are currently no approved treatments for VEDS in the U.S. We have implemented a broad recruitment drive focusing on collaborating with medical clinics where most patients are being managed. This outreach is ongoing with significant interest and participation.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U.S. </w:t>
      </w:r>
      <w:r>
        <w:rPr>
          <w:rFonts w:ascii="Times New Roman" w:cs="Times New Roman" w:eastAsia="Times New Roman" w:hAnsi="Times New Roman"/>
          <w:sz w:val="18"/>
          <w:szCs w:val="18"/>
          <w:color w:val="auto"/>
        </w:rPr>
        <w:t>There are currently no approved treatments for VEDS in the U.S., and we believe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celiprolol, if approved, could be a significant innovation in the treatment of VEDS in the U.S. where current treatment options are focused primarily on surgical intervention.</w:t>
      </w:r>
    </w:p>
    <w:p>
      <w:pPr>
        <w:spacing w:after="0" w:line="170" w:lineRule="exact"/>
        <w:rPr>
          <w:rFonts w:ascii="Times New Roman" w:cs="Times New Roman" w:eastAsia="Times New Roman" w:hAnsi="Times New Roman"/>
          <w:sz w:val="18"/>
          <w:szCs w:val="18"/>
          <w:color w:val="auto"/>
        </w:rPr>
      </w:pPr>
    </w:p>
    <w:p>
      <w:pPr>
        <w:jc w:val="both"/>
        <w:ind w:left="780" w:right="20" w:hanging="513"/>
        <w:spacing w:after="0" w:line="268"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relaxation, the effect of which is to reduce the mechanical stress on collagen fibers in the arterial wall, and thereby potentially less incidence of vascular ruptures.</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the EU and extensive clinical experience from multiple trials. </w:t>
      </w:r>
      <w:r>
        <w:rPr>
          <w:rFonts w:ascii="Times New Roman" w:cs="Times New Roman" w:eastAsia="Times New Roman" w:hAnsi="Times New Roman"/>
          <w:sz w:val="18"/>
          <w:szCs w:val="18"/>
          <w:color w:val="auto"/>
        </w:rPr>
        <w:t>Celiprolol has become the primary treatment for VEDS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several European countries. BBEST Clinical Trial data showed 76% reduction in risk of arterial events observed in COLA3A1+ subpopulation, with additional data from a long-term observational study in France.</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has been granted Orphan Drug designation and Breakthrough Therapy designation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would be deemed an NCE in the U.S. if approved.</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KP1077</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KP1077 is being developed and evaluated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and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may be beneficial.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only one approved product for the treatment of IH, XYWAV, developed by Jazz Pharmaceuticals. A second product, WAKIX, developed by Harmony Biosciences (“Harmony”), was originally approved for the treatment of EDS or cataplexy in adult patients with narcolepsy.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reported final data for the Phase 1 proof-of-concept study of SDX in the first quarter of 2022.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KP1077 utilizes SDX, our prodrug of d-MPH, as its active pharmaceutical ingredient. During the first quarter of 2022, we initiated a Phase 1 clinical trial comparing the cardiovascular safety of SDX to immediate-release and long-acting formulations of RITALIN, a commonly prescribed central nervous system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Clinically meaningful improvements were observed across all endpoints studied.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KP1077 Summary:</w:t>
      </w:r>
    </w:p>
    <w:p>
      <w:pPr>
        <w:spacing w:after="0" w:line="221" w:lineRule="exact"/>
        <w:rPr>
          <w:sz w:val="20"/>
          <w:szCs w:val="20"/>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drug-to-drug interactions observed to date. </w:t>
      </w:r>
      <w:r>
        <w:rPr>
          <w:rFonts w:ascii="Times New Roman" w:cs="Times New Roman" w:eastAsia="Times New Roman" w:hAnsi="Times New Roman"/>
          <w:sz w:val="18"/>
          <w:szCs w:val="18"/>
          <w:color w:val="auto"/>
        </w:rPr>
        <w:t>We have not observed drug-to-drug interactions in clinical drug-drug interaction studies.</w:t>
      </w:r>
    </w:p>
    <w:p>
      <w:pPr>
        <w:spacing w:after="0" w:line="225"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Possible reduction of abuse potential as a Schedule IV controlled substance. </w:t>
      </w:r>
      <w:r>
        <w:rPr>
          <w:rFonts w:ascii="Times New Roman" w:cs="Times New Roman" w:eastAsia="Times New Roman" w:hAnsi="Times New Roman"/>
          <w:sz w:val="18"/>
          <w:szCs w:val="18"/>
          <w:color w:val="auto"/>
        </w:rPr>
        <w:t>All other methylphenidate-based products have been designated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Schedule II controlled substances, which indicates stricter control over the prescribing and use of such products. KP1077's sole active pharmaceutical ingredient is SDX, which has been designated a Schedule IV controlled substance.</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currently approved generic equivalent product. </w:t>
      </w:r>
      <w:r>
        <w:rPr>
          <w:rFonts w:ascii="Times New Roman" w:cs="Times New Roman" w:eastAsia="Times New Roman" w:hAnsi="Times New Roman"/>
          <w:sz w:val="18"/>
          <w:szCs w:val="18"/>
          <w:color w:val="auto"/>
        </w:rPr>
        <w:t>KP1077 contains SDX, our proprietary prodrug of d-methylphenidate, also known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chemical name, serdexmethylphenidate, by the U.S. Adopted Names Council of the American Medical Association, which means that there may be no generic equivalent product for KP1077 in most states, making drug-equivalent substitution potentially difficult at the pharmacy.</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Orphan drug designation. </w:t>
      </w:r>
      <w:r>
        <w:rPr>
          <w:rFonts w:ascii="Times New Roman" w:cs="Times New Roman" w:eastAsia="Times New Roman" w:hAnsi="Times New Roman"/>
          <w:sz w:val="18"/>
          <w:szCs w:val="18"/>
          <w:color w:val="auto"/>
        </w:rPr>
        <w:t>Because the size of the IH patient population is small, the FDA has granted KP1077 orphan drug designation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IH. We believe KP1077 may potentially be eligible for fast-track and breakthrough therapy designation, which may provide various regulatory benefits for the development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AZSTARYS (Partnered product)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AZSTARYS contains d-MPH and our prodrug of d-MPH, SDX. On March 2, 2021, the FDA approved AZSTARYS as a once-daily treatment for attention deficit hyperactivity disorder (ADHD) in patients age six years and older. AZSTARYS is currently being marketed in the U.S. under our September 2019 collaboration and license agreement (the “AZSTARYS License Agreement”) with Commave. Under the AZSTARYS License Agreement, we granted Commave an exclusive, worldwide license, to develop, manufacture, and commercialize AZSTARYS and any of our product candidates containing SDX and used to treat ADHD or any other CNS disease. In July 2020, we entered into the consulting agreement with Corium, Inc. (“Corium”), under which Corium and Commave, respectively, engaged us to guide the product development and regulatory activities for certain current and potential future products in their portfolio, as well as continue supporting preparation for the potential commercial launch of AZSTARYS.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Commave has tasked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2021, we entered into the AZSTARYS Amendment (“AZSTARYS Amendment”), pursuant to which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in AZSTARYS, was classified as a Schedule IV controlled substance by the DEA. AZSTARYS is classified as a Schedule II controlled substance, as its formulation includes a 70:30 mixture of SDX (Schedule IV) and d-MPH (Schedule II),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single distributor for sales of our approved products, MIPLYFFA and OLPRUVA, is a specialty pharmacy provider. We, however, may establish additional specialty distributors or other retail pharmacies and certain medical centers or hospitals. In addition to distribution agreements, we may enter into arrangements with health care providers and payors that provide for government mandated and/or privately negotiated rebates with respect to the purchase of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MIPLYFFA License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our acquisition of the assets of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OLPRUVA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Relief License Agreement, Zevra was obligated to pay royalties of 10% of U.S. net sales up to a maximum of $45.0 million, plus specified regulatory milestones, for total payments to Relief of up to $56.5 million. On April 10, 2025, the rights to this royalty were sold to Soleus Capital Management 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Aquestive Termination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March 2012 termination agreement with Aquestive Therapeutics (“Aquestive”), Aquestive has the right to receive a royalty amount equal to 10% of any value generated by AZSTARYS and any product candidates containing SDX. In connection with the AZSTARYS License Agreement, we paid Aquestive a royalty equal to 10% of the quarterly royalty payments and of the regulatory and net sales milestones.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to entering into the Merger Agreement, Acer and Relief entered into an exclusive license agreement on August 30, 2023 (the “Relief License Agreement”). 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33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Period-to-</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Period Change</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22,368</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$315 and $1,545 in intangible asset amortization</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three months ended September 30, 2025, and 2024, respectively, shown</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expense</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for the three months ended September 30, 2025, was $0.5 million, compared to a net loss of $33.2 million for the three months ended September 30, 2024, an increase to net loss of $32.7 million. The increase was primarily attributable to an increase of $22.4 million in revenue, a decrease of $7.5 million in research and development expense, an increase of $1.3 million in interest and other income, net, and a decrease of $1.2 million in intangible asset amortization.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for the three months ended September 30, 2025, was $26.1 million, compared to revenue of $3.7 million for the three months ended September 30, 2024, an increase of approximately $22.4 million. The increase was primarily due to an increase in product sales of MIPLYFFA of $22.4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three months ended September 30, 2025, decreased by $1.1 million compared to the cost of product revenue for the three months ended September 30, 2024. This decrease was primarily due to the inventory write-down of $2.0 million in the prior year with no comparable occurrence in the current year, partially offset by royalty costs related to product sales of MIPLYFFA.</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 amortization for the three months ended September 30, 2025, decreased by $1.2 million compared to the intangible asset amortization for the three months ended September 30, 2024, primarily due to definite-lived intangible assets acquired in the Merger no longer being amortized as a result of the impairment recorded as of and for the period ended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$7.5 million, from $10.9 million for the three months ended September 30, 2024, to $3.4 million for the three months ended September 30, 2025. The decrease was primarily driven by a decrease in spending for the Phase 2 clinical study in KP1077 and a decrease in personnel-related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$0.7 million, from $16.2 million for the three months ended September 30, 2024, to $16.9 million for the three months ended September 30, 2025. The period-over-period increase was primarily related to an increase in personnel-related costs, professional fees, and other expenses as we continue to build our commercial organization.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expense for the three months ended September 30, 2025, was $5.1 million compared to other expense of $5.9 million for the three months ended September 30, 2024. The decrease was primarily attributable to an increase of $1.3 million in interest and other income, net, partially offset by a decrease in the fair value adjustment related to warrant and CVR liability of $0.8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Period-to-</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Period Change</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$3,546 and $4,619 in intangible asset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for the nine months ended September 30, 2025, and 2024,</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shown separately below)</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0" w:type="dxa"/>
            <w:vAlign w:val="bottom"/>
          </w:tcPr>
          <w:p>
            <w:pPr>
              <w:spacing w:after="0"/>
              <w:rPr>
                <w:sz w:val="1"/>
                <w:szCs w:val="1"/>
                <w:color w:val="auto"/>
              </w:rPr>
            </w:pPr>
          </w:p>
        </w:tc>
      </w:tr>
      <w:tr>
        <w:trPr>
          <w:trHeight w:val="237"/>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PRV</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148,325</w:t>
            </w: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3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144,455</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143,784</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nine months ended September 30, 2025, was $71.1 million, compared to net loss of $69.8 million for the nine months ended September 30, 2024, an increase in net income of approximately $140.8 million. The increase was primarily attributable to the gain on sale of the PRV of $148.3 million and an increase of $60.8 million in revenue, partially offset by $58.7 million in impairment of intangible assets and $11.7 million in inventory obsolescence.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for the nine months ended September 30, 2025, was $72.3 million, compared to revenue of $11.6 million for the nine months ended September 30, 2024, an increase of approximately $60.8 million. The increase was primarily due to an increase in product sales of MIPLYFFA of $61.0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 revenue for the nine months ended September 30, 2025, increased by approximately $8.9 million compared to the cost of product revenue for the nine months ended September 30, 2024. The increase was primarily due to $11.7 million in inventory obsolescence for the nine months ended September 30, 2025, compared to $5.2 million in inventory obsolescence for the nine months ended September 30, 2024, as well as royalty costs related to product sales of MIPLYFFA.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 amortization for the nine months ended September 30, 2025, decreased by $1.1 million compared to the intangible asset amortization for the nine months ended September 30, 2024, primarily due to definite-lived intangible assets acquired in the Merger no longer being amortized as a result of the impairment.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Impairment of intangible assets for the nine months ended September 30, 2025, was $58.7 million and was composed of the impairment loss on the OLPRUVA definite-lived intangible asset. There was no comparable impairment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$23.6 million, from $33.7 million for the nine months ended September 30, 2024, to $10.1 million for the nine months ended September 30, 2025. The decrease was primarily driven by a decrease in spending for the Phase 2 clinical study in KP1077 and a decrease in personnel-related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approximately $18.5 million, from $38.7 million for the nine months ended September 30, 2024, to $57.3 million for the nine months ended September 30, 2025. The period-over-period increase was primarily related to an increase in personnel-related costs, professional fees, and other expenses as we continue to build our commercial organization.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for the nine months ended September 30, 2025, was $146.3 million compared to other income of $1.8 million for the nine months ended September 30, 2024. The increase was primarily attributable to the gain on sale of the PRV of $148.3 million and an increase in interest and other income, net of $3.0 million, partially offset by a decrease in fair value adjustment related to warrant and CVR liability of $6.0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September 30, 2025, we have funded our research and development and operating activities primarily through the issuance of debt and equity and from product sales of MIPLYFFA and OLPRUVA, reimbursements received under the French AC, royalties or net sales milestone payments generated under the AZSTARYS License Agreement, our PRV sale consummated on April 1, 2025, and consulting agreements. As of September 30, 2025, we had cash, cash equivalents and investments of $230.4 million.</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2025, we entered into the PRV Transfer Agreement, pursuant to which we agreed to sell the PRV to the buyer, subject to customary closing conditions. Pursuant to the PRV Transfer Agreement, the buyer agreed to pay us $150.0 million, payable in cash, upon the closing of the sale. On April 1, 2025, the asset sale was consummated, resulting in net proceeds of $148.3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MIPLYFFA and OLPRUVA, reimbursements received under the French AC, royalties or net sales milestone payments generated under the AZSTARYS License Agreement, and any other future arrangements related to one or more of our products or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we and Nantahala Capital Management, LLC (“Nantahala”) concurrently entered into a registration rights agreement, pursuant to which we agreed to file a resale registration statement with respect to the resale of our common stock issuable to Nantahala. On February 5, 2024, we filed a registration statement on Form S-3 (File No. 333-276856) registering an aggregate of 2,269,721 shares of our common stock. On April 5, 2024, we filed an amendment to such registration statement, which was declared effective on April 8,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The June 2024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2024, we entered into an underwriting agreement (the “Underwriting Agreement”) with Cantor Fitzgerald &amp; Co. and William Blair &amp; Company, L.L.C., as representatives of the several underwriters named therein (collectively, the “Underwriters”), in connection with the offering, issuance and sale by us of 9,230,770 shares of our common stock at a public offering price of $6.50 per share, pursuant to the June 2024 Registration Statement and a related prospectus supplement dated August 8, 2024 filed with the SEC (the “August 2024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used the net proceeds of the offering to support the commercial launch activities for MIPLYFFA, continued commercial support for our other approved products and the continued development of celiprolol through potential NDA filings and other general corporate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its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September 30, 2025, no shares have been issued or sold under the 2024 ATM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assets acquired and liabilities assumed in the Merger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and (ii) one non-transferable CVR to be issued by Zevra, which will represent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Merger, a certain stockholder of Acer entered into, and Acer agreed to use its reasonable best efforts to cause certain other stockholders to enter into joinders to, a stockholders agreement with Zevra (the “Stockholders Agreement”). Pursuant to the Stockholders Agreement, the stockholders party thereto agreed to, or would agree to, among other things, vote all of their shares in Zevra that they own in favor of each nominee included in the Zevra board of director’s slate of nominees for each election of directors and in favor of each matter approved by the Zevra board of directors and submitted to stockholders of Zevra for the approval of stockholders following the closing of the Merger and until the second anniversary of the Closing Date of the Merger (the “Trigger Date”). In addition, the stockholders party to the Stockholders Agreement will be subject to customary standstill provisions, subject to certain exceptions, until the Trigger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us in the aggregate principal amount of $100.0 million, which is divided into three tranches as follows: (i) $60.0 million, which was funded in full on the Term Loans Closing Date; (ii) $20.0 million, which was available to us in up to two drawings, each in an amount not to exceed $10.0 million, at our option until October 5, 2025; and; (iii) $20.0 million, which was available to us upon approval by the FDA of the NDA for MIPLYFFA for the treatment of NPC, at our option until December 31, 2024 (collectively, the “Term Loans”). We did not opt to draw down the amounts described in (ii) and (iii) above prior to their applicable expiration dates.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We have the option to pay up to 25% of the interest in-kind beginning on the Term Loans Closing Date, through and including June 30, 2026. The Term Loans will mature on the fifth anniversary of the Term Loans Closing Date. In connection with the Credit Agreement, we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by us, which, among other things, will require us to provide certain financial reports to the Lenders, meet certain minimum net product sales amounts, and limit our ability to incur or guarantee additional indebtedness, engage in certain transactions, and effect a consolidation or merger without consent. In addition, as long as the line of credit remains active, we must maintain a minimum cash balance of $20.0 million to ensure that we can meet our immediate capital needs. Our obligations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of our current and future assets. The proceeds of the Term Loans were used to refinance certain of our previously existing indebtedness. We will use the remaining proceeds to pay fees and expenses related to the debt financing and fund the development and commercialization of MIPLYFFA and our other approved products, and to further the development of its other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50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81,312</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of $7.1 million consisted of net income of $71.1 million, offset by $61.7 million in adjustments for non-cash items and changes in working capital of $16.5 million. Net income was primarily attributable to the sale of the PRV, as well as revenue received from product sales of MIPLYFFA and OLPRUVA, royalties generated under the AZSTARYS License Agreement, and reimbursements received under the French AC, partially offset by impairment and obsolescence charges and spend on R&amp;D programs and operating costs. The adjustments for non-cash items primarily consisted of the gain on sale of PRV of $148.3 million, partially offset by impairment of intangible assets of $58.7 million, inventory obsolescence of $11.7 million, stock-based compensation expense of $8.4 million, $3.7 million of depreciation and amortization expense, and income tax expense of $2.9 million.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of $53.4 million consisted of a net loss of $69.8 million, changes in working capital of $1.8 million, partially offset by $18.2 million in adjustments for non-cash items. Net loss was primarily attributable to our spending on research and development programs and operating costs; partially offset by revenue received under the AZSTARYS License Agreement, and the EAP. The changes in working capital consisted of $10.6 million related to a change in accounts payable and accrued expenses, $4.2 million change in inventories, $0.4 million related to a change in operating lease liabilities, an increase of $0.5 million in prepaids and other assets and $1.0 million related to a change in other liabilities, partially offset by $9.6 million related to a change in accounts and other receivables, $0.4 million related to a change in operating lease right-of-use assets, and $4.8 million related to a change in discount and rebate liabilities. The adjustments for non-cash items primarily consisted of stock-based compensation expense of $10.9 million, an inventory obsolescence charge of $5.2 million, interest expense of $1.5 million, and $5.3 million related to depreciation, amortization and other items, partially offset by a change in the fair value of warrant and CVR liability of $4.7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investing activities was $17.9 million, which was primarily attributable to proceeds from the sale of the PRV of $150.0 million and maturities of investments of $91.0 million, partially offset by $222.8 million in purchases of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$16.7 million, which was primarily attributable to purchases of investments of $41.5 million, partially offset by $24.8 million in maturities of investments.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$9.5 million, which was primarily attributable to proceeds from the issuance of stock for warrants exercised of $6.0 million and options exercised or RSUs vested of $3.5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$81.3 million, which was primarily attributable to proceeds from the issuance of debt of $59.0 million and proceeds from the issuance of stock of $65.8 million, partially offset by repayments of debt of $42.7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available cash and cash equivalents, together with our ability to generate operating cash flow and our access to short-term and long-term borrowings, are sufficient to fund our existing and planned capital requirements for at least the next twelve months and the foreseeable future.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5" w:lineRule="exact"/>
        <w:rPr>
          <w:sz w:val="20"/>
          <w:szCs w:val="20"/>
          <w:color w:val="auto"/>
        </w:rPr>
      </w:pPr>
    </w:p>
    <w:p>
      <w:pPr>
        <w:ind w:left="780" w:hanging="51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MIPLYFFA;</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OLPRUVA;</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reimbursements received for arimoclomol under the French AC;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royalties or net sales milestone payments generated under the AZSTARYS License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62" w:lineRule="exact"/>
        <w:rPr>
          <w:sz w:val="20"/>
          <w:szCs w:val="20"/>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clinical trials and our product development activities for our pipeline of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and clinical trials of our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generated revenue from product sales of MIPLYFFA and OLPRUVA, reimbursements received under the French AC, royalties or net sales milestone payments generated under the AZSTARYS License Agreement, our PRV sale consummated on April 1, 2025 and consulting agreements. We expect that, for the foreseeable future, our sources of revenues will be from product sales of MIPLYFFA and OLPRUVA, reimbursements received under the French AC, royalties or net sales milestone payments generated under the AZSTARYS License Agreement, and any other future arrangements related to one or more of our products or product candidates. We cannot guarantee that our current commercialization strategies,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receive reimbursements under the French AC or the extent of our success in commercializing MIPLYFFA or OLPRUVA. We also expect to continue to incur significant additional costs associated with operating as a public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product sales of MIPLYFFA and OLPRUVA, reimbursements received under the French AC, royalties or net sales milestone payments generated under the AZSTARYS License Agreement,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have not changed materially from those described in Part II, Item 7 – Management’s Discussion and Analysis of Financial Condition and Results of Operations of our Annual Report on Form 10-K for the fiscal year ended December 31, 2024, filed with the SEC on March 12, 2025.</w:t>
      </w:r>
    </w:p>
    <w:p>
      <w:pPr>
        <w:spacing w:after="0" w:line="17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Exchange Act) as of September 30, 2025. Based on the evaluation of our disclosure controls and procedures as of September 30, 2025,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September 30, 2025, that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In connection with the AZSTARYS License Agreement with Commave, a dispute has arisen with Commave concerning the interpretation of certain provisions under the AZSTARYS License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4, 2024, Commave filed a complaint against Zevra in the Court of Chancery of the State of Delaware (Case No. 2024-0920-LWW) alleging breach of contract and seeking injunctive relief, specific performance, declaratory relief, and damages regarding the parties' respective rights and obligations under the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12, 2025, our motion to dismiss was denied and the case is now in the discovery phase. On July 17, 2025, Zevra and Commave filed cross motions for partial summary judgment as to certain of Commave’s claims, and the court held oral argument on the parties' cross motions on September 22, 2025. We strongly disagree with Commave's allegations and believe this lawsuit is without merit.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litigation is in its early stages.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At this time, we have not recorded any accrual for contingent liability associated with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AZSTARYS License Agreement remains in effect during this litigation, and both parties continue to perform their respective obligations thereunder.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there can be no assurance that this dispute will not have an adverse impact on our relationship with Commave or on Zevra’s business.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monitor developments in this matter and will assess the potential impact on our financial statements in future periods. We expect to incur significant legal expenses in connection with this litigation, which may materially affect our results of operations in future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herein, we believe there is no litigation pending that would reasonably be expected to, individually or in the aggregate, have a material adverse effect on our results of operations or financial condition.</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2024, filed with the SEC on March 12, 2025, before investing in our common stock. Other than as described below, there have been no material changes to the risk factors described in that report. If any such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the risk factors in our Annual Report on Form 10-K and below, and the other factors described in this Quarterly Report on Form 10-Q.</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delay, prevent or impair our development or commercialization efforts.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policies, geopolitical disputes and other international conflicts can result in tariffs, sanctions and other measures that restrict international trade, and can materially adversely affect our business, particularly if these measures affect regions where manufacturing and product development activities take place or raw materials are sourced. For example,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The extent and duration of any tariffs and the resulting impact on general economic conditions and on our business are uncertain and depend on various factors, such as negotiations between the United States and other countries, the response of such countries, and exemptions or exclusions that may be granted. Countries may also adopt other measures, such as controls on imports or exports of goods, technology or data, that could adversely impact supply chains. As these tensions continue to rise, more targeted approaches on certain products, industries or companies could significantly impact our development and commercialization efforts. Further, such actions by the U.S. could result in other retaliatory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actions by those countries which could impact our ability to profitably commercialize our products in those jurisdictions. As a result, our business, operations, and financial condition could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Our future performance will depend, in part, on our ability to retain senior level executives who will provide continuity of leadership among the larger workforce. If we are unable to avoid excessive or disruptive turnover of our executive officers, that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attract and retain the best available personnel with the necessary qualifications, which in a competitive global market means that our recruitment efforts should not be limited entirely to the U.S. To the extent U.S. immigration-related policies, laws, rules, proclamations or orders restrict our ability to attract, or increase the cost of attracting, international talent, this could adversely impact our business and results of operations. For example, the current U.S. administration's decision, announced September 19, 2025, that, subject to limited exceptions, petitions for H-1B visas should be approved only if they are accompanied by a payment of $100,000, could hamper our recruitment efforts for any new personnel who require such a visa. Additional changes in U.S. immigration policies, rules, laws or orders could further increase our recruitment costs or delay key projects that require specialized expertise. In addition, restrictions or delays in the issuance of other visas or in immigration processing could adversely affect our ability to collaborate effectively with our employees outside the U.S. and to retain the qualified personnel needed for our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recognized an impairment charge related to intangible assets. If our remaining assets become impaired in the future, we would incur additional impairment charges, which would negatively affect our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impairment charges of $58.7 million related to definite-lived intangible assets during the quarter ended June 30, 2025. If our remaining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For additional information, see Note L of our unaudited condensed consolidated financial statements included elsewhere in this Quarterly Report on Form 10-Q.</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marketing approval of our product candidates and increase the cost to commercialize our approved products, and may also create similar difficulty for any of our product candidates that may be approved in the future, which may have a negative impact on our business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our approved products and our ability to profitably sell any of our product candidates for which we obtain marketing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2010, the ACA was signed into law. The ACA substantially changed the way healthcare is financed by both governmental and private insurers, and significantly affects the U.S. pharmaceutical industry.</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Among the provisions of the ACA of importance to our business, including our ability to commercialize and the prices we may obtain for our product candidates that are approved for sale are the following:</w:t>
      </w:r>
    </w:p>
    <w:p>
      <w:pPr>
        <w:spacing w:after="0" w:line="162"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(the “340B program”) to include certain free-standing cancer hospitals, critical access hospitals, rural referral centers, and sole community hospitals, but exempting “orphan drugs,” such as MIPLYFFA, from the 340B ceiling price requirements for these covered entities;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remains in effect in its current form.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August 2011, the Budget Control Act of 2011, among other things, included aggregate reductions to Medicare payments to providers, which went into effect in April 2013, and, due to subsequent legislative amendments, will stay in effect through 2032.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In addition, on March 11, 2021, the American Rescue Plan Act of 2021 was signed into law, which eliminated the statutory Medicaid drug rebate cap, beginning January 1, 2024. The rebate was previously capped at 100% of a drug's average manufacturer price.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The impact of the IRA on us and the pharmaceutical industry cannot yet be fully determined, but is likely to be significant..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MIPLYFFA®, OLPRUVA® or any other product candidate that we may commercialize.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Trump administration has also issued executive orders that address the pricing of pharmaceuticals in the U.S. and propose a so-called most favored nation pricing policy, which would tie the price of drugs in the U.S. to the lowest price in a group of other countries. While it is unclear whether and how these proposals will be implemented, the Trump policies are likely to have a negative impact on the pharmaceutical industry. Even proposals or executive actions that are ultimately deemed unlawful could negatively impact the U.S. pharmaceutical sector and our business, for example by causing uncertainty and delaying development and commercialization efforts.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drug price increase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These new laws may result in additional reductions in Medicare and other healthcare funding, which could negatively impact customers for our product candidates, if approved, and, accordingly, our financial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recognize promising technologies early, and continuing voluntary cooperation in other areas. Individual EU member states will continue to be responsible for assessing non-clinical (e.g., economic, social, ethical) aspects of health technology, and for making decisions on pricing and reimbursement.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among other things, result in more rigorous coverage criteria as well as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or maintain profitability, or commercialize our product candidates.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the FDA's or foreign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IRA imposes rebates under Medicare Part B and Medicare Part D that are triggered by price increases that outpace inflation (starting in 2023), as described under the risk factor </w:t>
      </w:r>
      <w:r>
        <w:rPr>
          <w:rFonts w:ascii="Times New Roman" w:cs="Times New Roman" w:eastAsia="Times New Roman" w:hAnsi="Times New Roman"/>
          <w:sz w:val="18"/>
          <w:szCs w:val="18"/>
          <w:i w:val="1"/>
          <w:iCs w:val="1"/>
          <w:color w:val="auto"/>
        </w:rPr>
        <w:t>“Current and future healthcare reform legislation or regulation may increase the difficulty and cost for us to obtain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marketing approval of our product candidates and increase the cost to commercialize our approved products, and may also create similar difficulty for any of our product candidates that may be approved in the future, which may have a negative impact on our business and results of operations,” </w:t>
      </w:r>
      <w:r>
        <w:rPr>
          <w:rFonts w:ascii="Times New Roman" w:cs="Times New Roman" w:eastAsia="Times New Roman" w:hAnsi="Times New Roman"/>
          <w:sz w:val="18"/>
          <w:szCs w:val="18"/>
          <w:color w:val="auto"/>
        </w:rPr>
        <w:t>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Part D rebate will be calculated on the basis of the AMP figures we report pursuant to the MDRP.</w:t>
      </w:r>
    </w:p>
    <w:p>
      <w:pPr>
        <w:spacing w:after="0" w:line="183"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patients. The ACA expanded the list of covered entities to include certain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cancer hospitals, critical access hospitals, rural referral centers and sole community hospitals, but exempts “orphan drugs,” such as OLPRUVA ,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with 340B program requirements could negatively impact our financial results. Any additional future changes to the definition of average manufacturer or and the Medicaid rebate amount under legislation or regulation could affect our 340B ceiling price calculations and also negatively impact our financial results.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for OLPRUVA or any product candidates, if approved, to be paid for with federal funds under the Medicaid and Medicare Part B programs and purchased by certain federal agencies and grantees, we also participate in the U.S. Department of Veterans Affairs (“VA”) Federal Supply Schedule (“FSS”) pricing program. As part of this program, we are required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 The FCP is based on the Non-Federal Average Manufacturer Price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8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20" w:right="6160" w:hanging="250"/>
        <w:spacing w:after="0" w:line="500" w:lineRule="auto"/>
        <w:tabs>
          <w:tab w:leader="none" w:pos="4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420" w:right="2620" w:hanging="250"/>
        <w:spacing w:after="0" w:line="500" w:lineRule="auto"/>
        <w:tabs>
          <w:tab w:leader="none" w:pos="4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rFonts w:ascii="Times New Roman" w:cs="Times New Roman" w:eastAsia="Times New Roman" w:hAnsi="Times New Roman"/>
          <w:sz w:val="18"/>
          <w:szCs w:val="18"/>
          <w:color w:val="auto"/>
        </w:rPr>
      </w:pPr>
    </w:p>
    <w:p>
      <w:pPr>
        <w:ind w:lef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00" w:type="dxa"/>
            <w:vAlign w:val="bottom"/>
            <w:gridSpan w:val="17"/>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Amended and Restated Certificate of Incorporation of Zevra Therapeutics, Inc. (incorporated herein by reference to the Registrant’s</w:t>
              </w:r>
            </w:hyperlink>
          </w:p>
        </w:tc>
        <w:tc>
          <w:tcPr>
            <w:tcW w:w="5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Current Report on Form 8-K as filed with the SEC on April 21, 2015).</w:t>
              </w:r>
            </w:hyperlink>
          </w:p>
        </w:tc>
        <w:tc>
          <w:tcPr>
            <w:tcW w:w="4920" w:type="dxa"/>
            <w:vAlign w:val="bottom"/>
            <w:gridSpan w:val="16"/>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Certificate of Amendment of Amended and Restated Certificate of Incorporation of the Registrant, effective as of December 23, 2020</w:t>
              </w:r>
            </w:hyperlink>
          </w:p>
        </w:tc>
        <w:tc>
          <w:tcPr>
            <w:tcW w:w="360" w:type="dxa"/>
            <w:vAlign w:val="bottom"/>
            <w:gridSpan w:val="8"/>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(incorporated herein by reference to Registrant's Current Report on Form 8-K as filed with the SEC on December 28, 2020).</w:t>
              </w:r>
            </w:hyperlink>
          </w:p>
        </w:tc>
        <w:tc>
          <w:tcPr>
            <w:tcW w:w="1040" w:type="dxa"/>
            <w:vAlign w:val="bottom"/>
            <w:gridSpan w:val="11"/>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Certificate of Amendment of Amended and Restated Certificate of Incorporation of Zevra Therapeutics, Inc. (incorporated herein by</w:t>
              </w:r>
            </w:hyperlink>
          </w:p>
        </w:tc>
        <w:tc>
          <w:tcPr>
            <w:tcW w:w="440" w:type="dxa"/>
            <w:vAlign w:val="bottom"/>
            <w:gridSpan w:val="9"/>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reference to the Registrant's Current Report on Form 8-K as filed with the SEC on February 24, 2023).</w:t>
              </w:r>
            </w:hyperlink>
          </w:p>
        </w:tc>
        <w:tc>
          <w:tcPr>
            <w:tcW w:w="2600" w:type="dxa"/>
            <w:vAlign w:val="bottom"/>
            <w:gridSpan w:val="12"/>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Amended and Restated Bylaws, as currently in effect, of Zevra Therapeutics, Inc. (incorporated herein by reference to the Registrant's</w:t>
              </w:r>
            </w:hyperlink>
          </w:p>
        </w:tc>
        <w:tc>
          <w:tcPr>
            <w:tcW w:w="340" w:type="dxa"/>
            <w:vAlign w:val="bottom"/>
            <w:gridSpan w:val="7"/>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0"/>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Current Report on Form 8-K as filed with the SEC on February 28, 2024).</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Specimen stock certificate evidencing shares of Common Stock (incorporated herein by reference to the Registrant's Annual Report on</w:t>
              </w:r>
            </w:hyperlink>
          </w:p>
        </w:tc>
        <w:tc>
          <w:tcPr>
            <w:tcW w:w="280" w:type="dxa"/>
            <w:vAlign w:val="bottom"/>
            <w:gridSpan w:val="6"/>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Form 10-K as filed with the SEC on March 12, 2021).</w:t>
              </w:r>
            </w:hyperlink>
          </w:p>
        </w:tc>
        <w:tc>
          <w:tcPr>
            <w:tcW w:w="6100" w:type="dxa"/>
            <w:vAlign w:val="bottom"/>
            <w:gridSpan w:val="17"/>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Fourth Amendment to the Lease Agreement, by and between the Registrant and TMT-CELEBRATION OFFICE CENTER I &amp; II LLC,</w:t>
            </w:r>
          </w:p>
        </w:tc>
        <w:tc>
          <w:tcPr>
            <w:tcW w:w="260" w:type="dxa"/>
            <w:vAlign w:val="bottom"/>
            <w:gridSpan w:val="5"/>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dated as of September 4, 2025.</w:t>
            </w: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 13a-14(a) or Rule 15d-14(a) of the Securities Exchange Act of 1934, as</w:t>
            </w:r>
          </w:p>
        </w:tc>
        <w:tc>
          <w:tcPr>
            <w:tcW w:w="18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19"/>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13a-14(a) or Rule 15d-14(a) of the Securities Exchange Act of 1934, as</w:t>
            </w:r>
          </w:p>
        </w:tc>
        <w:tc>
          <w:tcPr>
            <w:tcW w:w="220" w:type="dxa"/>
            <w:vAlign w:val="bottom"/>
            <w:gridSpan w:val="3"/>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19"/>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13a-14(b) of the Securities Exchange Act of 1934, as amended, and 18.</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c>
          <w:tcPr>
            <w:tcW w:w="3100" w:type="dxa"/>
            <w:vAlign w:val="bottom"/>
            <w:tcBorders>
              <w:top w:val="single" w:sz="8" w:color="0000FF"/>
            </w:tcBorders>
            <w:gridSpan w:val="11"/>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13a-14(b) of the Securities Exchange Act of 1934, as amended, and 18.</w:t>
            </w:r>
          </w:p>
        </w:tc>
        <w:tc>
          <w:tcPr>
            <w:tcW w:w="240" w:type="dxa"/>
            <w:vAlign w:val="bottom"/>
            <w:gridSpan w:val="4"/>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r>
      <w:tr>
        <w:trPr>
          <w:trHeight w:val="29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320" w:type="dxa"/>
            <w:vAlign w:val="bottom"/>
            <w:gridSpan w:val="14"/>
          </w:tcPr>
          <w:p>
            <w:pPr>
              <w:spacing w:after="0"/>
              <w:rPr>
                <w:sz w:val="24"/>
                <w:szCs w:val="24"/>
                <w:color w:val="auto"/>
              </w:rPr>
            </w:pP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319" w:lineRule="exact"/>
        <w:rPr>
          <w:sz w:val="20"/>
          <w:szCs w:val="20"/>
          <w:color w:val="auto"/>
        </w:rPr>
      </w:pPr>
    </w:p>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37"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Neil F. McFarlane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 LaDuane Clifton, MBA, CPA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OFFICE LEASE AGREEMENT</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OFFICE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and entered into as of the latest date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beneath the parties’ signatures below (the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TMT-CELEBRATION OFFICE CENTER I &amp; II LLC., Florida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Limited Liability Company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Zevra Therapeutics, Inc., a Foreign Profit Corporation (“Tenant”).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Landlord (as successor to Celebration Office Investors, LLC., a Florida limited liability company) and Tenant are parties to a certain lease dated November 3, 2014 and that certain First Amendment dated April 21, 2015, and that certain Second Amendment dating January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2016, and that certain Third Amendment dated July 28th, 2016 (collectively the “Lease”);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Amendment provides for an amendment to the Lease of Suites 103, 104 and 108 containing approximately 17,074 rentable square feet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in 1180 Celebration Boulevard, Celebration, FL 34747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and Tenant wish to enter into this Amendment to modify and extend the lease term and agree upon such other matters as set forth below.</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agreements set forth herein, the receipt and sufficiency of which consideration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Landlord and Tenant amend the Lease as follows:</w:t>
      </w:r>
    </w:p>
    <w:p>
      <w:pPr>
        <w:spacing w:after="0" w:line="18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Recitals.</w:t>
      </w:r>
      <w:r>
        <w:rPr>
          <w:rFonts w:ascii="Times New Roman" w:cs="Times New Roman" w:eastAsia="Times New Roman" w:hAnsi="Times New Roman"/>
          <w:sz w:val="18"/>
          <w:szCs w:val="18"/>
          <w:color w:val="auto"/>
        </w:rPr>
        <w:t xml:space="preserve"> The above recitals are true and correct and are incorporated herein as if set forth in full.</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xml:space="preserve"> All defined terms in this Amendment shall have the same meaning as in the Lease, except if otherwise noted herein. As amended by this Amendment, all of the terms, covenants, conditions, and agreements of the Lease shall remain in full force and effect. In the event of any conflict between the provisions of the Lease and the provisions of this Amendment, this Amendment shall control.</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Lease Term.</w:t>
      </w:r>
      <w:r>
        <w:rPr>
          <w:rFonts w:ascii="Times New Roman" w:cs="Times New Roman" w:eastAsia="Times New Roman" w:hAnsi="Times New Roman"/>
          <w:sz w:val="18"/>
          <w:szCs w:val="18"/>
          <w:color w:val="auto"/>
        </w:rPr>
        <w:t xml:space="preserve"> The Lease Term solely for Suite 108, containing approximately 6,302 rentable square feet, is hereby extended for an additional six (6) months commencing on March 1, 2026, and expiring at 11:59 pm/E.T. on August 31,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The Lease Term for Suites 103 and 104 shall expire on August 31, 2025 at 11:59pm/E.T. and shall be hereby removed from the definition of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Premises &amp; Relocation.</w:t>
      </w:r>
      <w:r>
        <w:rPr>
          <w:rFonts w:ascii="Times New Roman" w:cs="Times New Roman" w:eastAsia="Times New Roman" w:hAnsi="Times New Roman"/>
          <w:sz w:val="18"/>
          <w:szCs w:val="18"/>
          <w:color w:val="auto"/>
        </w:rPr>
        <w:t xml:space="preserve"> Tenant shall continue occupying Suites 103 and 104 from this Amendment Date until August 31, 2025. On or before September 1, 2025 or as otherwise agreed in writing by and between Landlord and Tenant, Tenant shall vacate Suites 103 and 104 and relocate to Suite 108, containing approx. 6,302 rentable square feet, for the remainder of the Lease Term.</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Acceptance.</w:t>
      </w:r>
      <w:r>
        <w:rPr>
          <w:rFonts w:ascii="Times New Roman" w:cs="Times New Roman" w:eastAsia="Times New Roman" w:hAnsi="Times New Roman"/>
          <w:sz w:val="18"/>
          <w:szCs w:val="18"/>
          <w:color w:val="auto"/>
        </w:rPr>
        <w:t xml:space="preserve"> Tenant accepts the Premises, the Building, and the Common Areas in their “as is” “where is” “with all faults” condition, and Landlord shall not be required to make any improvements to the Premises, the Building, or the Common Areas or provide or pay any improvement allowances or payments to Tenant under the Lease for Tenant’s occupancy of the Premises, and Tenant acknowledges that all construction obligations and allowances and other amounts required to be paid from Landlord to Tenant under the Lease have been performed and paid in full.</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Annual Rent.</w:t>
      </w:r>
      <w:r>
        <w:rPr>
          <w:rFonts w:ascii="Times New Roman" w:cs="Times New Roman" w:eastAsia="Times New Roman" w:hAnsi="Times New Roman"/>
          <w:sz w:val="18"/>
          <w:szCs w:val="18"/>
          <w:color w:val="auto"/>
        </w:rPr>
        <w:t xml:space="preserve"> From the Third Amendment Date until the Expiration Date, Tenant shall continue paying Fixed Annual Rent, plus applicable taxes thereon, to Landlord in accordance with the Third Amendment. Tenant shall pay Fixed Annual Rent to Landlord pursuant to the rent chart set forth below, plus applicable taxes, as and when due under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ACTIVE:12521822.4</w:t>
      </w:r>
    </w:p>
    <w:p>
      <w:pPr>
        <w:sectPr>
          <w:pgSz w:w="11900" w:h="16838" w:orient="portrait"/>
          <w:cols w:equalWidth="0" w:num="1">
            <w:col w:w="11240"/>
          </w:cols>
          <w:pgMar w:left="320" w:top="104" w:right="339" w:bottom="1440" w:gutter="0" w:footer="0" w:header="0"/>
        </w:sectPr>
      </w:pPr>
    </w:p>
    <w:bookmarkStart w:id="54" w:name="page55"/>
    <w:bookmarkEnd w:id="54"/>
    <w:p>
      <w:pPr>
        <w:spacing w:after="0" w:line="246" w:lineRule="exact"/>
        <w:rPr>
          <w:sz w:val="20"/>
          <w:szCs w:val="20"/>
          <w:color w:val="auto"/>
        </w:rPr>
      </w:pPr>
    </w:p>
    <w:tbl>
      <w:tblPr>
        <w:tblLayout w:type="fixed"/>
        <w:tblInd w:w="270" w:type="dxa"/>
        <w:tblCellMar>
          <w:top w:w="0" w:type="dxa"/>
          <w:left w:w="0" w:type="dxa"/>
          <w:bottom w:w="0" w:type="dxa"/>
          <w:right w:w="0" w:type="dxa"/>
        </w:tblCellMar>
      </w:tblPr>
      <w:tr>
        <w:trPr>
          <w:trHeight w:val="499"/>
        </w:trPr>
        <w:tc>
          <w:tcPr>
            <w:tcW w:w="5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FIXED ANNUAL RENT MONTHLY PAYMENT</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40" w:type="dxa"/>
            <w:vAlign w:val="bottom"/>
            <w:tcBorders>
              <w:bottom w:val="single" w:sz="8" w:color="auto"/>
              <w:right w:val="single" w:sz="8" w:color="auto"/>
            </w:tcBorders>
          </w:tcPr>
          <w:p>
            <w:pPr>
              <w:spacing w:after="0"/>
              <w:rPr>
                <w:sz w:val="2"/>
                <w:szCs w:val="2"/>
                <w:color w:val="auto"/>
              </w:rPr>
            </w:pPr>
          </w:p>
        </w:tc>
      </w:tr>
      <w:tr>
        <w:trPr>
          <w:trHeight w:val="250"/>
        </w:trPr>
        <w:tc>
          <w:tcPr>
            <w:tcW w:w="5340" w:type="dxa"/>
            <w:vAlign w:val="bottom"/>
            <w:tcBorders>
              <w:left w:val="single" w:sz="8" w:color="auto"/>
              <w:bottom w:val="single" w:sz="8" w:color="auto"/>
              <w:right w:val="single" w:sz="8" w:color="auto"/>
            </w:tcBorders>
          </w:tcPr>
          <w:p>
            <w:pPr>
              <w:spacing w:after="0"/>
              <w:rPr>
                <w:sz w:val="21"/>
                <w:szCs w:val="21"/>
                <w:color w:val="auto"/>
              </w:rPr>
            </w:pPr>
          </w:p>
        </w:tc>
        <w:tc>
          <w:tcPr>
            <w:tcW w:w="5340" w:type="dxa"/>
            <w:vAlign w:val="bottom"/>
            <w:tcBorders>
              <w:bottom w:val="single" w:sz="8" w:color="auto"/>
              <w:right w:val="single" w:sz="8" w:color="auto"/>
            </w:tcBorders>
          </w:tcPr>
          <w:p>
            <w:pPr>
              <w:spacing w:after="0"/>
              <w:rPr>
                <w:sz w:val="21"/>
                <w:szCs w:val="21"/>
                <w:color w:val="auto"/>
              </w:rPr>
            </w:pPr>
          </w:p>
        </w:tc>
      </w:tr>
      <w:tr>
        <w:trPr>
          <w:trHeight w:val="250"/>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 2025 – February 28, 2026</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$15,185.56</w:t>
            </w:r>
          </w:p>
        </w:tc>
      </w:tr>
      <w:tr>
        <w:trPr>
          <w:trHeight w:val="40"/>
        </w:trPr>
        <w:tc>
          <w:tcPr>
            <w:tcW w:w="5340" w:type="dxa"/>
            <w:vAlign w:val="bottom"/>
            <w:tcBorders>
              <w:left w:val="single" w:sz="8" w:color="auto"/>
              <w:bottom w:val="single" w:sz="8" w:color="auto"/>
              <w:right w:val="single" w:sz="8" w:color="auto"/>
            </w:tcBorders>
          </w:tcPr>
          <w:p>
            <w:pPr>
              <w:spacing w:after="0"/>
              <w:rPr>
                <w:sz w:val="3"/>
                <w:szCs w:val="3"/>
                <w:color w:val="auto"/>
              </w:rPr>
            </w:pPr>
          </w:p>
        </w:tc>
        <w:tc>
          <w:tcPr>
            <w:tcW w:w="5340" w:type="dxa"/>
            <w:vAlign w:val="bottom"/>
            <w:tcBorders>
              <w:bottom w:val="single" w:sz="8" w:color="auto"/>
              <w:right w:val="single" w:sz="8" w:color="auto"/>
            </w:tcBorders>
          </w:tcPr>
          <w:p>
            <w:pPr>
              <w:spacing w:after="0"/>
              <w:rPr>
                <w:sz w:val="3"/>
                <w:szCs w:val="3"/>
                <w:color w:val="auto"/>
              </w:rPr>
            </w:pPr>
          </w:p>
        </w:tc>
      </w:tr>
      <w:tr>
        <w:trPr>
          <w:trHeight w:val="250"/>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2026 – August 31, 2026</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$15,655.22</w:t>
            </w:r>
          </w:p>
        </w:tc>
      </w:tr>
      <w:tr>
        <w:trPr>
          <w:trHeight w:val="41"/>
        </w:trPr>
        <w:tc>
          <w:tcPr>
            <w:tcW w:w="5340" w:type="dxa"/>
            <w:vAlign w:val="bottom"/>
            <w:tcBorders>
              <w:left w:val="single" w:sz="8" w:color="auto"/>
              <w:bottom w:val="single" w:sz="8" w:color="auto"/>
              <w:right w:val="single" w:sz="8" w:color="auto"/>
            </w:tcBorders>
          </w:tcPr>
          <w:p>
            <w:pPr>
              <w:spacing w:after="0"/>
              <w:rPr>
                <w:sz w:val="3"/>
                <w:szCs w:val="3"/>
                <w:color w:val="auto"/>
              </w:rPr>
            </w:pPr>
          </w:p>
        </w:tc>
        <w:tc>
          <w:tcPr>
            <w:tcW w:w="5340" w:type="dxa"/>
            <w:vAlign w:val="bottom"/>
            <w:tcBorders>
              <w:bottom w:val="single" w:sz="8" w:color="auto"/>
              <w:right w:val="single" w:sz="8" w:color="auto"/>
            </w:tcBorders>
          </w:tcPr>
          <w:p>
            <w:pPr>
              <w:spacing w:after="0"/>
              <w:rPr>
                <w:sz w:val="3"/>
                <w:szCs w:val="3"/>
                <w:color w:val="auto"/>
              </w:rPr>
            </w:pPr>
          </w:p>
        </w:tc>
      </w:tr>
    </w:tbl>
    <w:p>
      <w:pPr>
        <w:spacing w:after="0" w:line="319"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xml:space="preserve"> At all times, Tenant shall continue paying to Landlord Tenant’s Proportionate Share of Operating Costs pursuant to their Original Lease Agreement or any amendment that may have modified that agreement, all Additional Rent, and any other sums due under the Lease, as and when due under the Lease.</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77"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Brokers.</w:t>
      </w:r>
      <w:r>
        <w:rPr>
          <w:rFonts w:ascii="Times New Roman" w:cs="Times New Roman" w:eastAsia="Times New Roman" w:hAnsi="Times New Roman"/>
          <w:sz w:val="17"/>
          <w:szCs w:val="17"/>
          <w:color w:val="auto"/>
        </w:rPr>
        <w:t xml:space="preserve"> Landlord and Tenant represent and warrant that they have neither consulted nor negotiated with any broker or finder as to this Amendment, except </w:t>
      </w:r>
      <w:r>
        <w:rPr>
          <w:rFonts w:ascii="Times New Roman" w:cs="Times New Roman" w:eastAsia="Times New Roman" w:hAnsi="Times New Roman"/>
          <w:sz w:val="17"/>
          <w:szCs w:val="17"/>
          <w:b w:val="1"/>
          <w:bCs w:val="1"/>
          <w:color w:val="auto"/>
        </w:rPr>
        <w:t>Streamline Realty Partners Florida, Inc.</w:t>
      </w:r>
      <w:r>
        <w:rPr>
          <w:rFonts w:ascii="Times New Roman" w:cs="Times New Roman" w:eastAsia="Times New Roman" w:hAnsi="Times New Roman"/>
          <w:sz w:val="17"/>
          <w:szCs w:val="17"/>
          <w:color w:val="auto"/>
        </w:rPr>
        <w:t xml:space="preserve"> (“Landlord’s Broker”) and </w:t>
      </w:r>
      <w:r>
        <w:rPr>
          <w:rFonts w:ascii="Times New Roman" w:cs="Times New Roman" w:eastAsia="Times New Roman" w:hAnsi="Times New Roman"/>
          <w:sz w:val="17"/>
          <w:szCs w:val="17"/>
          <w:b w:val="1"/>
          <w:bCs w:val="1"/>
          <w:color w:val="auto"/>
        </w:rPr>
        <w:t>Cushman &amp; Wakefield</w:t>
      </w:r>
      <w:r>
        <w:rPr>
          <w:rFonts w:ascii="Times New Roman" w:cs="Times New Roman" w:eastAsia="Times New Roman" w:hAnsi="Times New Roman"/>
          <w:sz w:val="17"/>
          <w:szCs w:val="17"/>
          <w:color w:val="auto"/>
        </w:rPr>
        <w:t xml:space="preserve"> (“Tenant’s Broker”). Landlord’s Broker shall be paid any commissions pursuant to the terms of separate written commission agreement between Landlord and Landlord’s Broker. Landlord and Tenant shall indemnify, defend, and save the other harmless from and against any claims for fees or commissions from anyone other than the Landlord’s Broker with whom they have dealt concerning the Premises or this Amendment including attorneys’ fees incurred in the defense of any such claim.</w:t>
      </w:r>
    </w:p>
    <w:p>
      <w:pPr>
        <w:spacing w:after="0" w:line="194" w:lineRule="exact"/>
        <w:rPr>
          <w:rFonts w:ascii="Times New Roman" w:cs="Times New Roman" w:eastAsia="Times New Roman" w:hAnsi="Times New Roman"/>
          <w:sz w:val="17"/>
          <w:szCs w:val="17"/>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counterparts with the same effect as if both parties hereto had executed the same document. Both counterparts shall be construed together and shall constitute a single Amendment. The parties hereto consent and agree that this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(i) to the extent a party signs this Amendment using electronic signature technology, by clicking “SIGN”, such party is signing this Amendment electronically, and (ii) the electronic signatures appearing on this Amendment shall be treated, for purposes of validity, enforceability and admissibility, the same as handwritten signatures.</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In the event of any conflict between the provisions of the Lease and the provisions of this Amendment, this Amendment shall control. Tenant agrees that it and its partners, officers, directors, employees, agents, consultants, accountants, real estate brokers and sales persons and attorneys shall not disclose the terms of the Lease, this Amendment or any future amendments, without Landlord’s prior written consent, except to any bankers or attorneys or other professional advisors of Tenant, any accountants of Tenant in connection with the preparation of Tenant’s financial statements or tax returns, or to an entity or person to whom disclosure is required by applicable law or in connection with any action brought to enforce the Lease. This Amendment shall be binding upon and inure to the benefit of the parties to this Amendment, their legal representatives, successors, and permitted assigns. Tenant hereby acknowledges and affirms that, as of the date hereof, the Lease is in full force and effect and, to the best of Tenant’s knowledge, there are no claims, offsets, or breaches of the Lease, or any action or causes of action by Tenant against Landlord directly or indirectly relating to the Lease. The parties agree that the normal rule of construction to the effect that any ambiguities are to be resolved against the drafting party shall not be employed in the interpretation of this Amendment. The parties agree that the Lease is in full force and effect and the parties ratify and confirm the terms of the Lease as modified by this Amendment and the Lease is incorporated herein by reference as if fully set forth herein. The Lease, as amended, contains the entire agreement between Landlord and Tenant as to the Premises, and there are no other agreements, oral or written, between Landlord and Tenant relating to the Premises. All prior understandings and agreements between the parties concerning these matters are merged into this Amendment, which alone fully and completely expresses their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377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Landlord and Tenant have duly executed this Amendment.</w:t>
      </w:r>
    </w:p>
    <w:p>
      <w:pPr>
        <w:spacing w:after="0" w:line="23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TMT-CELEBRATION OFFICE CENTER I &amp; II LLC.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By: /s/ Joseph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-19050</wp:posOffset>
            </wp:positionV>
            <wp:extent cx="980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Name: Joseph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-19050</wp:posOffset>
            </wp:positionV>
            <wp:extent cx="8439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843915" cy="889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-19050</wp:posOffset>
            </wp:positionV>
            <wp:extent cx="12382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-19050</wp:posOffset>
            </wp:positionV>
            <wp:extent cx="1116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By: /s/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-19050</wp:posOffset>
            </wp:positionV>
            <wp:extent cx="11836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Name: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-19050</wp:posOffset>
            </wp:positionV>
            <wp:extent cx="10185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-19050</wp:posOffset>
            </wp:positionV>
            <wp:extent cx="11779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-19050</wp:posOffset>
            </wp:positionV>
            <wp:extent cx="10883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39"/>
          </w:cols>
          <w:pgMar w:left="320" w:top="1413"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25"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2025</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25"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65" w:lineRule="auto"/>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 w:lineRule="exact"/>
        <w:rPr>
          <w:rFonts w:ascii="Times New Roman" w:cs="Times New Roman" w:eastAsia="Times New Roman" w:hAnsi="Times New Roman"/>
          <w:sz w:val="17"/>
          <w:szCs w:val="17"/>
          <w:color w:val="auto"/>
        </w:rPr>
      </w:pPr>
    </w:p>
    <w:p>
      <w:pPr>
        <w:jc w:val="both"/>
        <w:ind w:left="1460" w:hanging="480"/>
        <w:spacing w:after="0" w:line="250"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color w:val="auto"/>
        </w:rPr>
        <w:t>November 5, 2025</w:t>
      </w:r>
      <w:r>
        <w:rPr>
          <w:sz w:val="20"/>
          <w:szCs w:val="20"/>
          <w:color w:val="auto"/>
        </w:rPr>
        <w:tab/>
      </w:r>
      <w:r>
        <w:rPr>
          <w:rFonts w:ascii="Times New Roman" w:cs="Times New Roman" w:eastAsia="Times New Roman" w:hAnsi="Times New Roman"/>
          <w:sz w:val="17"/>
          <w:szCs w:val="17"/>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604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LaDuane Clifton, MBA, CPA</w:t>
      </w:r>
    </w:p>
    <w:p>
      <w:pPr>
        <w:spacing w:after="0" w:line="74" w:lineRule="exact"/>
        <w:rPr>
          <w:sz w:val="20"/>
          <w:szCs w:val="20"/>
          <w:color w:val="auto"/>
        </w:rPr>
      </w:pPr>
    </w:p>
    <w:p>
      <w:pPr>
        <w:sectPr>
          <w:pgSz w:w="11900" w:h="16838" w:orient="portrait"/>
          <w:cols w:equalWidth="0" w:num="2">
            <w:col w:w="6440" w:space="560"/>
            <w:col w:w="4240"/>
          </w:cols>
          <w:pgMar w:left="320" w:top="1143" w:right="33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1540"/>
        <w:spacing w:after="0" w:line="312" w:lineRule="auto"/>
        <w:rPr>
          <w:sz w:val="20"/>
          <w:szCs w:val="20"/>
          <w:color w:val="auto"/>
        </w:rPr>
      </w:pPr>
      <w:r>
        <w:rPr>
          <w:rFonts w:ascii="Times New Roman" w:cs="Times New Roman" w:eastAsia="Times New Roman" w:hAnsi="Times New Roman"/>
          <w:sz w:val="17"/>
          <w:szCs w:val="17"/>
          <w:color w:val="auto"/>
        </w:rPr>
        <w:t>Chief Financial Officer and Treasurer (Principal Financial Officer)</w:t>
      </w:r>
    </w:p>
    <w:p>
      <w:pPr>
        <w:sectPr>
          <w:pgSz w:w="11900" w:h="16838" w:orient="portrait"/>
          <w:cols w:equalWidth="0" w:num="2">
            <w:col w:w="6340" w:space="660"/>
            <w:col w:w="4240"/>
          </w:cols>
          <w:pgMar w:left="320" w:top="1143"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2025,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2025</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2025,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color w:val="auto"/>
        </w:rPr>
        <w:t>November 5, 2025</w:t>
      </w:r>
      <w:r>
        <w:rPr>
          <w:sz w:val="20"/>
          <w:szCs w:val="20"/>
          <w:color w:val="auto"/>
        </w:rPr>
        <w:tab/>
      </w:r>
      <w:r>
        <w:rPr>
          <w:rFonts w:ascii="Times New Roman" w:cs="Times New Roman" w:eastAsia="Times New Roman" w:hAnsi="Times New Roman"/>
          <w:sz w:val="17"/>
          <w:szCs w:val="17"/>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604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LaDuane Clifton, MBA, CPA</w:t>
      </w:r>
    </w:p>
    <w:p>
      <w:pPr>
        <w:spacing w:after="0" w:line="74" w:lineRule="exact"/>
        <w:rPr>
          <w:sz w:val="20"/>
          <w:szCs w:val="20"/>
          <w:color w:val="auto"/>
        </w:rPr>
      </w:pPr>
    </w:p>
    <w:p>
      <w:pPr>
        <w:sectPr>
          <w:pgSz w:w="11900" w:h="16838" w:orient="portrait"/>
          <w:cols w:equalWidth="0" w:num="2">
            <w:col w:w="6440" w:space="560"/>
            <w:col w:w="4240"/>
          </w:cols>
          <w:pgMar w:left="320" w:top="1143" w:right="33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1540"/>
        <w:spacing w:after="0" w:line="312" w:lineRule="auto"/>
        <w:rPr>
          <w:sz w:val="20"/>
          <w:szCs w:val="20"/>
          <w:color w:val="auto"/>
        </w:rPr>
      </w:pPr>
      <w:r>
        <w:rPr>
          <w:rFonts w:ascii="Times New Roman" w:cs="Times New Roman" w:eastAsia="Times New Roman" w:hAnsi="Times New Roman"/>
          <w:sz w:val="17"/>
          <w:szCs w:val="17"/>
          <w:color w:val="auto"/>
        </w:rPr>
        <w:t>Chief Financial Officer and Treasurer (Principal Financial Officer)</w:t>
      </w:r>
    </w:p>
    <w:p>
      <w:pPr>
        <w:spacing w:after="0" w:line="200" w:lineRule="exact"/>
        <w:rPr>
          <w:sz w:val="20"/>
          <w:szCs w:val="20"/>
          <w:color w:val="auto"/>
        </w:rPr>
      </w:pPr>
    </w:p>
    <w:p>
      <w:pPr>
        <w:sectPr>
          <w:pgSz w:w="11900" w:h="16838" w:orient="portrait"/>
          <w:cols w:equalWidth="0" w:num="2">
            <w:col w:w="6340" w:space="660"/>
            <w:col w:w="4240"/>
          </w:cols>
          <w:pgMar w:left="320" w:top="1143" w:right="339" w:bottom="1440" w:gutter="0" w:footer="0" w:header="0"/>
          <w:type w:val="continuous"/>
        </w:sectPr>
      </w:pP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amp;"/>
      <w:numFmt w:val="bullet"/>
      <w:start w:val="1"/>
    </w:lvl>
  </w:abstractNum>
  <w:abstractNum w:abstractNumId="4">
    <w:nsid w:val="4E6AFB66"/>
    <w:multiLevelType w:val="hybridMultilevel"/>
    <w:lvl w:ilvl="0">
      <w:lvlJc w:val="left"/>
      <w:lvlText w:val="%1."/>
      <w:numFmt w:val="upperLetter"/>
      <w:start w:val="2"/>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upperLetter"/>
      <w:start w:val="6"/>
    </w:lvl>
  </w:abstractNum>
  <w:abstractNum w:abstractNumId="7">
    <w:nsid w:val="431BD7B7"/>
    <w:multiLevelType w:val="hybridMultilevel"/>
    <w:lvl w:ilvl="0">
      <w:lvlJc w:val="left"/>
      <w:lvlText w:val="%1."/>
      <w:numFmt w:val="upperLetter"/>
      <w:start w:val="9"/>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upperLetter"/>
      <w:start w:val="12"/>
    </w:lvl>
  </w:abstractNum>
  <w:abstractNum w:abstractNumId="10">
    <w:nsid w:val="257130A3"/>
    <w:multiLevelType w:val="hybridMultilevel"/>
    <w:lvl w:ilvl="0">
      <w:lvlJc w:val="left"/>
      <w:lvlText w:val="%1."/>
      <w:numFmt w:val="upperLetter"/>
      <w:start w:val="13"/>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7"/>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82" Type="http://schemas.openxmlformats.org/officeDocument/2006/relationships/hyperlink" Target="https://www.sec.gov/Archives/edgar/data/1434647/000119312515140072/d911803dex31.htm" TargetMode="External"/><Relationship Id="rId83" Type="http://schemas.openxmlformats.org/officeDocument/2006/relationships/hyperlink" Target="https://www.sec.gov/Archives/edgar/data/0001434647/000143774920025891/ex_218888.htm" TargetMode="External"/><Relationship Id="rId84" Type="http://schemas.openxmlformats.org/officeDocument/2006/relationships/hyperlink" Target="https://www.sec.gov/Archives/edgar/data/1434647/000143774923004450/ex_478052.htm" TargetMode="External"/><Relationship Id="rId85" Type="http://schemas.openxmlformats.org/officeDocument/2006/relationships/hyperlink" Target="https://www.sec.gov/Archives/edgar/data/1434647/000143774924005904/ex_632349.htm" TargetMode="External"/><Relationship Id="rId86" Type="http://schemas.openxmlformats.org/officeDocument/2006/relationships/hyperlink" Target="https://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2025-11-05T16:39:16Z</dcterms:created>
  <dcterms:modified xsi:type="dcterms:W3CDTF">2025-11-05T16:39:16Z</dcterms:modified>
</cp:coreProperties>
</file>