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ind w:left="4020" w:right="2240" w:hanging="4012"/>
        <w:spacing w:after="0" w:line="184" w:lineRule="auto"/>
        <w:tabs>
          <w:tab w:leader="none" w:pos="392" w:val="left"/>
        </w:tabs>
        <w:numPr>
          <w:ilvl w:val="0"/>
          <w:numId w:val="1"/>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-443865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ind w:left="380" w:hanging="372"/>
        <w:spacing w:after="0"/>
        <w:tabs>
          <w:tab w:leader="none" w:pos="38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001-36913</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KEMPHARM,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________________________</w:t>
      </w:r>
    </w:p>
    <w:p>
      <w:pPr>
        <w:spacing w:after="0" w:line="213" w:lineRule="exact"/>
        <w:rPr>
          <w:sz w:val="24"/>
          <w:szCs w:val="24"/>
          <w:color w:val="auto"/>
        </w:rPr>
      </w:pPr>
    </w:p>
    <w:tbl>
      <w:tblPr>
        <w:tblLayout w:type="fixed"/>
        <w:tblInd w:w="960" w:type="dxa"/>
        <w:tblCellMar>
          <w:top w:w="0" w:type="dxa"/>
          <w:left w:w="0" w:type="dxa"/>
          <w:bottom w:w="0" w:type="dxa"/>
          <w:right w:w="0" w:type="dxa"/>
        </w:tblCellMar>
      </w:tblPr>
      <w:tr>
        <w:trPr>
          <w:trHeight w:val="194"/>
        </w:trPr>
        <w:tc>
          <w:tcPr>
            <w:tcW w:w="4920" w:type="dxa"/>
            <w:vAlign w:val="bottom"/>
          </w:tcPr>
          <w:p>
            <w:pPr>
              <w:jc w:val="center"/>
              <w:ind w:right="1023"/>
              <w:spacing w:after="0"/>
              <w:rPr>
                <w:sz w:val="20"/>
                <w:szCs w:val="20"/>
                <w:color w:val="auto"/>
              </w:rPr>
            </w:pPr>
            <w:r>
              <w:rPr>
                <w:rFonts w:ascii="Arial" w:cs="Arial" w:eastAsia="Arial" w:hAnsi="Arial"/>
                <w:sz w:val="16"/>
                <w:szCs w:val="16"/>
                <w:b w:val="1"/>
                <w:bCs w:val="1"/>
                <w:color w:val="auto"/>
                <w:w w:val="93"/>
              </w:rPr>
              <w:t>Delaware</w:t>
            </w:r>
          </w:p>
        </w:tc>
        <w:tc>
          <w:tcPr>
            <w:tcW w:w="4360" w:type="dxa"/>
            <w:vAlign w:val="bottom"/>
          </w:tcPr>
          <w:p>
            <w:pPr>
              <w:jc w:val="right"/>
              <w:ind w:right="1143"/>
              <w:spacing w:after="0"/>
              <w:rPr>
                <w:sz w:val="20"/>
                <w:szCs w:val="20"/>
                <w:color w:val="auto"/>
              </w:rPr>
            </w:pPr>
            <w:r>
              <w:rPr>
                <w:rFonts w:ascii="Arial" w:cs="Arial" w:eastAsia="Arial" w:hAnsi="Arial"/>
                <w:sz w:val="16"/>
                <w:szCs w:val="16"/>
                <w:b w:val="1"/>
                <w:bCs w:val="1"/>
                <w:color w:val="auto"/>
              </w:rPr>
              <w:t>20-5894398</w:t>
            </w:r>
          </w:p>
        </w:tc>
      </w:tr>
      <w:tr>
        <w:trPr>
          <w:trHeight w:val="186"/>
        </w:trPr>
        <w:tc>
          <w:tcPr>
            <w:tcW w:w="4920" w:type="dxa"/>
            <w:vAlign w:val="bottom"/>
          </w:tcPr>
          <w:p>
            <w:pPr>
              <w:jc w:val="center"/>
              <w:ind w:right="1023"/>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4360" w:type="dxa"/>
            <w:vAlign w:val="bottom"/>
          </w:tcPr>
          <w:p>
            <w:pPr>
              <w:jc w:val="center"/>
              <w:ind w:left="1043"/>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46"/>
        </w:trPr>
        <w:tc>
          <w:tcPr>
            <w:tcW w:w="4920" w:type="dxa"/>
            <w:vAlign w:val="bottom"/>
          </w:tcPr>
          <w:p>
            <w:pPr>
              <w:jc w:val="center"/>
              <w:ind w:right="1043"/>
              <w:spacing w:after="0"/>
              <w:rPr>
                <w:sz w:val="20"/>
                <w:szCs w:val="20"/>
                <w:color w:val="auto"/>
              </w:rPr>
            </w:pPr>
            <w:r>
              <w:rPr>
                <w:rFonts w:ascii="Arial" w:cs="Arial" w:eastAsia="Arial" w:hAnsi="Arial"/>
                <w:sz w:val="16"/>
                <w:szCs w:val="16"/>
                <w:b w:val="1"/>
                <w:bCs w:val="1"/>
                <w:color w:val="auto"/>
                <w:w w:val="92"/>
              </w:rPr>
              <w:t>2656 Crosspark Road, Suite 100, Coralville, IA 52241</w:t>
            </w:r>
          </w:p>
        </w:tc>
        <w:tc>
          <w:tcPr>
            <w:tcW w:w="4360" w:type="dxa"/>
            <w:vAlign w:val="bottom"/>
          </w:tcPr>
          <w:p>
            <w:pPr>
              <w:jc w:val="right"/>
              <w:ind w:right="1023"/>
              <w:spacing w:after="0"/>
              <w:rPr>
                <w:sz w:val="20"/>
                <w:szCs w:val="20"/>
                <w:color w:val="auto"/>
              </w:rPr>
            </w:pPr>
            <w:r>
              <w:rPr>
                <w:rFonts w:ascii="Arial" w:cs="Arial" w:eastAsia="Arial" w:hAnsi="Arial"/>
                <w:sz w:val="16"/>
                <w:szCs w:val="16"/>
                <w:b w:val="1"/>
                <w:bCs w:val="1"/>
                <w:color w:val="auto"/>
              </w:rPr>
              <w:t>(319) 665-2575</w:t>
            </w:r>
          </w:p>
        </w:tc>
      </w:tr>
      <w:tr>
        <w:trPr>
          <w:trHeight w:val="175"/>
        </w:trPr>
        <w:tc>
          <w:tcPr>
            <w:tcW w:w="4920" w:type="dxa"/>
            <w:vAlign w:val="bottom"/>
          </w:tcPr>
          <w:p>
            <w:pPr>
              <w:jc w:val="center"/>
              <w:ind w:right="1043"/>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4360" w:type="dxa"/>
            <w:vAlign w:val="bottom"/>
          </w:tcPr>
          <w:p>
            <w:pPr>
              <w:jc w:val="center"/>
              <w:ind w:left="1043"/>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70" w:lineRule="exact"/>
        <w:rPr>
          <w:sz w:val="24"/>
          <w:szCs w:val="24"/>
          <w:color w:val="auto"/>
        </w:rPr>
      </w:pPr>
    </w:p>
    <w:tbl>
      <w:tblPr>
        <w:tblLayout w:type="fixed"/>
        <w:tblInd w:w="3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94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93"/>
              </w:rPr>
              <w:t>Title of Each Class</w:t>
            </w:r>
          </w:p>
        </w:tc>
        <w:tc>
          <w:tcPr>
            <w:tcW w:w="2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1900" w:type="dxa"/>
            <w:vAlign w:val="bottom"/>
          </w:tcPr>
          <w:p>
            <w:pPr>
              <w:ind w:left="1300"/>
              <w:spacing w:after="0" w:line="182" w:lineRule="exact"/>
              <w:rPr>
                <w:sz w:val="20"/>
                <w:szCs w:val="20"/>
                <w:color w:val="auto"/>
              </w:rPr>
            </w:pPr>
            <w:r>
              <w:rPr>
                <w:rFonts w:ascii="Arial" w:cs="Arial" w:eastAsia="Arial" w:hAnsi="Arial"/>
                <w:sz w:val="16"/>
                <w:szCs w:val="16"/>
                <w:b w:val="1"/>
                <w:bCs w:val="1"/>
                <w:color w:val="auto"/>
                <w:w w:val="83"/>
              </w:rPr>
              <w:t>Common</w:t>
            </w: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0"/>
              </w:rPr>
              <w:t>Stock, $0.0001</w:t>
            </w:r>
          </w:p>
        </w:tc>
        <w:tc>
          <w:tcPr>
            <w:tcW w:w="378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par value</w:t>
            </w:r>
          </w:p>
        </w:tc>
        <w:tc>
          <w:tcPr>
            <w:tcW w:w="282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b w:val="1"/>
                <w:bCs w:val="1"/>
                <w:color w:val="auto"/>
                <w:w w:val="97"/>
              </w:rPr>
              <w:t>The NASDAQ Stock Market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(NASDAQ Global Market)</w:t>
            </w:r>
          </w:p>
        </w:tc>
        <w:tc>
          <w:tcPr>
            <w:tcW w:w="0" w:type="dxa"/>
            <w:vAlign w:val="bottom"/>
          </w:tcPr>
          <w:p>
            <w:pPr>
              <w:spacing w:after="0"/>
              <w:rPr>
                <w:sz w:val="1"/>
                <w:szCs w:val="1"/>
                <w:color w:val="auto"/>
              </w:rPr>
            </w:pPr>
          </w:p>
        </w:tc>
      </w:tr>
      <w:tr>
        <w:trPr>
          <w:trHeight w:val="405"/>
        </w:trPr>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20" w:type="dxa"/>
            <w:vAlign w:val="bottom"/>
            <w:gridSpan w:val="6"/>
          </w:tcPr>
          <w:p>
            <w:pPr>
              <w:ind w:left="10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380" w:type="dxa"/>
            <w:vAlign w:val="bottom"/>
            <w:gridSpan w:val="2"/>
            <w:vMerge w:val="restart"/>
          </w:tcPr>
          <w:p>
            <w:pPr>
              <w:jc w:val="center"/>
              <w:ind w:right="17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89"/>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60" w:type="dxa"/>
            <w:vAlign w:val="bottom"/>
          </w:tcPr>
          <w:p>
            <w:pPr>
              <w:ind w:left="80"/>
              <w:spacing w:after="0"/>
              <w:rPr>
                <w:sz w:val="20"/>
                <w:szCs w:val="20"/>
                <w:color w:val="auto"/>
              </w:rPr>
            </w:pPr>
            <w:r>
              <w:rPr>
                <w:rFonts w:ascii="Arial" w:cs="Arial" w:eastAsia="Arial" w:hAnsi="Arial"/>
                <w:sz w:val="14"/>
                <w:szCs w:val="14"/>
                <w:color w:val="auto"/>
              </w:rPr>
              <w:t>Yes o</w:t>
            </w:r>
          </w:p>
        </w:tc>
        <w:tc>
          <w:tcPr>
            <w:tcW w:w="2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2380" w:type="dxa"/>
            <w:vAlign w:val="bottom"/>
            <w:gridSpan w:val="2"/>
          </w:tcPr>
          <w:p>
            <w:pPr>
              <w:jc w:val="center"/>
              <w:ind w:right="1740"/>
              <w:spacing w:after="0" w:line="161" w:lineRule="exact"/>
              <w:rPr>
                <w:sz w:val="20"/>
                <w:szCs w:val="20"/>
                <w:color w:val="auto"/>
              </w:rPr>
            </w:pPr>
            <w:r>
              <w:rPr>
                <w:rFonts w:ascii="Arial" w:cs="Arial" w:eastAsia="Arial" w:hAnsi="Arial"/>
                <w:sz w:val="14"/>
                <w:szCs w:val="14"/>
                <w:color w:val="auto"/>
              </w:rPr>
              <w:t xml:space="preserve">o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firstLine="3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3" w:lineRule="exact"/>
        <w:rPr>
          <w:sz w:val="24"/>
          <w:szCs w:val="24"/>
          <w:color w:val="auto"/>
        </w:rPr>
      </w:pPr>
    </w:p>
    <w:p>
      <w:pPr>
        <w:ind w:firstLine="3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3" w:lineRule="exact"/>
        <w:rPr>
          <w:sz w:val="24"/>
          <w:szCs w:val="24"/>
          <w:color w:val="auto"/>
        </w:rPr>
      </w:pPr>
    </w:p>
    <w:p>
      <w:pPr>
        <w:ind w:firstLine="3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o No </w:t>
      </w:r>
      <w:r>
        <w:rPr>
          <w:rFonts w:ascii="MS PGothic" w:cs="MS PGothic" w:eastAsia="MS PGothic" w:hAnsi="MS PGothic"/>
          <w:sz w:val="14"/>
          <w:szCs w:val="14"/>
          <w:color w:val="auto"/>
        </w:rPr>
        <w:t>☒</w:t>
      </w:r>
    </w:p>
    <w:p>
      <w:pPr>
        <w:spacing w:after="0" w:line="113" w:lineRule="exact"/>
        <w:rPr>
          <w:sz w:val="24"/>
          <w:szCs w:val="24"/>
          <w:color w:val="auto"/>
        </w:rPr>
      </w:pPr>
    </w:p>
    <w:p>
      <w:pPr>
        <w:ind w:firstLine="3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90" w:right="239" w:bottom="1440" w:gutter="0" w:footer="0" w:header="0"/>
        </w:sectPr>
      </w:pPr>
    </w:p>
    <w:p>
      <w:pPr>
        <w:spacing w:after="0" w:line="12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Accelerated filero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34" w:lineRule="exact"/>
        <w:rPr>
          <w:sz w:val="24"/>
          <w:szCs w:val="24"/>
          <w:color w:val="auto"/>
        </w:rPr>
      </w:pPr>
    </w:p>
    <w:p>
      <w:pPr>
        <w:sectPr>
          <w:pgSz w:w="11900" w:h="16838" w:orient="portrait"/>
          <w:cols w:equalWidth="0" w:num="7">
            <w:col w:w="1300" w:space="640"/>
            <w:col w:w="80" w:space="640"/>
            <w:col w:w="1040" w:space="660"/>
            <w:col w:w="1200" w:space="660"/>
            <w:col w:w="120" w:space="660"/>
            <w:col w:w="1580" w:space="640"/>
            <w:col w:w="2200"/>
          </w:cols>
          <w:pgMar w:left="240" w:top="490" w:right="239" w:bottom="1440" w:gutter="0" w:footer="0" w:header="0"/>
          <w:type w:val="continuous"/>
        </w:sectPr>
      </w:pPr>
    </w:p>
    <w:p>
      <w:pPr>
        <w:ind w:left="1420"/>
        <w:spacing w:after="0"/>
        <w:rPr>
          <w:sz w:val="20"/>
          <w:szCs w:val="20"/>
          <w:color w:val="auto"/>
        </w:rPr>
      </w:pPr>
      <w:r>
        <w:rPr>
          <w:rFonts w:ascii="Arial" w:cs="Arial" w:eastAsia="Arial" w:hAnsi="Arial"/>
          <w:sz w:val="13"/>
          <w:szCs w:val="13"/>
          <w:color w:val="auto"/>
        </w:rPr>
        <w:t>(Do not check if smaller reporting company)</w:t>
      </w:r>
    </w:p>
    <w:p>
      <w:pPr>
        <w:sectPr>
          <w:pgSz w:w="11900" w:h="16838" w:orient="portrait"/>
          <w:cols w:equalWidth="0" w:num="1">
            <w:col w:w="11420"/>
          </w:cols>
          <w:pgMar w:left="240" w:top="490" w:right="239" w:bottom="1440" w:gutter="0" w:footer="0" w:header="0"/>
          <w:type w:val="continuous"/>
        </w:sectPr>
      </w:pPr>
    </w:p>
    <w:p>
      <w:pPr>
        <w:spacing w:after="0" w:line="128"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8" w:lineRule="exact"/>
        <w:rPr>
          <w:sz w:val="24"/>
          <w:szCs w:val="24"/>
          <w:color w:val="auto"/>
        </w:rPr>
      </w:pPr>
    </w:p>
    <w:p>
      <w:pPr>
        <w:sectPr>
          <w:pgSz w:w="11900" w:h="16838" w:orient="portrait"/>
          <w:cols w:equalWidth="0" w:num="4">
            <w:col w:w="6920" w:space="140"/>
            <w:col w:w="360" w:space="140"/>
            <w:col w:w="180" w:space="60"/>
            <w:col w:w="3620"/>
          </w:cols>
          <w:pgMar w:left="240" w:top="490" w:right="239" w:bottom="1440" w:gutter="0" w:footer="0" w:header="0"/>
          <w:type w:val="continuous"/>
        </w:sectPr>
      </w:pPr>
    </w:p>
    <w:p>
      <w:pPr>
        <w:jc w:val="both"/>
        <w:ind w:firstLine="380"/>
        <w:spacing w:after="0" w:line="251"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2015, the last business day of the registrant’s most recently completed second fiscal quarter, was approximately $206,967,240, based upon the closing sales price for the registrant’s common stock, as reported on the NASDAQ Global Market. The calculation of the aggregate market value of voting and non-voting common equity excludes 2,961,812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10" w:lineRule="exact"/>
        <w:rPr>
          <w:sz w:val="24"/>
          <w:szCs w:val="24"/>
          <w:color w:val="auto"/>
        </w:rPr>
      </w:pPr>
    </w:p>
    <w:p>
      <w:pPr>
        <w:ind w:left="380"/>
        <w:spacing w:after="0"/>
        <w:rPr>
          <w:sz w:val="20"/>
          <w:szCs w:val="20"/>
          <w:color w:val="auto"/>
        </w:rPr>
      </w:pPr>
      <w:r>
        <w:rPr>
          <w:rFonts w:ascii="Arial" w:cs="Arial" w:eastAsia="Arial" w:hAnsi="Arial"/>
          <w:sz w:val="14"/>
          <w:szCs w:val="14"/>
          <w:color w:val="auto"/>
        </w:rPr>
        <w:t>As of March 11, 2016, the registrant had 14,498,474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4"/>
          <w:szCs w:val="14"/>
          <w:b w:val="1"/>
          <w:bCs w:val="1"/>
          <w:color w:val="auto"/>
        </w:rPr>
        <w:t>___________________________</w:t>
      </w:r>
    </w:p>
    <w:p>
      <w:pPr>
        <w:jc w:val="center"/>
        <w:ind w:right="-139"/>
        <w:spacing w:after="0" w:line="226" w:lineRule="auto"/>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3"/>
          <w:szCs w:val="13"/>
          <w:color w:val="auto"/>
        </w:rPr>
        <w:t>Portions of the registrant’s definitive proxy statement for its 2016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2015. Except with respect to information specifically incorporated by reference in this Annual Report on Form 10-K, the definitive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3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16"/>
          </w:tcPr>
          <w:p>
            <w:pPr>
              <w:jc w:val="center"/>
              <w:ind w:right="4040"/>
              <w:spacing w:after="0"/>
              <w:rPr>
                <w:sz w:val="20"/>
                <w:szCs w:val="20"/>
                <w:color w:val="auto"/>
              </w:rPr>
            </w:pPr>
            <w:r>
              <w:rPr>
                <w:rFonts w:ascii="Arial" w:cs="Arial" w:eastAsia="Arial" w:hAnsi="Arial"/>
                <w:sz w:val="18"/>
                <w:szCs w:val="18"/>
                <w:b w:val="1"/>
                <w:bCs w:val="1"/>
                <w:color w:val="auto"/>
              </w:rPr>
              <w:t>KEMPHARM, INC.</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6"/>
          </w:tcPr>
          <w:p>
            <w:pPr>
              <w:jc w:val="center"/>
              <w:ind w:right="4040"/>
              <w:spacing w:after="0"/>
              <w:rPr>
                <w:sz w:val="20"/>
                <w:szCs w:val="20"/>
                <w:color w:val="auto"/>
              </w:rPr>
            </w:pPr>
            <w:r>
              <w:rPr>
                <w:rFonts w:ascii="Arial" w:cs="Arial" w:eastAsia="Arial" w:hAnsi="Arial"/>
                <w:sz w:val="18"/>
                <w:szCs w:val="18"/>
                <w:b w:val="1"/>
                <w:bCs w:val="1"/>
                <w:color w:val="auto"/>
              </w:rPr>
              <w:t>FORM 10-K</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2"/>
            <w:vMerge w:val="restart"/>
          </w:tcPr>
          <w:p>
            <w:pPr>
              <w:jc w:val="center"/>
              <w:ind w:right="428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gridSpan w:val="12"/>
            <w:vMerge w:val="continue"/>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Item 1.</w:t>
            </w:r>
          </w:p>
        </w:tc>
        <w:tc>
          <w:tcPr>
            <w:tcW w:w="42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32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8200" w:type="dxa"/>
            <w:vAlign w:val="bottom"/>
            <w:gridSpan w:val="2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Unresolved Staff Comments</w:t>
              </w:r>
            </w:hyperlink>
          </w:p>
        </w:tc>
        <w:tc>
          <w:tcPr>
            <w:tcW w:w="7060" w:type="dxa"/>
            <w:vAlign w:val="bottom"/>
            <w:gridSpan w:val="1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Properties</w:t>
              </w:r>
            </w:hyperlink>
          </w:p>
        </w:tc>
        <w:tc>
          <w:tcPr>
            <w:tcW w:w="8380" w:type="dxa"/>
            <w:vAlign w:val="bottom"/>
            <w:gridSpan w:val="2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12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Legal Proceedings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120" w:type="dxa"/>
            <w:vAlign w:val="bottom"/>
            <w:gridSpan w:val="2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PART II</w:t>
            </w:r>
          </w:p>
        </w:tc>
        <w:tc>
          <w:tcPr>
            <w:tcW w:w="42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Selected Financial Data</w:t>
              </w:r>
            </w:hyperlink>
          </w:p>
        </w:tc>
        <w:tc>
          <w:tcPr>
            <w:tcW w:w="7400" w:type="dxa"/>
            <w:vAlign w:val="bottom"/>
            <w:gridSpan w:val="2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120" w:type="dxa"/>
            <w:vAlign w:val="bottom"/>
            <w:gridSpan w:val="2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Quantitative and Qualitative Disclosures About Market Risk</w:t>
              </w:r>
            </w:hyperlink>
          </w:p>
        </w:tc>
        <w:tc>
          <w:tcPr>
            <w:tcW w:w="268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4760" w:type="dxa"/>
            <w:vAlign w:val="bottom"/>
            <w:gridSpan w:val="1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20" w:type="dxa"/>
            <w:vAlign w:val="bottom"/>
            <w:gridSpan w:val="2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4800" w:type="dxa"/>
            <w:vAlign w:val="bottom"/>
            <w:tcBorders>
              <w:top w:val="single" w:sz="8" w:color="0000EE"/>
            </w:tcBorders>
            <w:gridSpan w:val="18"/>
          </w:tcPr>
          <w:p>
            <w:pPr>
              <w:spacing w:after="0"/>
              <w:rPr>
                <w:sz w:val="17"/>
                <w:szCs w:val="17"/>
                <w:color w:val="auto"/>
              </w:rPr>
            </w:pPr>
          </w:p>
        </w:tc>
        <w:tc>
          <w:tcPr>
            <w:tcW w:w="254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120" w:type="dxa"/>
            <w:vAlign w:val="bottom"/>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424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Item 10.</w:t>
            </w:r>
          </w:p>
        </w:tc>
        <w:tc>
          <w:tcPr>
            <w:tcW w:w="9120" w:type="dxa"/>
            <w:vAlign w:val="bottom"/>
            <w:gridSpan w:val="2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020" w:type="dxa"/>
            <w:vAlign w:val="bottom"/>
            <w:gridSpan w:val="1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Security Ownership of Certain Beneficial Owners and Management and Related Stockholder Matters</w:t>
              </w:r>
            </w:hyperlink>
          </w:p>
        </w:tc>
        <w:tc>
          <w:tcPr>
            <w:tcW w:w="182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Transactions, and Director Independence</w:t>
              </w:r>
            </w:hyperlink>
          </w:p>
        </w:tc>
        <w:tc>
          <w:tcPr>
            <w:tcW w:w="366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12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4"/>
          </w:tcPr>
          <w:p>
            <w:pPr>
              <w:jc w:val="center"/>
              <w:ind w:right="4240"/>
              <w:spacing w:after="0"/>
              <w:rPr>
                <w:rFonts w:ascii="Arial" w:cs="Arial" w:eastAsia="Arial" w:hAnsi="Arial"/>
                <w:sz w:val="18"/>
                <w:szCs w:val="18"/>
                <w:b w:val="1"/>
                <w:bCs w:val="1"/>
                <w:color w:val="0000EE"/>
                <w:w w:val="98"/>
              </w:rPr>
            </w:pPr>
            <w:hyperlink w:anchor="page100">
              <w:r>
                <w:rPr>
                  <w:rFonts w:ascii="Arial" w:cs="Arial" w:eastAsia="Arial" w:hAnsi="Arial"/>
                  <w:sz w:val="18"/>
                  <w:szCs w:val="18"/>
                  <w:b w:val="1"/>
                  <w:bCs w:val="1"/>
                  <w:color w:val="0000EE"/>
                  <w:w w:val="98"/>
                </w:rPr>
                <w:t>PART IV</w:t>
              </w:r>
            </w:hyperlink>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26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5960" w:type="dxa"/>
            <w:vAlign w:val="bottom"/>
            <w:gridSpan w:val="17"/>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3"/>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15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These statements are only predictions. We have based these forward-looking statements largely on our current expectations and projections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projected in the forward looking statements. Forward-looking statements contained in this report include, but are not limited to, statements about:</w:t>
      </w:r>
    </w:p>
    <w:p>
      <w:pPr>
        <w:spacing w:after="0" w:line="180"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progress of, timing of and amount of expenses associated with our research, development and commercialization activities;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conduct and success of our clinical studies for our product candidates;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U.S. and foreign regulatory approval for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therapeutic benefits and effectiveness of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accuracy of our estimates of the size and characteristics of the markets that may be addressed by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ability to manufacture sufficient amounts of our product candidates for clinical studies and products for commercialization activities;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strategic collaborations or partnerships for the development or sale of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ability to compete with other companies that are or may be developing or selling products that are competitive with our product candidates;</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anticipated trends and challenges in our potential markets;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personnel;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229"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i w:val="1"/>
          <w:iCs w:val="1"/>
          <w:color w:val="auto"/>
        </w:rPr>
        <w:t>Unless the context otherwise requires, we use the terms “KemPharm,” “Company,” “we,” “us” and “our” in this Annual Report on Form 10-K to refer to KemPharm, Inc. We have proprietary rights to a number of trademarks used in this Annual Report on Form 10-K that are important to our business, including KemPharm® and the KemPharm logo. All other trademarks, trade names and service marks appearing in this Annual Report on Form 10-K are the property of their respective owners. Solely for convenience, the trademarks and trade names in this Annual Report on Form 10-K are referred to without the</w:t>
      </w:r>
    </w:p>
    <w:p>
      <w:pPr>
        <w:spacing w:after="0" w:line="2" w:lineRule="exact"/>
        <w:rPr>
          <w:sz w:val="20"/>
          <w:szCs w:val="20"/>
          <w:color w:val="auto"/>
        </w:rPr>
      </w:pPr>
    </w:p>
    <w:p>
      <w:pPr>
        <w:ind w:firstLine="8"/>
        <w:spacing w:after="0" w:line="261" w:lineRule="auto"/>
        <w:tabs>
          <w:tab w:leader="none" w:pos="20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and ™ symbols, but such references should not be construed as any indicator that their respective owners will not assert, to the fullest extent under applicable law, their rights thereto.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MARKET AND INDUSTRY DATA</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i w:val="1"/>
          <w:iCs w:val="1"/>
          <w:color w:val="auto"/>
        </w:rPr>
        <w:t>This Annual Report on Form 10-K includes statistical and other industry and market data that we obtained from industry publications and research, surveys and studies conducted by third parties.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i w:val="1"/>
          <w:iCs w:val="1"/>
          <w:color w:val="auto"/>
        </w:rPr>
        <w:t>Any information in this Annual Report on Form 10-K provided by IMS Health Incorporated, or IMS, is an estimate derived from the use of information under license from the following IMS Health information service: IMS National Sales Perspectives and NPA Audits, in each case, for the period January 2011 to September 2014. IMS expressly reserves all rights, including rights of copying, distribution and republication.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We are a clinical-stage specialty pharmaceutical company engaged in the discovery and development of proprietary prodrugs that we believe will be improved versions of widely prescribed, approved drugs. We employ our Ligand Activated Therapy, or LAT, platform technology to create our prodrugs. Our most advanced product candidate, KP201/APAP, consists of KP201, our prodrug of hydrocodone, combined with acetaminophen, or APAP. We are developing KP201/APAP as an immediate release, or IR, product candidate for the short-term, or no longer than 14 days, management of acute pain. We designed KP201/APAP with abuse-deterrent properties to address the epidemic of opioid abuse in the United States. We submitted a new drug application, or NDA, under Section 505(b)(2) of the Federal Food, Drug and Cosmetic Act, otherwise known as a 505(b)(2) NDA, for KP201/APAP to the U.S. Food and Drug Administration, or FDA, in December 2015. The FDA subsequently accepted this NDA for priority review in February 2016. The FDA has set a target action date for review of the NDA under the Prescription Drug User Free Act, or PDUFA, of June 9, 2016. We are also building a pipeline of additional prodrug product candidates that target large market opportunities in pain and attention deficit hyperactivity disorder, or ADHD.</w:t>
      </w:r>
    </w:p>
    <w:p>
      <w:pPr>
        <w:spacing w:after="0" w:line="16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Key members of our senior management, while at New River Pharmaceuticals Inc., were instrumental in the development of Vyvanse, a prodrug of amphetamine indicated for ADHD, through FDA approval. New River Pharmaceuticals was acquired by Shire plc in 2007 and Vyvanse generated over $1.7 billion in sales in 2015.</w:t>
      </w:r>
    </w:p>
    <w:p>
      <w:pPr>
        <w:spacing w:after="0" w:line="18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use our LAT platform technology to discover and develop prodrugs that improve one or more of the attributes of approved drugs, such as susceptibility to abuse, bioavailability and safety. A prodrug is a precursor chemical compound of a drug that is inactive or less than fully active, which is then converted in the body to its active form through a normal metabolic process. We primarily seek to develop prodrugs that will be eligible for approval under the 505(b)(2) NDA pathway, which allows us to rely on the FDA’s previous findings of safety and effectiveness for one or more approved products, if we demonstrate such reliance is scientifically appropriate. Because our prodrugs are novel combinations of an FDA-approved drug, referred to as the parent drug, with one or more ligands, they may be new molecular entities, or NMEs, and thus may be eligible for composition-of-matter patent protection. An NME is a drug containing an active ingredient that has not been approved or marketed in the United States.</w:t>
      </w:r>
    </w:p>
    <w:p>
      <w:pPr>
        <w:spacing w:after="0" w:line="178"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IMS, a healthcare information firm, estimates that IR hydrocodone bitartrate, or HB, formulated in combination with APAP, or hydrocodone/APAP, products accounted for 127 million prescriptions in the United States in 2013. We designed KP201/APAP to offer significant benefits over these widely prescribed hydrocodone/APAP products. We believe that KP201/APAP will provide abuse-deterrence while offering equivalent efficacy to these products.</w:t>
      </w:r>
    </w:p>
    <w:p>
      <w:pPr>
        <w:spacing w:after="0" w:line="14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According to the U.S. Department of Health and Human Services, or HHS, prescription drug overdose death rates in the United States have increased five-fold since 1980, and by 2009, drug overdose deaths outnumbered deaths due to motor vehicle crashes. HHS also estimates that, in 2010, opioid analgesics were involved in approximately 60% of U.S. drug overdose deaths where a drug was specified.</w:t>
      </w:r>
    </w:p>
    <w:p>
      <w:pPr>
        <w:spacing w:after="0" w:line="18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designed KP201/APAP to deter tampering and abuse by selecting a molecular structure that prevents the release of the opioid upon crushing, physical manipulation and the application of other commonly employed extraction techniques. This approach to abuse-deterrence at the molecular level contrasts with other abuse-deterrent technologies, which are formulation-based, combining the opioid drug with another drug or use an abuse-deterrent capsule or physical matrix. We believe our molecular-based approach to abuse deterrence may be more effective than many formulation-based approaches. We believe the KP201 prodrug releases hydrocodone less effectively than hydrocodone bitartrate, the form of hydrocodone in Norco, upon intranasal administration. We also believe the KP201 prodrug has very poor solubility in blood, water and other solvents, thus rendering it unsuitable for intravenous, or IV, administration.</w:t>
      </w:r>
    </w:p>
    <w:p>
      <w:pPr>
        <w:spacing w:after="0" w:line="18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We believe the data from our clinical trials suggest comparable bioavailability between the hydrocodone released from KP201/APAP and the hydrocodone in Vicoprofen, and comparable bioavailability between the APAP in KP201/APAP and the APAP in Ultracet. In addition, the FDA has confirmed that the results of our bioavailability trial comparing KP201/APAP to Norco, an approved hydrocodone/APAP combination product, support a finding that KP201/APAP is bioequivalent to Norco for hydrocodone. Vicoprofen, Ultracet and Norco are listed drugs that we cited in our 505(b)(2) NDA. Two drugs are said to be bioequivalent if there is no clinically significant difference in their bioavailability. Based on communications with the FDA, we believe that we will not be required to conduct any additional efficacy trials for KP201/APAP. At our pre-NDA meeting with the FDA in May 2015, we received feedback on the bioequivalence findings to Norco, the potential sufficiency of our proposed preclinical and clinical data package to support our NDA and the design of our abuse liability studies.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380"/>
        <w:spacing w:after="0" w:line="255" w:lineRule="auto"/>
        <w:rPr>
          <w:sz w:val="20"/>
          <w:szCs w:val="20"/>
          <w:color w:val="auto"/>
        </w:rPr>
      </w:pPr>
      <w:r>
        <w:rPr>
          <w:rFonts w:ascii="Arial" w:cs="Arial" w:eastAsia="Arial" w:hAnsi="Arial"/>
          <w:sz w:val="18"/>
          <w:szCs w:val="18"/>
          <w:color w:val="auto"/>
        </w:rPr>
        <w:t>We believe that KP201/APAP has the potential to be the first FDA-approved IR product for the short-term management of acute pain with the efficacy of hydrocodone/APAP combination products and abuse-deterrent labeling. We have conducted clinical trials designed with the goal of obtaining abuse-deterrent claims in our product label for KP201/APAP. We conducted these trials in accordance with guidance that the FDA finalized in 2015 specifying the necessary studies and data required for obtaining abuse-deterrent claims in a product label. We submitted our NDA to the FDA in December 2015. The FDA subsequently accepted this NDA for priority review in February 2016. The FDA has set a target action date for review of the NDA under PDUFA of June 9, 2016.</w:t>
      </w:r>
    </w:p>
    <w:p>
      <w:pPr>
        <w:spacing w:after="0" w:line="193"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Additionally, we intend to advance our pipeline of other product candidates for the treatment of various pain indications and ADHD and we anticipate reporting human proof-of-concept, or POC, data for three product candidates in 2016 and 2017. We filed an IND for KP511 in March 2016, and we expect to file an Investigational New Drug application, or IND, for each of KP415 and KP201/IR (APAP-free) in 2016, followed with an NDA for KP201/IR (APAP-free) as early as 2017. We plan to employ our LAT platform technology and development expertise to develop additional product candidates that address unmet medical needs in large, established markets. We believe our product candidates will be eligible for composition-of-matter patent protection and we intend to use the 505(b)(2) NDA pathway when available, which we believe will reduce drug development time, risk and expense. We own worldwide commercial rights for all of our product candidates, including KP201/APAP, except that Shire has a right of first refusal to acquire, license or commercialize KP415.</w:t>
      </w:r>
    </w:p>
    <w:p>
      <w:pPr>
        <w:spacing w:after="0" w:line="19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As of December 31, 2015, our patent portfolio consisted of 47 granted patents and 77 pending patent applications worldwide, including a granted U.S. composition-of-matter patent covering KP201, a granted U.S. patent covering KP201-related compositions-of-matter, and granted U.S. composition-of-matter patents covering the prodrugs underlying two of our other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Our goal is to be a leading specialty pharmaceutical company focused on the discovery, development and commercialization of novel and proprietary prodrugs. Key components of our strategy are:</w:t>
      </w:r>
    </w:p>
    <w:p>
      <w:pPr>
        <w:spacing w:after="0" w:line="170" w:lineRule="exact"/>
        <w:rPr>
          <w:sz w:val="20"/>
          <w:szCs w:val="20"/>
          <w:color w:val="auto"/>
        </w:rPr>
      </w:pPr>
    </w:p>
    <w:p>
      <w:pPr>
        <w:jc w:val="both"/>
        <w:ind w:left="760" w:hanging="374"/>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Secure FDA approval for KP201/APAP as the first IR pain therapeutic product with the efficacy of hydrocodone/APAP combination products and an abuse-deterrent label</w:t>
      </w:r>
      <w:r>
        <w:rPr>
          <w:rFonts w:ascii="Arial" w:cs="Arial" w:eastAsia="Arial" w:hAnsi="Arial"/>
          <w:sz w:val="18"/>
          <w:szCs w:val="18"/>
          <w:color w:val="auto"/>
        </w:rPr>
        <w:t>. We are developing KP201/APAP for the short-term management of acute pain. We submitted a 505(b)(2) NDA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FDA in December 2015. The FDA subsequently accepted this NDA for priority review in February 2016. The FDA has set a target action date for review of the NDA under PDUFA of June 9, 2016. Prior to product launch, the U.S. Drug Enforcement Administration, or the DEA, would then need to determine the controlled substance schedule of KP201/APAP, taking into account the recommendation of the FDA, which we expect could occur as early as the third quarter of 2016.</w:t>
      </w:r>
    </w:p>
    <w:p>
      <w:pPr>
        <w:spacing w:after="0" w:line="19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Commercialize KP201/APAP</w:t>
      </w:r>
      <w:r>
        <w:rPr>
          <w:rFonts w:ascii="Arial" w:cs="Arial" w:eastAsia="Arial" w:hAnsi="Arial"/>
          <w:sz w:val="18"/>
          <w:szCs w:val="18"/>
          <w:color w:val="auto"/>
        </w:rPr>
        <w:t>. We intend to evaluate U.S. commercialization options for KP201/APAP, if it is approved by the FDA,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pursuing a commercial collaboration, building a proprietary sales force, utilizing a contract sales force or pursuing a strategic transaction. We may also license the international commercial rights to KP201/APAP to one or more collaborators.</w:t>
      </w:r>
    </w:p>
    <w:p>
      <w:pPr>
        <w:spacing w:after="0" w:line="181" w:lineRule="exact"/>
        <w:rPr>
          <w:rFonts w:ascii="Arial" w:cs="Arial" w:eastAsia="Arial" w:hAnsi="Arial"/>
          <w:sz w:val="18"/>
          <w:szCs w:val="18"/>
          <w:color w:val="auto"/>
        </w:rPr>
      </w:pPr>
    </w:p>
    <w:p>
      <w:pPr>
        <w:jc w:val="both"/>
        <w:ind w:left="760" w:hanging="374"/>
        <w:spacing w:after="0" w:line="289"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Advance the development of our other pipeline product candidates</w:t>
      </w:r>
      <w:r>
        <w:rPr>
          <w:rFonts w:ascii="Arial" w:cs="Arial" w:eastAsia="Arial" w:hAnsi="Arial"/>
          <w:sz w:val="16"/>
          <w:szCs w:val="16"/>
          <w:color w:val="auto"/>
        </w:rPr>
        <w:t>. We plan to advance the development of KP201/IR (APAP-free), our APAP-free formulation of our prodrug of hydrocodone, for the short-term management of acute pain, KP415, our prodrug of methylphenidate, for the treatment of ADHD, KP511/ER, our extended release, or ER, formulation of our prodrug for hydromorphone, for the management of pain severe enough to require daily, around-the-clock, long-term opioid treatment and for which alternative treatment options are inadequate, KP606/IR, our IR formulation of our prodrug of oxycodone, for the management of moderate to severe pain where the use of an opioid analgesic is appropriate, and KP746, our prodrug of oxymorphone, for the management of moderate to severe pain where the use of an opioid analgesic is appropriate. We plan to advance three of these product candidates through human proof-of-concept trials to evaluate their bioequivalence to appropriate FDA-approved drugs, and expect to report data from these trials in 2016 and 2017. We filed an IND for KP511 in March 2016, and we expect to file INDs for KP415 and KP201/IR (APAP-free) in 2016, following with an NDA for KP201/IR (APAP-free) in 2017.</w:t>
      </w:r>
    </w:p>
    <w:p>
      <w:pPr>
        <w:spacing w:after="0" w:line="166" w:lineRule="exact"/>
        <w:rPr>
          <w:rFonts w:ascii="Arial" w:cs="Arial" w:eastAsia="Arial" w:hAnsi="Arial"/>
          <w:sz w:val="16"/>
          <w:szCs w:val="16"/>
          <w:color w:val="auto"/>
        </w:rPr>
      </w:pPr>
    </w:p>
    <w:p>
      <w:pPr>
        <w:jc w:val="both"/>
        <w:ind w:left="76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LAT platform technology to develop additional product candidates</w:t>
      </w:r>
      <w:r>
        <w:rPr>
          <w:rFonts w:ascii="Arial" w:cs="Arial" w:eastAsia="Arial" w:hAnsi="Arial"/>
          <w:sz w:val="18"/>
          <w:szCs w:val="18"/>
          <w:color w:val="auto"/>
        </w:rPr>
        <w:t>. We plan to employ our LAT platform technology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prodrugs that have improved properties over approved drugs and address unmet medical needs in large, established markets. We intend to develop prodrugs of FDA-approved drugs in multiple therapeutic areas.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both"/>
        <w:ind w:left="760" w:hanging="374"/>
        <w:spacing w:after="0" w:line="27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build a global intellectual property portfolio</w:t>
      </w:r>
      <w:r>
        <w:rPr>
          <w:rFonts w:ascii="Arial" w:cs="Arial" w:eastAsia="Arial" w:hAnsi="Arial"/>
          <w:sz w:val="17"/>
          <w:szCs w:val="17"/>
          <w:color w:val="auto"/>
        </w:rPr>
        <w:t>. We intend to vigorously pursue composition-of-matter patent protection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prodrugs in markets covering a majority of the global commercial opportunity. As of December 31, 2015, our patent portfolio consisted of 47 granted patents and 77 pending patent applications worldwide, including a granted U.S. composition-of-matter patent covering KP201, a granted U.S. patent covering KP201-related compositions-of-matter, and granted U.S. composition-of-matter patents covering KP511, the prodrug underlying our KP511/ER product candidate, and KP415, the prodrug underlying our KP415 product candidate.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LAT Prodrug Platform Technology</w:t>
      </w:r>
    </w:p>
    <w:p>
      <w:pPr>
        <w:spacing w:after="0" w:line="22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use our LAT platform technology to create prodrugs by chemically attaching one or more molecules, referred to as ligands, to an FDA-approved parent drug. We typically use ligands that have been demonstrated to be safe in toxicological studies or have been granted Generally Recognized as Safe, or GRAS, status for food use by the FDA. Our prodrugs are chemical successors of the parent drugs, but may be considered to be NMEs and thus may be eligible for protection by composition-of-matter patents. When the prodrug is administered to a patient as intended, the targeted human metabolic processes, such as those in the GI tract, separate the ligand from the prodrug and release the parent drug, which can then exert its therapeutic effect. We select particular ligands that, when combined with the parent drug, create prodrugs designed to have improved drug attributes while maintaining efficacy equivalent to the parent drug.</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that our LAT platform technology offers the following potential benefits:</w:t>
      </w:r>
    </w:p>
    <w:p>
      <w:pPr>
        <w:spacing w:after="0" w:line="225" w:lineRule="exact"/>
        <w:rPr>
          <w:sz w:val="20"/>
          <w:szCs w:val="20"/>
          <w:color w:val="auto"/>
        </w:rPr>
      </w:pPr>
    </w:p>
    <w:p>
      <w:pPr>
        <w:jc w:val="both"/>
        <w:ind w:left="760" w:hanging="374"/>
        <w:spacing w:after="0" w:line="26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Improved drug properties</w:t>
      </w:r>
      <w:r>
        <w:rPr>
          <w:rFonts w:ascii="Arial" w:cs="Arial" w:eastAsia="Arial" w:hAnsi="Arial"/>
          <w:sz w:val="18"/>
          <w:szCs w:val="18"/>
          <w:color w:val="auto"/>
        </w:rPr>
        <w:t>. We seek to develop prodrugs with improved attributes over FDA-approved drugs, such as reduced susceptibility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abuse, enhanced bioavailability and increased safety. For example, the molecular structure of KP201/APAP is designed to resist tampering and deter abuse.</w:t>
      </w:r>
    </w:p>
    <w:p>
      <w:pPr>
        <w:spacing w:after="0" w:line="181" w:lineRule="exact"/>
        <w:rPr>
          <w:rFonts w:ascii="Arial" w:cs="Arial" w:eastAsia="Arial" w:hAnsi="Arial"/>
          <w:sz w:val="18"/>
          <w:szCs w:val="18"/>
          <w:color w:val="auto"/>
        </w:rPr>
      </w:pPr>
    </w:p>
    <w:p>
      <w:pPr>
        <w:jc w:val="both"/>
        <w:ind w:left="760" w:hanging="374"/>
        <w:spacing w:after="0" w:line="312"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Composition-of-matter patent protection</w:t>
      </w:r>
      <w:r>
        <w:rPr>
          <w:rFonts w:ascii="Arial" w:cs="Arial" w:eastAsia="Arial" w:hAnsi="Arial"/>
          <w:sz w:val="16"/>
          <w:szCs w:val="16"/>
          <w:color w:val="auto"/>
        </w:rPr>
        <w:t>. Our prodrugs combine an FDA-approved parent drug with one or more ligands to create NMEs and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eligible for patent protection as novel compositions of matter, provided that all other applicable requirements are met. We seek patent protection not only for our prodrug product candidates, but also for related compounds with the intention of creating heightened barriers to market entry.</w:t>
      </w:r>
    </w:p>
    <w:p>
      <w:pPr>
        <w:spacing w:after="0" w:line="146" w:lineRule="exact"/>
        <w:rPr>
          <w:rFonts w:ascii="Arial" w:cs="Arial" w:eastAsia="Arial" w:hAnsi="Arial"/>
          <w:sz w:val="16"/>
          <w:szCs w:val="16"/>
          <w:color w:val="auto"/>
        </w:rPr>
      </w:pPr>
    </w:p>
    <w:p>
      <w:pPr>
        <w:jc w:val="both"/>
        <w:ind w:left="760" w:hanging="374"/>
        <w:spacing w:after="0" w:line="25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 for 505(b)(2) NDA pathway</w:t>
      </w:r>
      <w:r>
        <w:rPr>
          <w:rFonts w:ascii="Arial" w:cs="Arial" w:eastAsia="Arial" w:hAnsi="Arial"/>
          <w:sz w:val="18"/>
          <w:szCs w:val="18"/>
          <w:color w:val="auto"/>
        </w:rPr>
        <w:t>. Our LAT platform technology allows us to develop prodrugs that may be eligible to use the 505(b)(2) NDA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 Under that regulatory pathway, if we are able to demonstrate the bioequivalence of our product candidates to appropriate approved drugs, we will then be able to reference the FDA’s previous findings of safety and effectiveness for the approved drugs in our 505(b)(2) NDA submissions. This may allow us to avoid the significant time and expense of conducting large clinical trials and eliminate the need for some preclinical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Epidemic of Prescription Drug Abuse in the United States</w:t>
      </w:r>
    </w:p>
    <w:p>
      <w:pPr>
        <w:spacing w:after="0" w:line="22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United States is facing a growing epidemic of prescription drug abuse. According to HHS, prescription drug overdose death rates in the United States have increased five-fold since 1980, and by 2009, drug overdose deaths outnumbered deaths due to motor vehicle crashes. HHS also estimates that opioid analgesics were involved in approximately 60% of U.S. drug overdose deaths where a drug was specified in 2010. The economic costs of this public health problem are significant. A study published in 2011 in a peer-reviewed medical journal estimated that the costs of the non-medical use of prescription opioids in the United States are over $50 billion annually, including medical and substance abuse treatment costs, lost work productivity and criminal justice costs.</w:t>
      </w:r>
    </w:p>
    <w:p>
      <w:pPr>
        <w:spacing w:after="0" w:line="193"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increasing negative social consequences and costs of prescription drug abuse have led to a number of regulatory and legislative actions and proposals, including:</w:t>
      </w:r>
    </w:p>
    <w:p>
      <w:pPr>
        <w:spacing w:after="0" w:line="170" w:lineRule="exact"/>
        <w:rPr>
          <w:sz w:val="20"/>
          <w:szCs w:val="20"/>
          <w:color w:val="auto"/>
        </w:rPr>
      </w:pPr>
    </w:p>
    <w:p>
      <w:pPr>
        <w:jc w:val="both"/>
        <w:ind w:left="760" w:hanging="374"/>
        <w:spacing w:after="0" w:line="302"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FDA Guidance</w:t>
      </w:r>
      <w:r>
        <w:rPr>
          <w:rFonts w:ascii="Arial" w:cs="Arial" w:eastAsia="Arial" w:hAnsi="Arial"/>
          <w:sz w:val="16"/>
          <w:szCs w:val="16"/>
          <w:color w:val="auto"/>
        </w:rPr>
        <w:t>. In January 2013, the FDA published draft guidance with regard to the evaluation and labeling of abuse-deterrent opioids.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was published in final form in April 2015. The FDA guidance provides direction as to the studies and data required for obtaining abuse-deterrent claims in a product label. The draft guidance describes four categories of label claims for abuse-deterrent products. Depending on product and study data, a combination of categories can be included in the label claims. The FDA guidance lists the following theoretical examples:</w:t>
      </w:r>
    </w:p>
    <w:p>
      <w:pPr>
        <w:spacing w:after="0" w:line="154" w:lineRule="exact"/>
        <w:rPr>
          <w:rFonts w:ascii="Arial" w:cs="Arial" w:eastAsia="Arial" w:hAnsi="Arial"/>
          <w:sz w:val="16"/>
          <w:szCs w:val="16"/>
          <w:color w:val="auto"/>
        </w:rPr>
      </w:pPr>
    </w:p>
    <w:p>
      <w:pPr>
        <w:ind w:left="1520" w:hanging="378"/>
        <w:spacing w:after="0" w:line="277"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Category 1–in vitro data demonstrate the product has physical and chemical properties that are expected to deter intravenous abuse. However, abuse is still possible by the oral and nasal routes.</w:t>
      </w:r>
    </w:p>
    <w:p>
      <w:pPr>
        <w:spacing w:after="0" w:line="170" w:lineRule="exact"/>
        <w:rPr>
          <w:rFonts w:ascii="Arial" w:cs="Arial" w:eastAsia="Arial" w:hAnsi="Arial"/>
          <w:sz w:val="18"/>
          <w:szCs w:val="18"/>
          <w:color w:val="auto"/>
        </w:rPr>
      </w:pPr>
    </w:p>
    <w:p>
      <w:pPr>
        <w:ind w:left="1520" w:hanging="378"/>
        <w:spacing w:after="0" w:line="277"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Category 1 and 2–in vitro data demonstrate that the product has physical and chemical properties that are expected to deter oral, nasal and intravenous abuse. However, abuse of intact product is still possible by the oral route.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1520" w:hanging="378"/>
        <w:spacing w:after="0" w:line="308" w:lineRule="auto"/>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Category 2 and 3–pharmacokinetic and clinical abuse potential studies indicate that the product has properties that are expected to deter abuse via the oral, intranasal and intravenous routes. However, abuse of product by these routes is still possible.</w:t>
      </w:r>
    </w:p>
    <w:p>
      <w:pPr>
        <w:spacing w:after="0" w:line="146" w:lineRule="exact"/>
        <w:rPr>
          <w:rFonts w:ascii="Arial" w:cs="Arial" w:eastAsia="Arial" w:hAnsi="Arial"/>
          <w:sz w:val="17"/>
          <w:szCs w:val="17"/>
          <w:color w:val="auto"/>
        </w:rPr>
      </w:pPr>
    </w:p>
    <w:p>
      <w:pPr>
        <w:jc w:val="both"/>
        <w:ind w:left="1520" w:hanging="378"/>
        <w:spacing w:after="0" w:line="25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Category 4–data demonstrated a reduction in the abuse of the product in the community setting compared to the levels of abuse, overdose, and death that occurred when only formulations of the same opioid without abuse-deterrent properties were available. This reduction in abuse appears to be attributable to the product’s formulation, which deters abuse by injection or snorting of the manipulated product. However, such abuse of this product is still possible, and the product’s abuse deterrence properties do not deter abuse associated with swallowing the intact formulation.</w:t>
      </w:r>
    </w:p>
    <w:p>
      <w:pPr>
        <w:spacing w:after="0" w:line="188" w:lineRule="exact"/>
        <w:rPr>
          <w:sz w:val="20"/>
          <w:szCs w:val="20"/>
          <w:color w:val="auto"/>
        </w:rPr>
      </w:pPr>
    </w:p>
    <w:p>
      <w:pPr>
        <w:ind w:right="20" w:firstLine="380"/>
        <w:spacing w:after="0" w:line="277" w:lineRule="auto"/>
        <w:rPr>
          <w:sz w:val="20"/>
          <w:szCs w:val="20"/>
          <w:color w:val="auto"/>
        </w:rPr>
      </w:pPr>
      <w:r>
        <w:rPr>
          <w:rFonts w:ascii="Arial" w:cs="Arial" w:eastAsia="Arial" w:hAnsi="Arial"/>
          <w:sz w:val="18"/>
          <w:szCs w:val="18"/>
          <w:color w:val="auto"/>
        </w:rPr>
        <w:t>If a product is approved by the FDA to include such claims in its label, the applicant may use information about the abuse-deterrent features of the product in its marketing efforts to physicians.</w:t>
      </w:r>
    </w:p>
    <w:p>
      <w:pPr>
        <w:spacing w:after="0" w:line="170" w:lineRule="exact"/>
        <w:rPr>
          <w:sz w:val="20"/>
          <w:szCs w:val="20"/>
          <w:color w:val="auto"/>
        </w:rPr>
      </w:pPr>
    </w:p>
    <w:p>
      <w:pPr>
        <w:jc w:val="both"/>
        <w:ind w:left="760" w:hanging="374"/>
        <w:spacing w:after="0" w:line="279"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FDA Authority</w:t>
      </w:r>
      <w:r>
        <w:rPr>
          <w:rFonts w:ascii="Arial" w:cs="Arial" w:eastAsia="Arial" w:hAnsi="Arial"/>
          <w:sz w:val="17"/>
          <w:szCs w:val="17"/>
          <w:color w:val="auto"/>
        </w:rPr>
        <w:t>. In an April 2013 letter to the U.S. House of Representatives’ Committee on Energy and Commerce, the FDA outlined its authority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address the issue of prescription opioid abuse in the United States. The FDA asserted that, if it determines that a formulation of an extended-release opioid drug product has abuse-deterrent properties, it has the authority to refrain from approving non-abuse-deterrent formulations of the drug and to initiate procedures to withdraw the non-abuse-deterrent formulations already on the market.</w:t>
      </w:r>
    </w:p>
    <w:p>
      <w:pPr>
        <w:spacing w:after="0" w:line="171"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FDA Action</w:t>
      </w:r>
      <w:r>
        <w:rPr>
          <w:rFonts w:ascii="Arial" w:cs="Arial" w:eastAsia="Arial" w:hAnsi="Arial"/>
          <w:sz w:val="18"/>
          <w:szCs w:val="18"/>
          <w:color w:val="auto"/>
        </w:rPr>
        <w:t>. The FDA has approved the inclusion of language regarding the ability to deter abuse in the product labels for five abuse-deterrent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opioids, OxyContin, Targiniq ER, Embeda, Hysingla and MorphaBond. These actions reinforce the FDA’s public statement that the development of abuse-deterrent opioid analgesics is a public health priority.</w:t>
      </w:r>
    </w:p>
    <w:p>
      <w:pPr>
        <w:spacing w:after="0" w:line="181" w:lineRule="exact"/>
        <w:rPr>
          <w:rFonts w:ascii="Arial" w:cs="Arial" w:eastAsia="Arial" w:hAnsi="Arial"/>
          <w:sz w:val="18"/>
          <w:szCs w:val="18"/>
          <w:color w:val="auto"/>
        </w:rPr>
      </w:pPr>
    </w:p>
    <w:p>
      <w:pPr>
        <w:jc w:val="both"/>
        <w:ind w:left="760" w:hanging="374"/>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STOPP Act</w:t>
      </w:r>
      <w:r>
        <w:rPr>
          <w:rFonts w:ascii="Arial" w:cs="Arial" w:eastAsia="Arial" w:hAnsi="Arial"/>
          <w:sz w:val="18"/>
          <w:szCs w:val="18"/>
          <w:color w:val="auto"/>
        </w:rPr>
        <w:t>. In July 2012, a bipartisan group of Congressional leaders introduced the STOPP (Stop the Tampering of Prescription Pills)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Reintroduced in May 2015, the STOPP Act would require that non-abuse-deterrent opioids be removed from the market if an abuse-deterrent formulation of the same opioid is approved for marketing by the FDA. The STOPP Act is currently assigned to the House Committee on Energy and Commerce’s Subcommittee on Health.</w:t>
      </w:r>
    </w:p>
    <w:p>
      <w:pPr>
        <w:spacing w:after="0" w:line="186" w:lineRule="exact"/>
        <w:rPr>
          <w:rFonts w:ascii="Arial" w:cs="Arial" w:eastAsia="Arial" w:hAnsi="Arial"/>
          <w:sz w:val="18"/>
          <w:szCs w:val="18"/>
          <w:color w:val="auto"/>
        </w:rPr>
      </w:pPr>
    </w:p>
    <w:p>
      <w:pPr>
        <w:jc w:val="both"/>
        <w:ind w:left="760" w:hanging="374"/>
        <w:spacing w:after="0" w:line="30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FDA Public Meeting</w:t>
      </w:r>
      <w:r>
        <w:rPr>
          <w:rFonts w:ascii="Arial" w:cs="Arial" w:eastAsia="Arial" w:hAnsi="Arial"/>
          <w:sz w:val="16"/>
          <w:szCs w:val="16"/>
          <w:color w:val="auto"/>
        </w:rPr>
        <w:t>. In October 2014, the FDA hosted a public meeting to discuss the development, assessment and regulation of abuse-deterrent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formulations of opioid medications. In the announcement for the public meeting, the FDA anticipated that, after abuse-deterrent formulations become available for a number of different opioid medications and after it gains more experience with formulations with meaningful abuse-deterrent properties, the FDA may determine that the risks outweigh the benefits for all or most opioid products without abuse-deterrent properties.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Prodrug Product Candidates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employed our LAT platform technology to create a portfolio of product candidates that we believe will offer significant improvements over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FDA-approved and widely prescribed drugs. Our pipeline of product candidates is summarized in the table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KemPharm Prodrug Product Candidates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 / Parent Drug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Pain</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Hydrocodone (IR)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Hydrocodone (IR)</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Hydrocodone (ER)</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Oxycodone (IR)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Oxymorphone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ADHD</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Methylphenidate (controlled release)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KP201/APAP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Product</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Development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Key</w:t>
            </w:r>
          </w:p>
        </w:tc>
        <w:tc>
          <w:tcPr>
            <w:tcW w:w="0" w:type="dxa"/>
            <w:vAlign w:val="bottom"/>
          </w:tcPr>
          <w:p>
            <w:pPr>
              <w:spacing w:after="0"/>
              <w:rPr>
                <w:sz w:val="1"/>
                <w:szCs w:val="1"/>
                <w:color w:val="auto"/>
              </w:rPr>
            </w:pPr>
          </w:p>
        </w:tc>
      </w:tr>
      <w:tr>
        <w:trPr>
          <w:trHeight w:val="171"/>
        </w:trPr>
        <w:tc>
          <w:tcPr>
            <w:tcW w:w="2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Candidate</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Status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438"/>
        </w:trPr>
        <w:tc>
          <w:tcPr>
            <w:tcW w:w="2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Potential NDA Approval -</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4"/>
              </w:rPr>
              <w:t>NDA Accepted for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As Early As June 9, 2016</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(PDUFA date)</w:t>
            </w:r>
          </w:p>
        </w:tc>
        <w:tc>
          <w:tcPr>
            <w:tcW w:w="0" w:type="dxa"/>
            <w:vAlign w:val="bottom"/>
          </w:tcPr>
          <w:p>
            <w:pPr>
              <w:spacing w:after="0"/>
              <w:rPr>
                <w:sz w:val="1"/>
                <w:szCs w:val="1"/>
                <w:color w:val="auto"/>
              </w:rPr>
            </w:pPr>
          </w:p>
        </w:tc>
      </w:tr>
      <w:tr>
        <w:trPr>
          <w:trHeight w:val="108"/>
        </w:trPr>
        <w:tc>
          <w:tcPr>
            <w:tcW w:w="25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1"/>
              </w:rPr>
              <w:t>KP201/APAP</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Priority Review</w:t>
            </w: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gridSpan w:val="2"/>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7"/>
              </w:rPr>
              <w:t>DEA</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February 2016</w:t>
            </w: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Scheduling - As Early</w:t>
            </w: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As Q3 2016</w:t>
            </w:r>
          </w:p>
        </w:tc>
        <w:tc>
          <w:tcPr>
            <w:tcW w:w="0" w:type="dxa"/>
            <w:vAlign w:val="bottom"/>
          </w:tcPr>
          <w:p>
            <w:pPr>
              <w:spacing w:after="0"/>
              <w:rPr>
                <w:sz w:val="1"/>
                <w:szCs w:val="1"/>
                <w:color w:val="auto"/>
              </w:rPr>
            </w:pPr>
          </w:p>
        </w:tc>
      </w:tr>
      <w:tr>
        <w:trPr>
          <w:trHeight w:val="216"/>
        </w:trPr>
        <w:tc>
          <w:tcPr>
            <w:tcW w:w="25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3"/>
              </w:rPr>
              <w:t>KP201/IR (APAP-free)</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Clinical</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NDA Submission - 2017</w:t>
            </w:r>
          </w:p>
        </w:tc>
        <w:tc>
          <w:tcPr>
            <w:tcW w:w="0" w:type="dxa"/>
            <w:vAlign w:val="bottom"/>
          </w:tcPr>
          <w:p>
            <w:pPr>
              <w:spacing w:after="0"/>
              <w:rPr>
                <w:sz w:val="1"/>
                <w:szCs w:val="1"/>
                <w:color w:val="auto"/>
              </w:rPr>
            </w:pPr>
          </w:p>
        </w:tc>
      </w:tr>
      <w:tr>
        <w:trPr>
          <w:trHeight w:val="122"/>
        </w:trPr>
        <w:tc>
          <w:tcPr>
            <w:tcW w:w="254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Human POC Data - 2016</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3"/>
              </w:rPr>
              <w:t>IND Submitted to</w:t>
            </w: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KP511/ER</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FDA</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NDA Submission - 2018</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2016</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Human POC Data - 2017</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KP606/IR</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Preclinical</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NDA Submission - 2018</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KP746</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Preclinical</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Human POC Data - 2017</w:t>
            </w:r>
          </w:p>
        </w:tc>
        <w:tc>
          <w:tcPr>
            <w:tcW w:w="0" w:type="dxa"/>
            <w:vAlign w:val="bottom"/>
          </w:tcPr>
          <w:p>
            <w:pPr>
              <w:spacing w:after="0"/>
              <w:rPr>
                <w:sz w:val="1"/>
                <w:szCs w:val="1"/>
                <w:color w:val="auto"/>
              </w:rPr>
            </w:pPr>
          </w:p>
        </w:tc>
      </w:tr>
      <w:tr>
        <w:trPr>
          <w:trHeight w:val="445"/>
        </w:trPr>
        <w:tc>
          <w:tcPr>
            <w:tcW w:w="25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2"/>
              </w:rPr>
              <w:t>KP415</w:t>
            </w: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2"/>
              </w:rPr>
              <w:t>Preclinical</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Human POC Data - 2016</w:t>
            </w:r>
          </w:p>
        </w:tc>
        <w:tc>
          <w:tcPr>
            <w:tcW w:w="0" w:type="dxa"/>
            <w:vAlign w:val="bottom"/>
          </w:tcPr>
          <w:p>
            <w:pPr>
              <w:spacing w:after="0"/>
              <w:rPr>
                <w:sz w:val="1"/>
                <w:szCs w:val="1"/>
                <w:color w:val="auto"/>
              </w:rPr>
            </w:pPr>
          </w:p>
        </w:tc>
      </w:tr>
      <w:tr>
        <w:trPr>
          <w:trHeight w:val="122"/>
        </w:trPr>
        <w:tc>
          <w:tcPr>
            <w:tcW w:w="254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NDA Submission - 2019</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-1423035</wp:posOffset>
            </wp:positionV>
            <wp:extent cx="72466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-719455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-427990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-2409190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4160" w:space="720"/>
            <w:col w:w="6540"/>
          </w:cols>
          <w:pgMar w:left="240" w:top="553" w:right="239" w:bottom="1440" w:gutter="0" w:footer="0" w:header="0"/>
          <w:type w:val="continuous"/>
        </w:sectPr>
      </w:pPr>
    </w:p>
    <w:p>
      <w:pPr>
        <w:spacing w:after="0" w:line="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Our most advanced product candidate, KP201/APAP, is an IR combination of KP201, our prodrug of hydrocodone, and APAP. We are developing KP201/APAP for the short-term management of acute pain. KP201/APAP is designed to be an abuse-deterrent opioid product that offers equivalent efficacy to the existing standard-of-care, IR hydrocodone/APAP combination products, such as Vicodin, Norco and Lortab. KP201 combines hydrocodone with the ligand benzoic acid to form benzhydrocodone and can be formulated in both IR and ER dosage forms. KP201 is designed not to release its hydrocodone component until it is metabolized in the GI tract following oral administration. We believe KP201/APAP is highly tamper-resistant and is stable under conditions that can potentially defeat many other abuse-deterrent technologies.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both"/>
        <w:ind w:firstLine="380"/>
        <w:spacing w:after="0" w:line="264" w:lineRule="auto"/>
        <w:rPr>
          <w:sz w:val="20"/>
          <w:szCs w:val="20"/>
          <w:color w:val="auto"/>
        </w:rPr>
      </w:pPr>
      <w:r>
        <w:rPr>
          <w:rFonts w:ascii="Arial" w:cs="Arial" w:eastAsia="Arial" w:hAnsi="Arial"/>
          <w:sz w:val="18"/>
          <w:szCs w:val="18"/>
          <w:color w:val="auto"/>
        </w:rPr>
        <w:t>The graphic below illustrates the steps required to extract abusable opioid from traditional opioid products that do not incorporate abuse-deterrent technology, from many formulation-based abuse-deterrent products and from KP201/APAP. We believe the molecular-based abuse-deterrent characteristics of KP201/APAP present a higher barrier to abuse than many formulation-based abuse- deterrent approaches.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Complexity of Steps Required to Access Abusable Opioid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154940</wp:posOffset>
            </wp:positionV>
            <wp:extent cx="5188585" cy="2521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858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We are seeking approval of KP201/APAP under the 505(b)(2) NDA pathway, which permits companies to rely upon the FDA’s previous findings of safety and effectiveness for an approved product or products and published medical and scientific literature. We submitted our 505(b)(2) NDA for KP201/APAP to the FDA in December 2015. The FDA subsequently accepted this NDA for priority review in February 2016. The FDA has set a target action date for review of the NDA under PDUFA of June 9, 2016. However, we are relying in our 505(b)(2) NDA in part on the FDA’s prior findings of safety and effectiveness of Vicoprofen, a product that has two listed patents in the FDA publication Approved Drug Products with Therapeutic Equivalence Evaluations, also known as the Orange Book. Both listed patents expire in June 2017. As a result, FDA approval of our 505(b)(2) NDA may be delayed until June 10, 2017 or later if the patent or NDA holder files a patent infringement claim against us. In addition, and prior to product launch, the DEA would also need to determine the controlled substance schedule of KP201/APAP, taking into account the recommendation of the FDA. Subject to potential delay as a result of any delay in approval of our 505(b)(2) NDA, we expect the DEA could make a scheduling determination as early as the third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IMS estimates that in 2013, IR hydrocodone/APAP combination products represented the most frequently prescribed opioid products in the United States, accounting for 127 million U.S. prescriptions. Typically, patients are instructed to take four pills per day and prescriptions provide approximately 14 days of therapy. Hydrocodone is associated with more drug abuse and diversion than any other opioid and IR hydrocodone abuse results in more emergency department visits than any other prescription opioid. Currently, there are no IR hydrocodone/APAP combination products approved in the United States with an abuse-deterrent label.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Product Features of KP201/APAP</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believe KP201/APAP, if approved by the FDA, may have many valuable product features and may provide significant benefits to patients, physicians and society when compared to other FDA-approved and widely prescribed IR hydrocodone/APAP combination products:</w:t>
      </w:r>
    </w:p>
    <w:p>
      <w:pPr>
        <w:spacing w:after="0" w:line="170" w:lineRule="exact"/>
        <w:rPr>
          <w:sz w:val="20"/>
          <w:szCs w:val="20"/>
          <w:color w:val="auto"/>
        </w:rPr>
      </w:pPr>
    </w:p>
    <w:p>
      <w:pPr>
        <w:jc w:val="both"/>
        <w:ind w:left="760" w:hanging="374"/>
        <w:spacing w:after="0" w:line="25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Molecular-based abuse-deterrent technology</w:t>
      </w:r>
      <w:r>
        <w:rPr>
          <w:rFonts w:ascii="Arial" w:cs="Arial" w:eastAsia="Arial" w:hAnsi="Arial"/>
          <w:sz w:val="18"/>
          <w:szCs w:val="18"/>
          <w:color w:val="auto"/>
        </w:rPr>
        <w:t>. Unlike formulation-based opioid abuse-deterrent approaches, KP201/APAP incorporates our LAT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to create its abuse-deterrent properties at the molecular level. This may provide a higher barrier against attempted abuse than many existing formulation-based approaches. Physical manipulation, common solvent extraction, smoking and other conventional extraction methods applied to KP201/APAP do not release significant amounts of hydrocodone when compared to hydrocodone/APAP. We believe the KP201 prodrug releases hydrocodone less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760"/>
        <w:spacing w:after="0" w:line="277" w:lineRule="auto"/>
        <w:rPr>
          <w:sz w:val="20"/>
          <w:szCs w:val="20"/>
          <w:color w:val="auto"/>
        </w:rPr>
      </w:pPr>
      <w:r>
        <w:rPr>
          <w:rFonts w:ascii="Arial" w:cs="Arial" w:eastAsia="Arial" w:hAnsi="Arial"/>
          <w:sz w:val="18"/>
          <w:szCs w:val="18"/>
          <w:color w:val="auto"/>
        </w:rPr>
        <w:t>effectively than hydrocodone bitartrate upon intranasal administration and has very poor solubility in blood, water and other solvents, thus rendering it unsuitable for IV administration.</w:t>
      </w:r>
    </w:p>
    <w:p>
      <w:pPr>
        <w:spacing w:after="0" w:line="170" w:lineRule="exact"/>
        <w:rPr>
          <w:sz w:val="20"/>
          <w:szCs w:val="20"/>
          <w:color w:val="auto"/>
        </w:rPr>
      </w:pPr>
    </w:p>
    <w:p>
      <w:pPr>
        <w:jc w:val="both"/>
        <w:ind w:left="760" w:hanging="374"/>
        <w:spacing w:after="0" w:line="279"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Composition-of-matter patent protection</w:t>
      </w:r>
      <w:r>
        <w:rPr>
          <w:rFonts w:ascii="Arial" w:cs="Arial" w:eastAsia="Arial" w:hAnsi="Arial"/>
          <w:sz w:val="17"/>
          <w:szCs w:val="17"/>
          <w:color w:val="auto"/>
        </w:rPr>
        <w:t>. KP201/APAP is protected by a U.S. composition-of-matter patent on KP201 that will expire,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all appropriate patent term adjustments but excluding possible patent term extensions, in 2031. Our patent strategy is focused primarily on key geographic market opportunities, and, as of December 31, 2015, KP201 had received granted, issued or allowed patent status in 14 foreign jurisdictions and patent applications covering KP201 were pending in an additional 16 foreign jurisdictions.</w:t>
      </w:r>
    </w:p>
    <w:p>
      <w:pPr>
        <w:spacing w:after="0" w:line="171" w:lineRule="exact"/>
        <w:rPr>
          <w:rFonts w:ascii="Arial" w:cs="Arial" w:eastAsia="Arial" w:hAnsi="Arial"/>
          <w:sz w:val="17"/>
          <w:szCs w:val="17"/>
          <w:color w:val="auto"/>
        </w:rPr>
      </w:pPr>
    </w:p>
    <w:p>
      <w:pPr>
        <w:jc w:val="both"/>
        <w:ind w:left="760" w:hanging="374"/>
        <w:spacing w:after="0" w:line="259"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KP201 is a prodrug with a new chemical name, benzhydrocodone. We expect KP201/APAP, if approved, will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lower prescribed milligram strength of KP201 than the therapeutic equivalent amount of hydrocodone bitartrate used in existing IR hydrocodone/APAP combination products. The difference in chemical name and prescription strength will mean that there will be no generic equivalent product for KP201/APAP in most states, making substitution difficult at the pharmacy.</w:t>
      </w:r>
    </w:p>
    <w:p>
      <w:pPr>
        <w:spacing w:after="0" w:line="186" w:lineRule="exact"/>
        <w:rPr>
          <w:rFonts w:ascii="Arial" w:cs="Arial" w:eastAsia="Arial" w:hAnsi="Arial"/>
          <w:sz w:val="18"/>
          <w:szCs w:val="18"/>
          <w:color w:val="auto"/>
        </w:rPr>
      </w:pPr>
    </w:p>
    <w:p>
      <w:pPr>
        <w:ind w:left="760" w:hanging="374"/>
        <w:spacing w:after="0" w:line="342"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Convenient dosing</w:t>
      </w:r>
      <w:r>
        <w:rPr>
          <w:rFonts w:ascii="Arial" w:cs="Arial" w:eastAsia="Arial" w:hAnsi="Arial"/>
          <w:sz w:val="16"/>
          <w:szCs w:val="16"/>
          <w:color w:val="auto"/>
        </w:rPr>
        <w:t>. Based on data from our food-effect clinical trial, we believe that KP201/APAP can be administered under both fed and fasting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and, accordingly, we believe that KP201/APAP will be as convenient as existing IR hydrocodone/APAP combination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KP201/APAP Clinical Development Program</w:t>
      </w:r>
    </w:p>
    <w:p>
      <w:pPr>
        <w:spacing w:after="0" w:line="225"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We submitted our 505(b)(2) NDA for KP201/APAP to the FDA in December 2015. The FDA subsequently accepted this NDA for priority review in February 2016. The FDA has set a target action date for review of the NDA under PDUFA of June 9, 2016. We are seeking approval of KP201/APAP under the 505(b)(2) NDA pathway, which permits companies to rely upon the FDA’s previous findings of safety and effectiveness for one or more approved products and published medical and scientific literature. We completed a bioavailability trial comparing KP201/APAP to Norco, an approved hydrocodone/APAP combination product, and the FDA confirmed at our May 2015 pre-NDA meeting that the results of the trial support a finding that KP201/APAP is bioequivalent to Norco for hydrocodone. For APAP, the FDA found that KP201/APAP was close to meeting the agency’s metrics for bioequivalence but that we may be able to justify the difference. In order to rely on the FDA’s previous findings of safety and effectiveness for an approved product in a 505(b)(2) NDA, the approved product must be an NDA product. Because there are no approved NDAs for hydrocodone/APAP combination products, including for Norco, we are required to establish the safety and effectiveness of hydrocodone and the safety and effectiveness of APAP separately through other methods. We completed a bridging bioavailability trial of KP201/APAP and Vicoprofen, an FDA-approved hydrocodone/ibuprofen combination NDA product. The data from this trial suggests comparable bioavailability between the hydrocodone released from KP201/APAP and the hydrocodone in Vicoprofen. We also completed a bridging bioavailability trial of KP201/APAP and Ultracet, an FDA-approved tramadol/APAP combination NDA product. The data from this trial suggests comparable bioavailability between the APAP in KP201/APAP and the APAP in Ultracet. We referenced the FDA’s prior findings of safety and effectiveness for the hydrocodone component of Vicoprofen and the APAP component of Ultracet in our 505(b)(2) NDA. Based on communications with the FDA, we believe that no additional efficacy trials will be required for KP201/APAP.</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conducted two human abuse liability trials and one intranasal bioavailability study, each of which generated data that we included in our 505(b)</w:t>
      </w:r>
    </w:p>
    <w:p>
      <w:pPr>
        <w:spacing w:after="0" w:line="46" w:lineRule="exact"/>
        <w:rPr>
          <w:sz w:val="20"/>
          <w:szCs w:val="20"/>
          <w:color w:val="auto"/>
        </w:rPr>
      </w:pPr>
    </w:p>
    <w:p>
      <w:pPr>
        <w:ind w:right="20" w:firstLine="8"/>
        <w:spacing w:after="0" w:line="261" w:lineRule="auto"/>
        <w:tabs>
          <w:tab w:leader="none" w:pos="2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NDA submission. We designed these trials and this study with the goal of obtaining abuse-deterrent claims in our product label for KP201/APAP in accordance with FDA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and Bioavailability Studies.</w:t>
      </w:r>
    </w:p>
    <w:p>
      <w:pPr>
        <w:spacing w:after="0" w:line="225"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Abuse Quotient and Relative Abuse Potential. Clinical observations suggest that euphoric effects are enhanced both by increasing the peak plasma concentration, or Cmax, of an active opioid and by reducing the time to peak plasma concentration, or Tmax. The higher the opioid concentrations are in the blood and brain, and the faster they rise, the greater the reward to the abuser. It has also become apparent, however, that neither Tmax nor Cmax considered alone are sufficient to predict euphoria. Both parameters are important and need to be evaluated together.</w:t>
      </w:r>
    </w:p>
    <w:p>
      <w:pPr>
        <w:spacing w:after="0" w:line="17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As a result, the abuse quotient, or AQ, calculated as Cmax/Tmax, has been introduced to allow numerical assessment of peak drug exposure relative to the rate of rise in plasma concentration. AQ increases both as Cmax is increased and as Tmax is shortened. Thus higher AQ scores suggest greater abuse potential.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both"/>
        <w:ind w:firstLine="380"/>
        <w:spacing w:after="0" w:line="264" w:lineRule="auto"/>
        <w:rPr>
          <w:sz w:val="20"/>
          <w:szCs w:val="20"/>
          <w:color w:val="auto"/>
        </w:rPr>
      </w:pPr>
      <w:r>
        <w:rPr>
          <w:rFonts w:ascii="Arial" w:cs="Arial" w:eastAsia="Arial" w:hAnsi="Arial"/>
          <w:sz w:val="18"/>
          <w:szCs w:val="18"/>
          <w:color w:val="auto"/>
        </w:rPr>
        <w:t>The AQ values for all treatments we assessed in studies KP201.A01, KP201.A02 and KP201.A03, our abuse deterrence clinical trials and intranasal bioavailability study, have been calculated to allow comparison of their relative abuse potentials based on pharmacokinetics and hydrocodone exposure, and are shown in the table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Abuse Quotient Values (Cmax/Tmax) for All Treatments Administered in Studies KP201.A01, KP201.A02, and KP201.A03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AQ (SD)(3)</w:t>
            </w: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Dose Units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(ng/mL/</w:t>
            </w: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Rank(1)</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Treatment</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ROA(2)</w:t>
            </w: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(mg)</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hours)</w:t>
            </w:r>
          </w:p>
        </w:tc>
      </w:tr>
      <w:tr>
        <w:trPr>
          <w:trHeight w:val="223"/>
        </w:trPr>
        <w:tc>
          <w:tcPr>
            <w:tcW w:w="4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KP201 API</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IN</w:t>
            </w:r>
          </w:p>
        </w:tc>
        <w:tc>
          <w:tcPr>
            <w:tcW w:w="12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 (13.34)</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(11.6)</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KP201/APAP</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rPr>
              <w:t>IN</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2 (13.34/650)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w:t>
            </w:r>
          </w:p>
        </w:tc>
        <w:tc>
          <w:tcPr>
            <w:tcW w:w="780" w:type="dxa"/>
            <w:vAlign w:val="bottom"/>
          </w:tcPr>
          <w:p>
            <w:pPr>
              <w:ind w:left="20"/>
              <w:spacing w:after="0"/>
              <w:rPr>
                <w:sz w:val="20"/>
                <w:szCs w:val="20"/>
                <w:color w:val="auto"/>
              </w:rPr>
            </w:pPr>
            <w:r>
              <w:rPr>
                <w:rFonts w:ascii="Arial" w:cs="Arial" w:eastAsia="Arial" w:hAnsi="Arial"/>
                <w:sz w:val="18"/>
                <w:szCs w:val="18"/>
                <w:color w:val="auto"/>
              </w:rPr>
              <w:t>(18.4)</w:t>
            </w:r>
          </w:p>
        </w:tc>
      </w:tr>
      <w:tr>
        <w:trPr>
          <w:trHeight w:val="230"/>
        </w:trPr>
        <w:tc>
          <w:tcPr>
            <w:tcW w:w="4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HB/APAP</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 (15/650)</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(23.3)</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KP201/APAP</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2 (13.34/650)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780" w:type="dxa"/>
            <w:vAlign w:val="bottom"/>
          </w:tcPr>
          <w:p>
            <w:pPr>
              <w:ind w:left="20"/>
              <w:spacing w:after="0"/>
              <w:rPr>
                <w:sz w:val="20"/>
                <w:szCs w:val="20"/>
                <w:color w:val="auto"/>
              </w:rPr>
            </w:pPr>
            <w:r>
              <w:rPr>
                <w:rFonts w:ascii="Arial" w:cs="Arial" w:eastAsia="Arial" w:hAnsi="Arial"/>
                <w:sz w:val="18"/>
                <w:szCs w:val="18"/>
                <w:color w:val="auto"/>
              </w:rPr>
              <w:t>(21.8)</w:t>
            </w:r>
          </w:p>
        </w:tc>
      </w:tr>
      <w:tr>
        <w:trPr>
          <w:trHeight w:val="230"/>
        </w:trPr>
        <w:tc>
          <w:tcPr>
            <w:tcW w:w="4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HB/APAP</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IN</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 (15/650)</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(43.8)</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HB API</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rPr>
              <w:t>IN</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2 (15)</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w:t>
            </w:r>
          </w:p>
        </w:tc>
        <w:tc>
          <w:tcPr>
            <w:tcW w:w="780" w:type="dxa"/>
            <w:vAlign w:val="bottom"/>
          </w:tcPr>
          <w:p>
            <w:pPr>
              <w:ind w:left="20"/>
              <w:spacing w:after="0"/>
              <w:rPr>
                <w:sz w:val="20"/>
                <w:szCs w:val="20"/>
                <w:color w:val="auto"/>
              </w:rPr>
            </w:pPr>
            <w:r>
              <w:rPr>
                <w:rFonts w:ascii="Arial" w:cs="Arial" w:eastAsia="Arial" w:hAnsi="Arial"/>
                <w:sz w:val="18"/>
                <w:szCs w:val="18"/>
                <w:color w:val="auto"/>
              </w:rPr>
              <w:t>(69.0)</w:t>
            </w:r>
          </w:p>
        </w:tc>
      </w:tr>
      <w:tr>
        <w:trPr>
          <w:trHeight w:val="230"/>
        </w:trPr>
        <w:tc>
          <w:tcPr>
            <w:tcW w:w="40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7</w:t>
            </w:r>
          </w:p>
        </w:tc>
        <w:tc>
          <w:tcPr>
            <w:tcW w:w="1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KP201/APAP</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 (26.68/1300)</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(58.9)</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HB/APAP</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4 (30/1300)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w:t>
            </w:r>
          </w:p>
        </w:tc>
        <w:tc>
          <w:tcPr>
            <w:tcW w:w="780" w:type="dxa"/>
            <w:vAlign w:val="bottom"/>
          </w:tcPr>
          <w:p>
            <w:pPr>
              <w:ind w:left="20"/>
              <w:spacing w:after="0"/>
              <w:rPr>
                <w:sz w:val="20"/>
                <w:szCs w:val="20"/>
                <w:color w:val="auto"/>
              </w:rPr>
            </w:pPr>
            <w:r>
              <w:rPr>
                <w:rFonts w:ascii="Arial" w:cs="Arial" w:eastAsia="Arial" w:hAnsi="Arial"/>
                <w:sz w:val="18"/>
                <w:szCs w:val="18"/>
                <w:color w:val="auto"/>
              </w:rPr>
              <w:t>(57.1)</w:t>
            </w:r>
          </w:p>
        </w:tc>
      </w:tr>
      <w:tr>
        <w:trPr>
          <w:trHeight w:val="230"/>
        </w:trPr>
        <w:tc>
          <w:tcPr>
            <w:tcW w:w="4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KP201/APAP</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 (53.36/2600)</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(125.2)</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9"/>
                <w:szCs w:val="19"/>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HB/APAP</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8 (60/2600)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222.7</w:t>
            </w:r>
          </w:p>
        </w:tc>
        <w:tc>
          <w:tcPr>
            <w:tcW w:w="780" w:type="dxa"/>
            <w:vAlign w:val="bottom"/>
          </w:tcPr>
          <w:p>
            <w:pPr>
              <w:ind w:left="20"/>
              <w:spacing w:after="0"/>
              <w:rPr>
                <w:sz w:val="20"/>
                <w:szCs w:val="20"/>
                <w:color w:val="auto"/>
              </w:rPr>
            </w:pPr>
            <w:r>
              <w:rPr>
                <w:rFonts w:ascii="Arial" w:cs="Arial" w:eastAsia="Arial" w:hAnsi="Arial"/>
                <w:sz w:val="18"/>
                <w:szCs w:val="18"/>
                <w:color w:val="auto"/>
              </w:rPr>
              <w:t>(125.1)</w:t>
            </w:r>
          </w:p>
        </w:tc>
      </w:tr>
      <w:tr>
        <w:trPr>
          <w:trHeight w:val="230"/>
        </w:trPr>
        <w:tc>
          <w:tcPr>
            <w:tcW w:w="4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KP201/APAP</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12 (80.04/3900)</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287.58 (189.8)</w:t>
            </w: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HB/APAP</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PO</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12 (90/3900)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329.7</w:t>
            </w:r>
          </w:p>
        </w:tc>
        <w:tc>
          <w:tcPr>
            <w:tcW w:w="780" w:type="dxa"/>
            <w:vAlign w:val="bottom"/>
          </w:tcPr>
          <w:p>
            <w:pPr>
              <w:ind w:left="20"/>
              <w:spacing w:after="0"/>
              <w:rPr>
                <w:sz w:val="20"/>
                <w:szCs w:val="20"/>
                <w:color w:val="auto"/>
              </w:rPr>
            </w:pPr>
            <w:r>
              <w:rPr>
                <w:rFonts w:ascii="Arial" w:cs="Arial" w:eastAsia="Arial" w:hAnsi="Arial"/>
                <w:sz w:val="18"/>
                <w:szCs w:val="18"/>
                <w:color w:val="auto"/>
              </w:rPr>
              <w:t>(201.9)</w:t>
            </w:r>
          </w:p>
        </w:tc>
      </w:tr>
    </w:tbl>
    <w:p>
      <w:pPr>
        <w:spacing w:after="0" w:line="20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treatments from studies KP201.A01, KP201.A02 and KP201.A03 are ranked from smallest to largest AQ.</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ROA = Route of Administration, IN = intranasal, PO = oral</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SD = Standard Deviation</w:t>
      </w:r>
    </w:p>
    <w:p>
      <w:pPr>
        <w:spacing w:after="0" w:line="21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Of all the treatments we evaluated, intranasal KP201, either with or without APAP, had the lowest AQ when administered at an equimolar dose. This was the case when compared to oral KP201/APAP and when compared to all other hydrocodone treatments included in the trials, whether with or without APAP, oral or intranasal.</w:t>
      </w:r>
    </w:p>
    <w:p>
      <w:pPr>
        <w:spacing w:after="0" w:line="181"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i w:val="1"/>
          <w:iCs w:val="1"/>
          <w:color w:val="auto"/>
        </w:rPr>
        <w:t>KP201 Pilot Pharmacokinetics and Comparative Bioavailability Trials</w:t>
      </w:r>
      <w:r>
        <w:rPr>
          <w:rFonts w:ascii="Arial" w:cs="Arial" w:eastAsia="Arial" w:hAnsi="Arial"/>
          <w:sz w:val="16"/>
          <w:szCs w:val="16"/>
          <w:color w:val="auto"/>
        </w:rPr>
        <w:t>. We submitted our IND application for KP201 to the FDA in January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our first human clinical trial of KP201 from February through March 2011. This trial was intended to provide proof of concept of KP201’s bioavailability compared to Norco. This trial assessed the pharmacokinetics of KP201, hydrocodone and hydromorphone, an opioid resulting from the metabolism of hydrocodone, over a 24-hour period after oral administration of KP201 at doses of 5 mg and 10 mg and the commercially available tablet version of Norco (10 mg of hydrocodone bitartrate / 325 mg of APAP) under fasted conditions. The 10 mg dose of KP201 and the tablet version of Norco are equimolar, meaning the number of KP201 molecules in the KP201 dose is the same as the number of molecules of hydrocodone in the Norco dose. Pharmacokinetics refers to the process by which a drug is distributed and metabolized in the body, including information on drug levels in the systemic circulation and how these levels change over time. A total of 24 healthy adult volunteers were enrolled in the trial and 21 of the subjects completed it.</w:t>
      </w:r>
    </w:p>
    <w:p>
      <w:pPr>
        <w:spacing w:after="0" w:line="166"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results of the trial were that the plasma concentrations for both hydrocodone and hydromorphone after administration of 10 mg of KP201 were comparable to the levels following an equimolar dose of Norco and the results were within the statistical parameters established for bioequivalence by the FDA. In addition, we observed dose proportionality of 5 mg of KP201 as compared to 10 mg of KP201. The systemic exposure to intact KP201 was below the measurement threshold in each subject at all of the measurement points.</w:t>
      </w:r>
    </w:p>
    <w:p>
      <w:pPr>
        <w:spacing w:after="0" w:line="187"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A total of 58 adverse events following dose administration were reported over the course of the trial. Of these, 35 were mild and 23 were moderate. We do not believe any of the adverse events were occurring in the trial unusual or unexpected following the administration of opioid medication.</w:t>
      </w:r>
    </w:p>
    <w:p>
      <w:pPr>
        <w:spacing w:after="0" w:line="14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i w:val="1"/>
          <w:iCs w:val="1"/>
          <w:color w:val="auto"/>
        </w:rPr>
        <w:t>KP201/APAP Bioequivalence Trial</w:t>
      </w:r>
      <w:r>
        <w:rPr>
          <w:rFonts w:ascii="Arial" w:cs="Arial" w:eastAsia="Arial" w:hAnsi="Arial"/>
          <w:sz w:val="18"/>
          <w:szCs w:val="18"/>
          <w:color w:val="auto"/>
        </w:rPr>
        <w:t>. In August 2013, we conducted our second human clinical trial of KP201, an open-label, bioequivalence trial</w:t>
      </w:r>
      <w:r>
        <w:rPr>
          <w:rFonts w:ascii="Arial" w:cs="Arial" w:eastAsia="Arial" w:hAnsi="Arial"/>
          <w:sz w:val="18"/>
          <w:szCs w:val="18"/>
          <w:i w:val="1"/>
          <w:iCs w:val="1"/>
          <w:color w:val="auto"/>
        </w:rPr>
        <w:t xml:space="preserve"> </w:t>
      </w:r>
      <w:r>
        <w:rPr>
          <w:rFonts w:ascii="Arial" w:cs="Arial" w:eastAsia="Arial" w:hAnsi="Arial"/>
          <w:sz w:val="18"/>
          <w:szCs w:val="18"/>
          <w:color w:val="auto"/>
        </w:rPr>
        <w:t>comparing KP201/APAP to Norco. The primary objective of this trial was to compare the pharmacokinetic profile and exposure of hydrocodone, hydromorphone and APAP over a 24-hour period after a single dose of KP201/APAP (6.67 mg / 325 mg) relative to a single dose of Norco (7.5 mg / 325 mg) when administered orally under fasted conditions. These doses of KP201/APAP and Norco are equimolar even though the milligram dose of each drug per tablet is slightly different. Randomized subjects received two single-dose treatments, each separated by a seven-day washout period. A total of 30 healthy volunteers participated in the trial and 23 of the subjects completed 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color w:val="auto"/>
        </w:rPr>
        <w:t>The following charts summarize the bioequivalence data from this trial.</w:t>
      </w:r>
    </w:p>
    <w:p>
      <w:pPr>
        <w:spacing w:after="0" w:line="11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KP201/APAP Bioequivalence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154940</wp:posOffset>
            </wp:positionV>
            <wp:extent cx="5342890" cy="2229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289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HC refers to hydrocodone and HM refers to hydromorphone</w:t>
      </w:r>
    </w:p>
    <w:p>
      <w:pPr>
        <w:spacing w:after="0" w:line="225"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The results of the trial were that the plasma concentration levels for hydrocodone, hydromorphone and APAP after administration of KP201/APAP were comparable to the levels following an equimolar dose of Norco, and the results for hydrocodone and hydromorphone were within the statistical parameters established for bioequivalence by the FDA. The bioavailability data for APAP was slightly outside of the statistical range for bioequivalence.</w:t>
      </w:r>
    </w:p>
    <w:p>
      <w:pPr>
        <w:spacing w:after="0" w:line="16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In addition, systemic exposure to intact KP201 was below the measurement threshold in each subject at all of the measurement points. We do not believe any of the adverse events occurring in the trial were unusual or unexpected following the administration of opioid medication.</w:t>
      </w:r>
    </w:p>
    <w:p>
      <w:pPr>
        <w:spacing w:after="0" w:line="170"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i w:val="1"/>
          <w:iCs w:val="1"/>
          <w:color w:val="auto"/>
        </w:rPr>
        <w:t>KP201/APAP Multi-Dose/Steady State Trial</w:t>
      </w:r>
      <w:r>
        <w:rPr>
          <w:rFonts w:ascii="Arial" w:cs="Arial" w:eastAsia="Arial" w:hAnsi="Arial"/>
          <w:sz w:val="17"/>
          <w:szCs w:val="17"/>
          <w:color w:val="auto"/>
        </w:rPr>
        <w:t>. This trial, which we conducted in July and August 2013, was intended to assess the pharmacokinetics of</w:t>
      </w:r>
      <w:r>
        <w:rPr>
          <w:rFonts w:ascii="Arial" w:cs="Arial" w:eastAsia="Arial" w:hAnsi="Arial"/>
          <w:sz w:val="17"/>
          <w:szCs w:val="17"/>
          <w:i w:val="1"/>
          <w:iCs w:val="1"/>
          <w:color w:val="auto"/>
        </w:rPr>
        <w:t xml:space="preserve"> </w:t>
      </w:r>
      <w:r>
        <w:rPr>
          <w:rFonts w:ascii="Arial" w:cs="Arial" w:eastAsia="Arial" w:hAnsi="Arial"/>
          <w:sz w:val="17"/>
          <w:szCs w:val="17"/>
          <w:color w:val="auto"/>
        </w:rPr>
        <w:t>KP201 after single and multiple doses of KP201/APAP in healthy volunteers. The primary objectives of this trial were to assess the pharmacokinetics of KP201, hydrocodone, hydromorphone and APAP following a single dose of two KP201/APAP tablets (6.67 mg / 325 mg) and to assess the steady-state pharmacokinetics of KP201, hydrocodone, hydromorphone and APAP following 13 doses of two KP201/APAP tablets administered every four hours under fasted conditions. A total of 26 healthy adult volunteers were enrolled in the trial and 24 of the subjects completed it.</w:t>
      </w:r>
    </w:p>
    <w:p>
      <w:pPr>
        <w:spacing w:after="0" w:line="173"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The results of the trial were that all plasma concentrations of KP201 were below the measurement threshold at all time points for all subjects, indicating that there was no systemic exposure to the prodrug even after administration of two tablets every four hours for 13 doses. Naltrexone, a narcotic antagonist, was administered to minimize the occurrence of adverse effects often associated with administration of opioids. We do not believe any of the adverse events occurring in the trial were unusual or unexpected following the administration of opioid medication.</w:t>
      </w:r>
    </w:p>
    <w:p>
      <w:pPr>
        <w:spacing w:after="0" w:line="171"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i w:val="1"/>
          <w:iCs w:val="1"/>
          <w:color w:val="auto"/>
        </w:rPr>
        <w:t>KP201/APAP Food-Effect Trial</w:t>
      </w:r>
      <w:r>
        <w:rPr>
          <w:rFonts w:ascii="Arial" w:cs="Arial" w:eastAsia="Arial" w:hAnsi="Arial"/>
          <w:sz w:val="17"/>
          <w:szCs w:val="17"/>
          <w:color w:val="auto"/>
        </w:rPr>
        <w:t>. This trial, which we conducted in December 2013 and January 2014, was intended to assess the effect of food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bioavailability and pharmacokinetics of hydrocodone and APAP from KP201/APAP tablets, as well as to assess the relative bioavailability of hydrocodone and APAP from KP201/APAP tablets as compared to equimolar doses of Norco, each under fed conditions. Randomized subjects received a single dose of KP201/APAP (6.67 mg / 325 mg) administered orally under fed conditions in one period, a single dose of KP201/APAP (6.67 mg / 325 mg) under fasted conditions in one period, and a single dose of Norco (7.5 mg / 325 mg) under fed conditions in one period. Fed conditions reflected an FDA-standard high-fat, high-calorie breakfast. A total of 42 healthy adult volunteers enrolled in the trial and 38 of the subjects completed it.</w:t>
      </w:r>
    </w:p>
    <w:p>
      <w:pPr>
        <w:spacing w:after="0" w:line="178"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results of the trial were that there were no overall changes in exposure to hydrocodone or to APAP when KP201/APAP tablets were administered under fed conditions that would be of clinical significance compared to KP201/APAP administered under fasted conditions or compared to Norco administered under fed conditions. We believe the data from this trial suggest there is no food effect with regard to the administration of KP201/APAP and that the labeling for KP201 could indicate that it can be administered without regard to meals.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both"/>
        <w:ind w:firstLine="380"/>
        <w:spacing w:after="0" w:line="277" w:lineRule="auto"/>
        <w:rPr>
          <w:sz w:val="20"/>
          <w:szCs w:val="20"/>
          <w:color w:val="auto"/>
        </w:rPr>
      </w:pPr>
      <w:r>
        <w:rPr>
          <w:rFonts w:ascii="Arial" w:cs="Arial" w:eastAsia="Arial" w:hAnsi="Arial"/>
          <w:sz w:val="18"/>
          <w:szCs w:val="18"/>
          <w:color w:val="auto"/>
        </w:rPr>
        <w:t>In addition, systemic exposure to intact KP201 was below the measurement threshold in each subject at all of the measurement points. We do not believe any of the adverse events occurring in the trial were unusual or unexpected following the administration of opioid medication.</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i w:val="1"/>
          <w:iCs w:val="1"/>
          <w:color w:val="auto"/>
        </w:rPr>
        <w:t>Comparative Bioavailability of KP201/APAP and Vicoprofen Trial</w:t>
      </w:r>
      <w:r>
        <w:rPr>
          <w:rFonts w:ascii="Arial" w:cs="Arial" w:eastAsia="Arial" w:hAnsi="Arial"/>
          <w:sz w:val="18"/>
          <w:szCs w:val="18"/>
          <w:color w:val="auto"/>
        </w:rPr>
        <w:t>. This trial, which was conducted in June and July 2014, was intended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bioavailability of KP201/APAP compared to Vicoprofen in order to allow us to reference the FDA’s prior findings of safety and effectiveness of Vicoprofen in our 505(b)(2) NDA. Vicoprofen, like KP201/APAP, is a product containing hydrocodone. The primary objective of this trial was to compare the rate and extent of absorption of hydrocodone and hydromorphone from KP201/APAP relative to Vicoprofen when administered orally to healthy subjects under fasted conditions. Randomized subjects received a single dose of KP201/APAP (6.67 mg / 325 mg) and a single dose of Vicoprofen (7.5 mg of hydrocodone / 200 mg of ibuprofen) with the two administrations separated by a seven-day washout period. A total of 30 healthy adult volunteers enrolled in the trial and 28 of the 30 subjects completed it.</w:t>
      </w:r>
    </w:p>
    <w:p>
      <w:pPr>
        <w:spacing w:after="0" w:line="18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results of the trial were that there were no overall differences in exposure to hydrocodone and active metabolite hydromorphone from KP201/APAP as compared to Vicoprofen. We do not believe any of the adverse events occurring in the trial were unusual or unexpected following the administration of opioid medication.</w:t>
      </w:r>
    </w:p>
    <w:p>
      <w:pPr>
        <w:spacing w:after="0" w:line="18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i w:val="1"/>
          <w:iCs w:val="1"/>
          <w:color w:val="auto"/>
        </w:rPr>
        <w:t>Comparative Bioavailability of KP201/APAP and Ultracet Trial</w:t>
      </w:r>
      <w:r>
        <w:rPr>
          <w:rFonts w:ascii="Arial" w:cs="Arial" w:eastAsia="Arial" w:hAnsi="Arial"/>
          <w:sz w:val="18"/>
          <w:szCs w:val="18"/>
          <w:color w:val="auto"/>
        </w:rPr>
        <w:t>. This trial, which was conducted in July and August 2014, was intended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bioavailability of KP201/APAP compared to Ultracet in order to allow us to reference the FDA’s prior findings of safety and effectiveness of Ultracet in our 505(b)(2) NDA. Ultracet, like KP201/APAP, is a combination product containing an opioid, in this case tramadol, and APAP. The primary objective of this trial was to compare the rate and extent of absorption of APAP from KP201/APAP relative to Ultracet when administered orally to healthy subjects under fasted conditions. Randomized subjects received a single dose of KP201/APAP (6.67 mg / 325 mg) and a single dose of Ultracet (37.5 mg of tramadol / 325 mg of APAP) with the two administrations separated by a seven-day washout period. A total of 30 healthy adult volunteers enrolled in the trial and 27 of the 30 subjects completed it.</w:t>
      </w:r>
    </w:p>
    <w:p>
      <w:pPr>
        <w:spacing w:after="0" w:line="189"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The results of the trial were that there were no overall differences in exposure to APAP from KP201/APAP as compared to Ultracet. We do not believe any of the adverse events occurring in the trial were unusual or unexpected following the administration of opioid medication.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Abuse Deterrence Clinical Trials and Intranasal Bioavailability Study</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In 2015, we completed two human abuse liability trials and one intranasal bioavailability study, each of which generated data that we included in our 505(b)(2) NDA submission. We believe the data from these trials and study, together with the data from the tamper-resistant extraction studies we have completed, may allow us to obtain the FDA’s Category 1, Category 2 and potentially Category 3 abuse-deterrent language in the KP201/APAP product label, if it is approved.</w:t>
      </w:r>
    </w:p>
    <w:p>
      <w:pPr>
        <w:spacing w:after="0" w:line="18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i w:val="1"/>
          <w:iCs w:val="1"/>
          <w:color w:val="auto"/>
        </w:rPr>
        <w:t>KP201.A01 Oral Human Abuse Liability Trial</w:t>
      </w:r>
      <w:r>
        <w:rPr>
          <w:rFonts w:ascii="Arial" w:cs="Arial" w:eastAsia="Arial" w:hAnsi="Arial"/>
          <w:sz w:val="17"/>
          <w:szCs w:val="17"/>
          <w:color w:val="auto"/>
        </w:rPr>
        <w:t>. This trial, which was conducted from August 2014 through January 2015, was intended to compare the</w:t>
      </w:r>
      <w:r>
        <w:rPr>
          <w:rFonts w:ascii="Arial" w:cs="Arial" w:eastAsia="Arial" w:hAnsi="Arial"/>
          <w:sz w:val="17"/>
          <w:szCs w:val="17"/>
          <w:i w:val="1"/>
          <w:iCs w:val="1"/>
          <w:color w:val="auto"/>
        </w:rPr>
        <w:t xml:space="preserve"> </w:t>
      </w:r>
      <w:r>
        <w:rPr>
          <w:rFonts w:ascii="Arial" w:cs="Arial" w:eastAsia="Arial" w:hAnsi="Arial"/>
          <w:sz w:val="17"/>
          <w:szCs w:val="17"/>
          <w:color w:val="auto"/>
        </w:rPr>
        <w:t>pharmacodynamic, or drug likability, effects, exposure levels and safety of KP201/APAP compared to Norco after oral administration at four, eight and twelve tablet dosages. Pharmacodynamics refers to the biochemical and physiological effects of a drug on the human body and the purpose of a drug likeability analysis is to assess how probable it is that the drug will be attractive to abusers. Randomized subjects received tablets of Norco (7.5 mg hydrocodone bitartrate/325 mg APAP), and an equivalent amount of KP201/APAP. This was a single-center, double-blind, active-and placebo-controlled, crossover trial. A total of 71 opioid-experienced nondependent volunteers enrolled in the trial and 62 of the 71 subjects completed it.</w:t>
      </w:r>
    </w:p>
    <w:p>
      <w:pPr>
        <w:spacing w:after="0" w:line="178"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results of the trial were that KP201/APAP released less hydrocodone as compared to Norco at the two highest doses administered (eight and twelve tablets). At the lowest doses administered, there was no statistical difference in hydrocodone exposure between KP201/APAP and Norco. In addition, there was a numerically lower incidence of adverse events related to hypoxia for KP201/APAP at both the eight and twelve tablet doses as compared to Norco. Drug liking, as measured by peak maximum effect on the Visual Analogue Scale, was similar for KP201/APAP and Norco at each equivalent dose level. The Visual Analogue Scale is a psychometric response scale used to measure the subjective effect of a dose level based on responses from the subject and is commonly used to evaluate drug likability.</w:t>
      </w:r>
    </w:p>
    <w:p>
      <w:pPr>
        <w:spacing w:after="0" w:line="193"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i w:val="1"/>
          <w:iCs w:val="1"/>
          <w:color w:val="auto"/>
        </w:rPr>
        <w:t>KP201.A02 Intranasal Human Abuse Liability Trial</w:t>
      </w:r>
      <w:r>
        <w:rPr>
          <w:rFonts w:ascii="Arial" w:cs="Arial" w:eastAsia="Arial" w:hAnsi="Arial"/>
          <w:sz w:val="17"/>
          <w:szCs w:val="17"/>
          <w:color w:val="auto"/>
        </w:rPr>
        <w:t>. This trial, which was conducted from September 2014 through July 2015, was intended to assess</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relative drug likability effects, exposure levels and safety of KP201/APAP compared to Norco after crushing and intranasal administration. Randomized subjects received an intranasal or oral dose of Norco (7.5 mg hydrocodone bitartrate/325 mg APAP) and an intranasal or oral dose of KP201/APAP (6.67 mg / 325 mg). This was a single-center, double-blind, double-dummy, placebo-controlled, single-dose, two-part, five-way crossover trial. A total of 46 opioid-experienced nondependent volunteers enrolled in the trial and 42 of the 46 subjects completed 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ind w:firstLine="380"/>
        <w:spacing w:after="0" w:line="290" w:lineRule="auto"/>
        <w:rPr>
          <w:sz w:val="20"/>
          <w:szCs w:val="20"/>
          <w:color w:val="auto"/>
        </w:rPr>
      </w:pPr>
      <w:r>
        <w:rPr>
          <w:rFonts w:ascii="Arial" w:cs="Arial" w:eastAsia="Arial" w:hAnsi="Arial"/>
          <w:sz w:val="16"/>
          <w:szCs w:val="16"/>
          <w:color w:val="auto"/>
        </w:rPr>
        <w:t>The results of the trial were that, overall, administration of intranasal crushed or oral intact KP201/APAP resulted in statistically similar results for drug liking relative to intranasal crushed or oral intact Norco. We believe this was potentially due to the effects of APAP. An important component of the APAP mechanism involves indirect activation of cannabinoid CB1 receptors, which likely contribute to the analgesia of APAP and some of its other behavioral effects, such as euphoria. While the role of APAP associated with potential drug liking effects has not yet been determined, it appears plausible that APAP may “mask” negative drug effects or reduce differences in pharmacodynamic parameters, such as drug liking, between opioid combination products that contain large volumes of APAP. However, intranasal crushed KP201/APAP demonstrated, as compared to intranasal crushed Norco, a lower peak hydrocodone exposure and a decrease in exposure to hydrocodone in the early time points typically associated with an increased safety risk. We do not believe any of the adverse events occurring in the trial were unusual or unexpected following the administration of opioid medication.</w:t>
      </w:r>
    </w:p>
    <w:p>
      <w:pPr>
        <w:spacing w:after="0" w:line="166"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i w:val="1"/>
          <w:iCs w:val="1"/>
          <w:color w:val="auto"/>
        </w:rPr>
        <w:t>KP201.A03 Intranasal Bioavailability Study</w:t>
      </w:r>
      <w:r>
        <w:rPr>
          <w:rFonts w:ascii="Arial" w:cs="Arial" w:eastAsia="Arial" w:hAnsi="Arial"/>
          <w:sz w:val="17"/>
          <w:szCs w:val="17"/>
          <w:color w:val="auto"/>
        </w:rPr>
        <w:t>. This study, which was conducted from May 2015 through July 2015, was intended to measure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hydrocodone released from KP201, when insufflated without APAP, as compared directly to hydrocodone bitartrate. Randomized subjects received an intranasal dose of hydrocodone bitartrate (15 mg) and an intranasal dose of KP201 (13.34 mg). This was a single-center, cross-over pharmacokinetic study. A total of 66 opioid-experienced nondependent volunteers enrolled in the study and 51 of the 66 subjects completed it.</w:t>
      </w:r>
    </w:p>
    <w:p>
      <w:pPr>
        <w:spacing w:after="0" w:line="171" w:lineRule="exact"/>
        <w:rPr>
          <w:sz w:val="20"/>
          <w:szCs w:val="20"/>
          <w:color w:val="auto"/>
        </w:rPr>
      </w:pPr>
    </w:p>
    <w:p>
      <w:pPr>
        <w:jc w:val="both"/>
        <w:ind w:right="20" w:firstLine="380"/>
        <w:spacing w:after="0" w:line="288" w:lineRule="auto"/>
        <w:rPr>
          <w:sz w:val="20"/>
          <w:szCs w:val="20"/>
          <w:color w:val="auto"/>
        </w:rPr>
      </w:pPr>
      <w:r>
        <w:rPr>
          <w:rFonts w:ascii="Arial" w:cs="Arial" w:eastAsia="Arial" w:hAnsi="Arial"/>
          <w:sz w:val="16"/>
          <w:szCs w:val="16"/>
          <w:color w:val="auto"/>
        </w:rPr>
        <w:t>The results of the study were that KP201 demonstrated a statistically significant lowering in peak hydrocodone exposure, a delay in the time to achieve peak exposure and a decrease in total exposure to hydrocodone, especially in the early time points typically associated with increased drug liking and abuse. We do not believe any of the adverse events occurring in the trial were unusual or unexpected following the administration of opioid medication.</w:t>
      </w:r>
    </w:p>
    <w:p>
      <w:pPr>
        <w:spacing w:after="0"/>
        <w:rPr>
          <w:sz w:val="20"/>
          <w:szCs w:val="20"/>
          <w:color w:val="auto"/>
        </w:rPr>
      </w:pPr>
      <w:r>
        <w:rPr>
          <w:rFonts w:ascii="Arial" w:cs="Arial" w:eastAsia="Arial" w:hAnsi="Arial"/>
          <w:sz w:val="18"/>
          <w:szCs w:val="18"/>
          <w:i w:val="1"/>
          <w:iCs w:val="1"/>
          <w:color w:val="auto"/>
        </w:rPr>
        <w:t>Tamper-Resistant Extraction Studies</w:t>
      </w:r>
    </w:p>
    <w:p>
      <w:pPr>
        <w:spacing w:after="0" w:line="21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In 2015, we completed three tamper-resistant extraction studies, each of which generated data that we included in our 505(b)(2) NDA submission. We believe the data from these three studies, together with the data from our two human abuse liability trials and one intranasal bioavailability study described above, may allow us to obtain the FDA’s Category 1, Category 2 and potentially Category 3 abuse-deterrent language in the KP201/APAP product label, if it is approved.</w:t>
      </w:r>
    </w:p>
    <w:p>
      <w:pPr>
        <w:spacing w:after="0" w:line="18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i w:val="1"/>
          <w:iCs w:val="1"/>
          <w:color w:val="auto"/>
        </w:rPr>
        <w:t>KP201.T01 Study</w:t>
      </w:r>
      <w:r>
        <w:rPr>
          <w:rFonts w:ascii="Arial" w:cs="Arial" w:eastAsia="Arial" w:hAnsi="Arial"/>
          <w:sz w:val="16"/>
          <w:szCs w:val="16"/>
          <w:color w:val="auto"/>
        </w:rPr>
        <w:t>. Our KP201.T01 study was designed to evaluate KP201/APAP for the possibility and potential for individuals to extract KP201 from</w:t>
      </w:r>
      <w:r>
        <w:rPr>
          <w:rFonts w:ascii="Arial" w:cs="Arial" w:eastAsia="Arial" w:hAnsi="Arial"/>
          <w:sz w:val="16"/>
          <w:szCs w:val="16"/>
          <w:i w:val="1"/>
          <w:iCs w:val="1"/>
          <w:color w:val="auto"/>
        </w:rPr>
        <w:t xml:space="preserve"> </w:t>
      </w:r>
      <w:r>
        <w:rPr>
          <w:rFonts w:ascii="Arial" w:cs="Arial" w:eastAsia="Arial" w:hAnsi="Arial"/>
          <w:sz w:val="16"/>
          <w:szCs w:val="16"/>
          <w:color w:val="auto"/>
        </w:rPr>
        <w:t>its tablet formulation and convert the extracted KP201 active pharmaceutical ingredient, or API, into active hydrocodone, following a protocol that we developed with input from the FDA. The study evaluated how the abuse-deterrent properties of KP201 could be defeated or compromised, as compared to hydrocodone bitartrate/APAP tablets. The results of the study were that efforts to extract and hydrolyze KP201/APAP were less efficient compared to hydrocodone bitartrate/APAP tablets. Under the more than 1,000 conditions tested, KP201/APAP released less hydrocodone compared to the hydrocodone released from the hydrocodone bitartrate/APAP tablets in every case, and in many cases KP201/APAP released only the inactive prodrug, KP201.</w:t>
      </w:r>
    </w:p>
    <w:p>
      <w:pPr>
        <w:spacing w:after="0" w:line="16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i w:val="1"/>
          <w:iCs w:val="1"/>
          <w:color w:val="auto"/>
        </w:rPr>
        <w:t>KP201.T02 Study</w:t>
      </w:r>
      <w:r>
        <w:rPr>
          <w:rFonts w:ascii="Arial" w:cs="Arial" w:eastAsia="Arial" w:hAnsi="Arial"/>
          <w:sz w:val="16"/>
          <w:szCs w:val="16"/>
          <w:color w:val="auto"/>
        </w:rPr>
        <w:t>. Our KP201.T02 study was designed to evaluate the properties of KP201 that could reduce the likelihood of IV abuse of KP201/APAP</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hydrocodone bitartrate/APAP, based on a protocol developed by us with input from the FDA. The study evaluated the amount of KP201, APAP and hydrocodone detected in an extract derived from KP201/APAP tablets that would be suitable for IV abuse. The results of the study were that the traditional means used to prepare a drug for injection were likely not suitable for KP201/APAP. In each condition employed, only inactive KP201 was extracted, if anything at all, while up to 100% of the hydrocodone from hydrocodone bitartrate/APAP tablets could be extracted for injection. Cold water extraction methods typically used by abusers to “enrich” or “purify” the hydrocodone from hydrocodone bitartrate/APAP also yielded only inactive KP201 with no release of hydrocodone from the prodrug. Hydrocodone was readily extracted from hydrocodone bitartrate/APAP tablets by this method.</w:t>
      </w:r>
    </w:p>
    <w:p>
      <w:pPr>
        <w:spacing w:after="0" w:line="16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i w:val="1"/>
          <w:iCs w:val="1"/>
          <w:color w:val="auto"/>
        </w:rPr>
        <w:t>KP201.T03 Study</w:t>
      </w:r>
      <w:r>
        <w:rPr>
          <w:rFonts w:ascii="Arial" w:cs="Arial" w:eastAsia="Arial" w:hAnsi="Arial"/>
          <w:sz w:val="18"/>
          <w:szCs w:val="18"/>
          <w:color w:val="auto"/>
        </w:rPr>
        <w:t>. Our KP201.T03 study was designed to evaluate the potential to abuse KP201/APAP by smoking. The results of the study were that</w:t>
      </w:r>
      <w:r>
        <w:rPr>
          <w:rFonts w:ascii="Arial" w:cs="Arial" w:eastAsia="Arial" w:hAnsi="Arial"/>
          <w:sz w:val="18"/>
          <w:szCs w:val="18"/>
          <w:i w:val="1"/>
          <w:iCs w:val="1"/>
          <w:color w:val="auto"/>
        </w:rPr>
        <w:t xml:space="preserve"> </w:t>
      </w:r>
      <w:r>
        <w:rPr>
          <w:rFonts w:ascii="Arial" w:cs="Arial" w:eastAsia="Arial" w:hAnsi="Arial"/>
          <w:sz w:val="18"/>
          <w:szCs w:val="18"/>
          <w:color w:val="auto"/>
        </w:rPr>
        <w:t>KP201/APAP could not be smoked in either tablet or KP201 form. The results also showed that freebasing KP201/APAP was not possible. By contrast, hydrocodone bitartrate/APAP can be prepared as a freebase and also smoked in the API 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KP201/IR (APAP-free)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Our second most advanced product candidate, KP201/IR (APAP-free), is an IR formulation of KP201 without any APAP. We are developing KP201/IR (APAP-free) for the short-term management of acute pain. KP201/IR (APAP-free) is designed to be an abuse-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deterrent opioid product that offers comparable efficacy to the existing standard-of-care, IR hydrocodone/APAP combination products, such as Vicodin, Norco and Lortab, but with the potential safety advantage of having no added APAP.</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Based on our current development timelines, we anticipate submitting a 505(b)(2) NDA for KP201/IR (APAP-free) in 2017. We expect that KP201/IR (APAP-free), like other abuse-deterrent opioids, would receive priority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Currently, there are no IR hydrocodone products approved in the United States that are formulated without APAP, with or without an abuse-deterrent label. We believe KP201/IR (APAP-free) will provide physicians with a highly differentiated abuse-deterrent hydrocodone product to help them with the short-term management of acute pain.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Product Features of KP201/IR (APAP-free)</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believe KP201/IR (APAP-free), if approved by the FDA, may have many valuable product features and may provide significant benefits to patients, physicians and society:</w:t>
      </w:r>
    </w:p>
    <w:p>
      <w:pPr>
        <w:spacing w:after="0" w:line="170" w:lineRule="exact"/>
        <w:rPr>
          <w:sz w:val="20"/>
          <w:szCs w:val="20"/>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Molecular-based abuse-deterrent technology</w:t>
      </w:r>
      <w:r>
        <w:rPr>
          <w:rFonts w:ascii="Arial" w:cs="Arial" w:eastAsia="Arial" w:hAnsi="Arial"/>
          <w:sz w:val="18"/>
          <w:szCs w:val="18"/>
          <w:color w:val="auto"/>
        </w:rPr>
        <w:t>. Similar to KP201/APAP, KP201/IR (APAP-free) uses our KP201 prodrug which incorporates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 platform technology to create its abuse-deterrent properties at the molecular level and thus may provide a higher barrier against attempted abuse than many existing formulation-based approaches.</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No added APAP</w:t>
      </w:r>
      <w:r>
        <w:rPr>
          <w:rFonts w:ascii="Arial" w:cs="Arial" w:eastAsia="Arial" w:hAnsi="Arial"/>
          <w:sz w:val="18"/>
          <w:szCs w:val="18"/>
          <w:color w:val="auto"/>
        </w:rPr>
        <w:t>. KP201/IR (APAP-free) contains no acetaminophen. According to the FDA, overdoses of APAP are the most common cause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drug-related liver injury. In 2011, the FDA limited the amount of APAP in prescription combination products and required warnings be added to all APAP prescription products.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KP201/IR (APAP-free) is protected by a U.S. composition-of-matter patent on KP201 that will expire,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utilizing all appropriate patent term adjustments but excluding possible patent term extensions, in 2031.</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Similar to KP201/APAP, the difference in chemical name, prescription strength and lack of APAP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will mean that there will be no generic equivalent product for KP201/IR (APAP-free) in most states.</w:t>
      </w:r>
    </w:p>
    <w:p>
      <w:pPr>
        <w:spacing w:after="0" w:line="170"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Convenient dosing</w:t>
      </w:r>
      <w:r>
        <w:rPr>
          <w:rFonts w:ascii="Arial" w:cs="Arial" w:eastAsia="Arial" w:hAnsi="Arial"/>
          <w:sz w:val="18"/>
          <w:szCs w:val="18"/>
          <w:color w:val="auto"/>
        </w:rPr>
        <w:t>. Based on data from our food-effect clinical trial of KP201/APAP, we believe that KP201/IR (APAP-free) will also be able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administered under both fed and fasting conditions and, accordingly, we believe that KP201/IR (APAP-free) will be as convenient as existing IR hydrocodone/APAP combination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KP511/ER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KP511/ER is our ER formulation of KP511, our prodrug of hydromorphone, which we are developing for the management of pain severe enough to require daily, around-the-clock, long-term opioid treatment and for which alternative treatment options are inadequate. KP511/ER is designed to be an abuse-deterrent opioid product that offers equivalent efficacy to approved ER hydromorphone products. KP511 combines hydromorphone with one or more ligands and can be formulated in both IR and ER dosage forms. KP511 is designed not to release its hydromorphone component until it is metabolized in the GI tract following oral administration. We believe KP511 is highly tamper-resistant and is stable under conditions that can potentially defeat many formulation-based abuse-deterrent technologies.</w:t>
      </w:r>
    </w:p>
    <w:p>
      <w:pPr>
        <w:spacing w:after="0" w:line="193"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We plan to seek approval of KP511/ER under the 505(b)(2) NDA pathway. Based on our preclinical data, we believe that KP511 may release hydromorphone after oral administration in humans in a manner that is comparable to the appropriate approved hydromorphone drug. We filed an IND for KP511 in March 2016. We anticipate reporting human proof-of-concept data for KP511/ER in 2016 and submitting a 505(b)(2) NDA for KP511/ER in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Oral hydromorphone products are typically used for the management of pain severe enough to require daily, around-the-clock, long-term opioid treatment and for which alternative treatment options are inadequate. IMS estimates that in 2013 there were 3.5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million dispensed prescriptions of hydromorphone in the United States. Currently, there are no hydromorphone products approved in the United States with an abuse-deterrent label.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Product Features of KP511/ER</w:t>
      </w:r>
    </w:p>
    <w:p>
      <w:pPr>
        <w:spacing w:after="0" w:line="225"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Based on our preclinical data, we believe KP511/ER, if approved by the FDA, may have valuable product features and provide significant benefits to patients, physicians and society when compared to FDA-approved hydromorphone products:</w:t>
      </w:r>
    </w:p>
    <w:p>
      <w:pPr>
        <w:spacing w:after="0" w:line="170" w:lineRule="exact"/>
        <w:rPr>
          <w:sz w:val="20"/>
          <w:szCs w:val="20"/>
          <w:color w:val="auto"/>
        </w:rPr>
      </w:pPr>
    </w:p>
    <w:p>
      <w:pPr>
        <w:jc w:val="both"/>
        <w:ind w:left="760" w:hanging="374"/>
        <w:spacing w:after="0" w:line="25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Molecular-based abuse-deterrent technology</w:t>
      </w:r>
      <w:r>
        <w:rPr>
          <w:rFonts w:ascii="Arial" w:cs="Arial" w:eastAsia="Arial" w:hAnsi="Arial"/>
          <w:sz w:val="18"/>
          <w:szCs w:val="18"/>
          <w:color w:val="auto"/>
        </w:rPr>
        <w:t>. In order to evaluate the abuse-deterrent qualities of KP511, we conducted preclinical studies in rats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compare the exposure to hydromorphone following intranasal and IV administration of KP511 as compared to intranasal and IV administration of hydromorphone hydrochloride. We observed significantly lower concentrations of hydromorphone following intranasal and IV administration of KP511 compared to intranasal and IV administered hydromorphone hydrochloride. KP511/ER incorporates our LAT platform technology to create its abuse-deterrent properties at the molecular level and, based on our preclinical studies, we believe it may have abuse-deterrent characteristics similar to KP201/APAP.</w:t>
      </w:r>
    </w:p>
    <w:p>
      <w:pPr>
        <w:spacing w:after="0" w:line="193" w:lineRule="exact"/>
        <w:rPr>
          <w:rFonts w:ascii="Arial" w:cs="Arial" w:eastAsia="Arial" w:hAnsi="Arial"/>
          <w:sz w:val="18"/>
          <w:szCs w:val="18"/>
          <w:color w:val="auto"/>
        </w:rPr>
      </w:pPr>
    </w:p>
    <w:p>
      <w:pPr>
        <w:jc w:val="both"/>
        <w:ind w:left="760" w:hanging="374"/>
        <w:spacing w:after="0" w:line="25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Oral overdose protection</w:t>
      </w:r>
      <w:r>
        <w:rPr>
          <w:rFonts w:ascii="Arial" w:cs="Arial" w:eastAsia="Arial" w:hAnsi="Arial"/>
          <w:sz w:val="18"/>
          <w:szCs w:val="18"/>
          <w:color w:val="auto"/>
        </w:rPr>
        <w:t>. In our preclinical studies, we observed that hydromorphone blood levels in rats increased more slowly and to a lesser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extent after oral administration of increasing excessively large doses of KP511, as compared to increasing equimolar oral doses of hydromorphone hydrochloride. We also observed that the study animals began dying from the increasing excessively large oral doses of hydromorphone hydrochloride, but never died from an equimolar oral dose of KP511. Based on the molecular structure of KP511, we believe it is possible that the metabolic processes of releasing hydromorphone from the prodrug become saturated at excessively large oral doses. If confirmed by further studies, this could potentially mean that KP511 and KP511/ER may reduce the risk of oral overdosing by a mechanism that is inherent in the prodrug molecule itself.</w:t>
      </w:r>
    </w:p>
    <w:p>
      <w:pPr>
        <w:spacing w:after="0" w:line="189" w:lineRule="exact"/>
        <w:rPr>
          <w:rFonts w:ascii="Arial" w:cs="Arial" w:eastAsia="Arial" w:hAnsi="Arial"/>
          <w:sz w:val="18"/>
          <w:szCs w:val="18"/>
          <w:color w:val="auto"/>
        </w:rPr>
      </w:pPr>
    </w:p>
    <w:p>
      <w:pPr>
        <w:jc w:val="both"/>
        <w:ind w:left="760" w:hanging="374"/>
        <w:spacing w:after="0" w:line="25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KP511/ER is protected by a U.S. composition-of-matter patent on KP511 that will expire, after utilizing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appropriate patent term adjustments but excluding possible patent term extensions, in 2032. Our patent strategy is focused primarily on key geographic market opportunities, and, as of December 31, 2015, a composition-of-matter patent on KP511 was granted in Australia, Japan, Philippines, New Zealand, South Africa, and Singapore, and applications covering KP511 were pending in the United States and an additional 20 foreign jurisdictions.</w:t>
      </w:r>
    </w:p>
    <w:p>
      <w:pPr>
        <w:spacing w:after="0" w:line="188"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KP511 is a prodrug that we believe will be given a new chemical name, which would mean that there would be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generic equivalent product for KP511/ER in most states, making substitution difficult at the pharmacy.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KP415 is our prodrug of methylphenidate, which we are developing for the treatment of ADHD. The ADHD market is largely served by the stimulant products methylphenidate and amphetamine. KP415 is designed to be a controlled release, or CR, abuse-deterrent methylphenidate product.</w:t>
      </w:r>
    </w:p>
    <w:p>
      <w:pPr>
        <w:spacing w:after="0" w:line="147"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plan to seek approval of KP415 under the 505(b)(2) NDA pathway. We anticipate reporting human proof-of-concept data for KP415 in 2016 and submitting a 505(b)(2) NDA for KP415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believe the ADHD market would be receptive to new branded drugs that have improved properties when compared to current treatments. We believe a new product in the form of a prodrug that has abuse-deterrent features and a more consistent controlled release drug delivery mechanism may provide a preferred treatment option in this large market segment. While methylphenidate is available as a generic product, the branded formulations, Concerta, Focalin and Ritalin, accounted for sales of $1.2 billion in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Product Features of KP415</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Based on our preclinical data, we believe KP415, if approved by the FDA, may have valuable product features and provide significant benefits to patients, physicians, and society when compared to other FDA-approved and widely prescribed methylphenidate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left="760" w:hanging="374"/>
        <w:spacing w:after="0" w:line="255"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Molecular-based abuse-deterrent technology</w:t>
      </w:r>
      <w:r>
        <w:rPr>
          <w:rFonts w:ascii="Arial" w:cs="Arial" w:eastAsia="Arial" w:hAnsi="Arial"/>
          <w:sz w:val="18"/>
          <w:szCs w:val="18"/>
          <w:color w:val="auto"/>
        </w:rPr>
        <w:t>. In order to evaluate the abuse-deterrent qualities of KP415, we conducted preclinical studies in rats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compare the exposure to methylphenidate following intranasal and IV administration of KP415 as compared to intranasal and IV administration of methylphenidate hydrochloride. We observed significantly lower concentrations of methylphenidate following intranasal and IV administration of KP415 compared to intranasal and IV administered methylphenidate hydrochloride. KP415 incorporates our LAT platform technology to create its abuse-deterrent properties at the molecular level and, based on our preclinical studies, we believe it will have abuse-deterrent characteristics similar to KP201/APAP.</w:t>
      </w:r>
    </w:p>
    <w:p>
      <w:pPr>
        <w:spacing w:after="0" w:line="193" w:lineRule="exact"/>
        <w:rPr>
          <w:rFonts w:ascii="Arial" w:cs="Arial" w:eastAsia="Arial" w:hAnsi="Arial"/>
          <w:sz w:val="18"/>
          <w:szCs w:val="18"/>
          <w:color w:val="auto"/>
        </w:rPr>
      </w:pPr>
    </w:p>
    <w:p>
      <w:pPr>
        <w:jc w:val="both"/>
        <w:ind w:left="760" w:hanging="374"/>
        <w:spacing w:after="0" w:line="31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Once-daily dosing</w:t>
      </w:r>
      <w:r>
        <w:rPr>
          <w:rFonts w:ascii="Arial" w:cs="Arial" w:eastAsia="Arial" w:hAnsi="Arial"/>
          <w:sz w:val="16"/>
          <w:szCs w:val="16"/>
          <w:color w:val="auto"/>
        </w:rPr>
        <w:t>. Pharmacokinetic data from our preclinical studies suggest that the time to maximum plasma concentration of methylphenidate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oral administration of KP415 is approximately three times longer than that after oral administration of currently marketed IR methylphenidate. We believe this inherent CR attribute of KP415’s molecular structure may allow for convenient, once-daily dosing.</w:t>
      </w:r>
    </w:p>
    <w:p>
      <w:pPr>
        <w:spacing w:after="0" w:line="146" w:lineRule="exact"/>
        <w:rPr>
          <w:rFonts w:ascii="Arial" w:cs="Arial" w:eastAsia="Arial" w:hAnsi="Arial"/>
          <w:sz w:val="16"/>
          <w:szCs w:val="16"/>
          <w:color w:val="auto"/>
        </w:rPr>
      </w:pPr>
    </w:p>
    <w:p>
      <w:pPr>
        <w:jc w:val="both"/>
        <w:ind w:left="760" w:hanging="374"/>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Amenable to patient-friendly formulations</w:t>
      </w:r>
      <w:r>
        <w:rPr>
          <w:rFonts w:ascii="Arial" w:cs="Arial" w:eastAsia="Arial" w:hAnsi="Arial"/>
          <w:sz w:val="18"/>
          <w:szCs w:val="18"/>
          <w:color w:val="auto"/>
        </w:rPr>
        <w:t>. Although we believe our prodrug, KP415, possesses abuse-deterrent properties at the molecular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to KP201, our preclinical data shows that KP415 is highly water soluble and we believe it could ultimately be used in a variety of patient-friendly dosage forms such as oral thin film, orally dissolving tablets, chewable tablets and liquids as a means of increasing patient convenience and compliance.</w:t>
      </w:r>
    </w:p>
    <w:p>
      <w:pPr>
        <w:spacing w:after="0" w:line="186" w:lineRule="exact"/>
        <w:rPr>
          <w:rFonts w:ascii="Arial" w:cs="Arial" w:eastAsia="Arial" w:hAnsi="Arial"/>
          <w:sz w:val="18"/>
          <w:szCs w:val="18"/>
          <w:color w:val="auto"/>
        </w:rPr>
      </w:pPr>
    </w:p>
    <w:p>
      <w:pPr>
        <w:jc w:val="both"/>
        <w:ind w:left="760" w:hanging="374"/>
        <w:spacing w:after="0" w:line="255"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KP415 is protected by a U.S. composition-of-matter patent that will expire, after utilizing all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 term adjustments but excluding possible term extensions, in 2032. Our patent strategy is focused primarily on key geographic market opportunities, and, as of December 31, 2015, a composition-of-matter patent on KP415 was granted in New Zealand and South Africa, and additional KP415 patent filings were pending in the United States and an additional 23 foreign jurisdictions. In addition, subject to further discussions with the FDA, KP415 may be eligible for new chemical entity, or NCE, exclusivity status, which could allow for five years of U.S. market exclusivity following the FDA’s approval of an NDA for KP415.</w:t>
      </w:r>
    </w:p>
    <w:p>
      <w:pPr>
        <w:spacing w:after="0" w:line="19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KP415 is a prodrug that we believe will be given a new chemical name, which would mean that there would be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generic equivalent product for KP415 in most states, making substitution difficult at the pharmacy.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are using our LAT platform technology to develop other product candidates in pain. One example is KP606/IR, an IR formulation of KP606, our prodrug of oxycodone, which we are developing for the management of moderate to severe pain where the use of an opioid analgesic is appropriate. KP606/IR is designed to be an IR abuse-deterrent opioid product that offers equivalent efficacy to OxyContin. KP606 combines oxycodone with one or more ligands.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anticipate reporting human proof-of-concept data for KP606/IR in 2017 and submitting a 505(b)(2) NDA for KP606/IR in 2019.</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Another example is KP746, our prodrug of oxymorphone, which is currently in preclinical development. We are developing KP746 for the management of moderate to severe pain where the use of an opioid analgesic is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Our intellectual property strategy includes seeking composition-of-matter patents, among other patents, for our prodrugs and product candidates and conjugates of our prodrugs while also protecting as trade secrets our LAT platform technology, the process by which we identify, screen, evaluate and select ligands to be conjugated with parent drugs to create our prodrugs. Our current prodrugs all consist of an approved parent drug and one or more ligands that we have selected using our LAT platform technology. The parent drug and ligand or ligands together may potentially constitute an NME and thus may be eligible for composition-of-matter patent protection, among other patent protections, in the United States and abroad.</w:t>
      </w:r>
    </w:p>
    <w:p>
      <w:pPr>
        <w:spacing w:after="0" w:line="173"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To date, we have internally developed all of our intellectual property, including our LAT platform technology, and have not in-licensed or otherwise acquired our technology, patents, show-how or know-how from an outside source. As of December 31, 2015, we owned 12 issued patents within the United States, and an additional 35 foreign patents covering our prodrugs or product candidates. The terms of the 12 issued U.S. patents extend to various dates between 2030 and 2032. The term of our overall domestic and foreign patent portfolio related to our prodrugs and product candidates, including patent term adjustments but excluding possible patent term extensions, extend to various dates between 2030 and 2032, if pending patent applications in each of our patent families issue as patents. As of December 31, 2015, we owned eight pending patent applications under active prosecution in the United States, and an additional 69 pending foreign patent applications covering our prodrugs and product candidates. Our issued and granted patents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provide protection in jurisdictions that include the United States, Australia, Canada, China, Colombia, Israel, Japan, Kazakhstan, Malaysia, Mexico, New Zealand, Philippines, Russia, Ukraine, Singapore, Indonesia and South Africa.</w:t>
      </w:r>
    </w:p>
    <w:p>
      <w:pPr>
        <w:spacing w:after="0" w:line="170"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In 2013, the United States Patent and Trademark Office, or the USPTO, issued a composition-of-matter patent covering KP201, which will expire, after utilizing all appropriate patent term adjustments but excluding possible patent term extensions, in 2031. Further, there are granted or recently allowed compositions-of-matter patents covering KP201 in Australia, Canada, China, Colombia, Israel, Japan, Kazakhstan, Malaysia, Mexico, New Zealand, Russia, Ukraine, Indonesia and South Africa. In addition, one U.S. patent application covering KP201-related compositions-of-matter were pending as of December 31, 2015, and patent applications covering KP201 were pending as of December 31, 2015, in the United Arab Emirates, Brazil, Belarus, Chile, Costa Rica, Cuba, Egypt, Europe, Hong Kong, India, South Korea, Oman, Philippines, Singapore, Thailand and Vietnam.</w:t>
      </w:r>
    </w:p>
    <w:p>
      <w:pPr>
        <w:spacing w:after="0" w:line="178"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In August 2014, the USPTO issued a composition-of-matter patent covering KP511, which will expire, after utilizing all appropriate patent term adjustments but excluding possible patent term extensions, in 2032. In July 2015, the USPTO issued a composition-of-matter patent covering KP415, which will expire, after utilizing all appropriate patent term adjustments but excluding patent term extensions, in 2032. We have also filed composition-of-matter patent applications for KP415 and KP511 in the United States and in Argentina, Australia, Brazil, Canada, Chile, China, Egypt, Hong Kong, Europe, India, Israel, Indonesia, Japan, South Korea, Kazakhstan, Mexico, Malaysia, New Zealand, Philippines, Russia, Singapore, Thailand, Ukraine, Vietnam and South Africa. We anticipate filing additional patent applications for our prodrug product candidates.</w:t>
      </w:r>
    </w:p>
    <w:p>
      <w:pPr>
        <w:spacing w:after="0" w:line="17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We also depend upon the skills, knowledge and experience of our scientific and technical personnel, as well as that of our advisors, consultants and other contractors. To help protect our LAT platform technology as well as any proprietary know-how and show-how that is not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and inventions important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225"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We have begun initial pre-approval commercialization activities for KP201/APAP although currently we do not have any internal sales or distribution infrastructure. These initial pre-approval commercialization activities include developing the marketing strategy, designing the product distribution infrastructure, coordinating managed care access and identifying the promotional sales force size and structure. These activities are aligned to support a planned promotional launch of KP201/APAP as early as the first quarter of 2017, subject to FDA approval and DEA scheduling.</w:t>
      </w:r>
    </w:p>
    <w:p>
      <w:pPr>
        <w:spacing w:after="0" w:line="17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Because many of our product candidates, including KP201/APAP, may have large potential market opportunities, and may require significant marketing resources, we may conclude that the most appropriate approach to their commercialization, if they receive regulatory approval, will involve forming a commercial collaboration or strategic relationship, or consummating some type of strategic transaction, with a larger pharmaceutical marketing organization. Alternatively, we may conclude that building our own focused sales and marketing organization will be most appropriate, perhaps as part of a co-promotional arrangement, or some other form of collaboration. As we get closer to potential approval of our product candidates, we will work to identify and implement the commercialization strategies that we conclude are the most desirable with regard to the specific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Historically, we have devoted a significant amount of resources to develop our product candidates. For the years ended December 31, 2015, 2014 and 2013, we recorded $13.9 million, $11.9 million and $3.4 million, respectively, in research and development expenses. We plan to increase our research and development expense for the foreseeable future as we continue our efforts to commercialize, if approved, and further advance the development of our product candidates, subject to the availability of additional funding.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We believe the key competitive factors that will affect the development and commercial success of our product candidates include their potential degree of abuse deterrence, onset of action, bioavailability, therapeutic efficacy, convenience of dosing, safety, tolerability and cost. Many of our potential competitors have substantially greater financial, technical and human resources than we do, as well as more experience in the development of product candidates, obtaining FDA and other regulatory approvals of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and the commercialization of those products. Consequently, our competitors may develop abuse-deterrent or other products for the short-term management of acute pain, or for other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54"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If approved, our abuse-deterrent opioid product candidates will face competition from commercially available branded and generic opioid drugs, including hydrocodone, hydromorphone, oxycodone, fentanyl, morphine, oxymorphone and methadone, as well as other marketed non-opioid products for the treatment of pain, and potential competition from opioid and non-opioid products for the treatment of pain that are currently in clinical development. In addition, our product candidates will face competition from approved and abuse-deterrent labeled opioid drugs and potential competition from abuse-deterrent opioid drugs that are currently in clinical development. We may compete with multiple companies that have developed and are developing abuse-deterrent technologies that may be applied to a variety of drugs, including those being developed for the short-term management of acute pain as well as for other indications that we are pursuing or may pursue in the future. If approved, our abuse-deterrent opioid product candidates may face competition from opioid products or abuse-deterrent technologies from companies including Allergan plc, Acura Pharmaceuticals, Inc., Cara Therapeutics, Inc., Collegium Pharmaceutical, Inc., Depomed, Inc., DURECT Corporation, Egalet Corporation, Elite Pharmaceuticals, Inc., Endo International plc, Grünenthal Group, Inspirion Delivery Technologies, LLC, IntelliPharmaceutics International Inc., Mallinckrodt plc, Mylan Inc., Nektar Therapeutics, Pain Therapeutics, Inc., Pfizer Inc., Purdue Pharma L.P., Signature Pharmaceuticals, Teva Pharmaceutical Industries Ltd., Trevena Inc. and UCB S.A.</w:t>
      </w:r>
    </w:p>
    <w:p>
      <w:pPr>
        <w:spacing w:after="0" w:line="173"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If approved, KP201/APAP will compete against currently marketed, branded and generic IR hydrocodone/APAP combination products indicated for the short-term management of acute pain. Some of these currently marketed products include AbbVie’s Vicodin, Allergan’s Norco, Shionogi’s Xodol and UCB Pharma’s Lortab, in addition to multiple other branded and generic hydrocodone/APAP combination products marketed by companies including Allergan plc, Endo International plc and Mallinckrodt plc. In addition, if approved, KP201/APAP will face potential competition from any abuse-deterrent IR or other hydrocodone/APAP combination products for the short-term management of acute pain that are currently in or may enter into clinical development.</w:t>
      </w:r>
    </w:p>
    <w:p>
      <w:pPr>
        <w:spacing w:after="0" w:line="15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If approved, KP415 will compete against currently marketed, branded and generic methylphenidate products for the treatment of ADHD. Some of these currently marketed products include Johnson &amp; Johnson’s Concerta, Novartis AG’s Ritalin, Ritalin LA, Focalin and Focalin XR, UCB S.A.’s Metadate CD, and Noven Pharmaceuticals’ Daytrana, in addition to multiple other branded and generic methylphenidate products marketed by companies including Allergan plc and Mallinckrodt plc. In addition, if approved, KP415 will face potential competition from any abuse-deterrent or other methylphenidate products for the treatment of ADHD that are currently in or which may enter into clinical development.</w:t>
      </w:r>
    </w:p>
    <w:p>
      <w:pPr>
        <w:spacing w:after="0" w:line="188"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If approved, KP511/ER will compete against currently marketed, branded and generic, IR and ER hydromorphone products approved for use in opioid-tolerant patients for the management of pain severe enough to require daily, around-the-clock, long-term opioid treatment and for which alternative treatment options are inadequate. Some of these currently marketed products include Purdue Pharma L.P.’s Dilaudid and Mallinckrodt plc’s Exalgo, in addition to multiple other branded and generic IR and ER hydromorphone products marketed by companies including Allergan plc, Mallinckrodt plc, Rhodes Pharmaceuticals L.P. and Roxanne Laboratories, Inc. In addition, if approved, KP511/ER will face potential competition from any abuse-deterrent or other IR and ER hydromorphone products for the treatment of pain that are currently in or which may enter into clinical development.</w:t>
      </w:r>
    </w:p>
    <w:p>
      <w:pPr>
        <w:spacing w:after="0" w:line="16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If approved, KP606/IR will compete against currently marketed, branded and generic, abuse-deterrent and other IR and ER oxycodone products approved for the management of moderate to severe pain where the use of an opioid analgesic is appropriate or for use in opioid-tolerant patients for the treatment of acute pain and pain severe enough to require daily, around-the-clock, long-term opioid treatment and for which alternative treatment options are inadequate. Some of these currently marketed products include Purdue Pharma L.P.’s OxyContin and Mallinckrodt plc’s Roxicodone, in addition to multiple other branded and generic, abuse-deterrent and other, IR and ER oxycodone products marketed by companies including Allergan plc, Endo International plc, and Mallinckrodt plc. In addition, if approved, KP606/IR will face potential competition from any abuse-deterrent and other, IR and ER oxycodone products that are currently in or which may enter into clinical development.</w:t>
      </w:r>
    </w:p>
    <w:p>
      <w:pPr>
        <w:spacing w:after="0" w:line="178"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If approved, KP746 will compete against currently marketed, branded and generic oxymorphone products for the management of moderate to severe pain where the use of an opioid analgesic is appropriate. Some of these currently marketed products include Endo International plc’s Opana ER, in addition to other generic oxymorphone products marketed by companies including CorePharma, LLC, Impax Laboratories Inc., Mallinckrodt Inc., Roxane Laboratories, Inc. and Teva Pharmaceuticals USA, Inc. In addition, if approved, KP746 will face potential competition from any abuse-deterrent and other IR and ER oxymorphone products that are currently in or which may enter into clinical development.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Our manufacturing strategy is to rely on contract manufacturers to produce our prodrug product candidates for clinical trials and, if approved, drug product for commercial sale. We currently have no manufacturing facilities and limited personnel with manufacturing experience. We rely on a third-party manufacturer to produce KP201/APAP for our clinical trials and we expect to continue to rely on third-party manufacturers to manufacture commercial quantities of KP201/APAP if and when we receive approval for marketing from the FDA. We also rely on Johnson Matthey Inc., or JMI, a third-party manufacturer, to produce the bulk quantities of KP201 required for the manufacture of the KP201/APAP used in our clinical trials under a supply agreement. We plan to continue to rely on JMI to manufacture commercial quantities of KP201 used in production of KP201/APAP for sale in the United States if and when we receive approval for marketing by the FDA. We expect to contract with third-party manufacturers for the manufacture of KP201 and KP201/APAP outside the United States if and when we receive approval for marketing by regulatory authorities outside the United States.</w:t>
      </w:r>
    </w:p>
    <w:p>
      <w:pPr>
        <w:spacing w:after="0" w:line="179"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Our current and any future third-party manufacturers, their facilities and all lots of drug substance and drug products used in our clinical trials are required to be in compliance with current good manufacturing practices, or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6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 with Johnson Matthey</w:t>
      </w:r>
    </w:p>
    <w:p>
      <w:pPr>
        <w:spacing w:after="0" w:line="229"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Under our supply agreement with JMI, or the Supply Agreement, JMI has agreed to supply us with all of the KP201 necessary for clinical trials and commercial sale for a price equal to JMI’s manufacturing cost and to provide process development services for KP201. In exchange, we issued shares of our common stock to JMI, provided that the commercial supply arrangement for KP201 would be exclusive to them in the United States. In addition, for further process optimization and manufacture of NDA registration batches, we agreed to pay a minimum royalty on the net sales on the commercial sale of KP201/APAP, if approved by the FDA. The percentage royalty rate ranges from the high teens at low volumes to the mid-single digits at higher volumes. Under the agreement, JMI has completed manufacture of our registration batches of KP201/APAP and stability testing for those batches is in process.</w:t>
      </w:r>
    </w:p>
    <w:p>
      <w:pPr>
        <w:spacing w:after="0" w:line="165"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Under the Supply Agreement, we retain sole ownership of KP201 and are required to use commercially reasonable efforts to develop and to pursue FDA marketing approval of KP201/APAP. We are responsible for product development, including formulation, preclinical studies and clinical trials, and for regulatory approval, quality assurance and commercialization. If KP201 is subject to a DEA scheduling quota, then each quarter, both we and JMI are responsible for using commercially reasonable efforts to obtain a quota from the DEA for the production of the KP201 API and for KP201.</w:t>
      </w:r>
    </w:p>
    <w:p>
      <w:pPr>
        <w:spacing w:after="0" w:line="171"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We are responsible for all costs of any KP201 manufactured during a specified validation process for KP201. After completion of the validation process, but prior to the commercial launch of KP201, JMI will manufacture batches of KP201 at a price to be negotiated. Failure to agree upon this pricing would result in JMI supplying these batches to us free of charge and we would pay JMI an additional royalty payment on such batches. The percentage royalty rate ranges from the low teens at low volumes to the low single digits at higher volumes and is additive to any minimum royalty we may owe JMI on such batch. After the commercial launch of KP201/APAP, JMI will manufacture and supply KP201 at a price equal to JMI’s fully allocated manufacturing cost.</w:t>
      </w:r>
    </w:p>
    <w:p>
      <w:pPr>
        <w:spacing w:after="0" w:line="15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must purchase all of our U.S. KP201 needs from JMI and JMI cannot supply KP201 to other companies. After the commercial launch of KP201, JMI is required to identify a secondary manufacturing site and qualify and validate that site for the production of KP201.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jc w:val="both"/>
        <w:ind w:firstLine="380"/>
        <w:spacing w:after="0" w:line="264" w:lineRule="auto"/>
        <w:rPr>
          <w:sz w:val="20"/>
          <w:szCs w:val="20"/>
          <w:color w:val="auto"/>
        </w:rPr>
      </w:pPr>
      <w:r>
        <w:rPr>
          <w:rFonts w:ascii="Arial" w:cs="Arial" w:eastAsia="Arial" w:hAnsi="Arial"/>
          <w:sz w:val="18"/>
          <w:szCs w:val="18"/>
          <w:color w:val="auto"/>
        </w:rPr>
        <w:t>The term of the Supply Agreement extends as long as we hold a valid and enforceable patent for KP201 or until the tenth anniversary of KP201’s commercial launch, whichever date is later. Upon the expiration of such term, the agreement will automatically renew for a period of two years unless either party provides 12 months’ prior notice of its intent not to renew.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 with Shire LLC</w:t>
      </w:r>
    </w:p>
    <w:p>
      <w:pPr>
        <w:spacing w:after="0" w:line="22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March 2012, as a result of a litigation settlement, we and our chief executive officer, Travis C. Mickle, Ph. D., entered into an asset purchase agreement with Shire LLC, or Shire, pursuant to which we sold assets and intellectual property to Shire for proceeds of $5.1 million. As partial consideration for this sale, we and Dr. Mickle agreed not to compete with Shire in the development, commercialization, production or distribution of amphetamine amino acid conjugate products until March 21, 2017. Pursuant to this agreement, we also granted Shire a right of first refusal to acquire, license or commercialize KP415.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managed care organizations and private insurers.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72"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Coverage, reimbursements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6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Within the Medicare program, as self-administered drugs, KP201/APAP, KP201/IR (APAP-free), KP415, KP511/ER, KP606/IR and KP746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and Medicaid Services, or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the Patient Protection and Affordable Care Act as amended by the Health Care Education and Reconciliation Act, or the ACA, will reduce this patient coverage gap, known as the “donut hole”, by transitioning patient responsibility in that coverage range from 100% in 2010 to only 25% in 2020. To help achieve this reduction, pharmaceutical manufacturers are required to provide quarterly discounts of 50% off the negotiated price of branded drugs dispensed to Medicare Part D patients in the donut hole.</w:t>
      </w:r>
    </w:p>
    <w:p>
      <w:pPr>
        <w:spacing w:after="0" w:line="180"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or the OBRA, and the Veterans Health Care Act of 1992, or the VHCA, each as amended. Among other things, the OBRA requires drug manufacturers with certain drugs covered by Medicaid to pay rebates on prescription drugs to state Medicaid programs. States may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78"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Third-party payors,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right="20" w:firstLine="380"/>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25"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clinical trials may begin;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GCPs;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approval of an NDA to permit commercial marketing for particular indications for use.</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Prior to the commencement of marketing of controlled substances, the DEA must also determine the controlled substance schedule, taking into account the recommendation of the FDA.</w:t>
      </w:r>
    </w:p>
    <w:p>
      <w:pPr>
        <w:spacing w:after="0" w:line="170"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6"/>
          <w:szCs w:val="16"/>
          <w:color w:val="auto"/>
        </w:rPr>
        <w:t>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225" w:lineRule="exact"/>
        <w:rPr>
          <w:sz w:val="20"/>
          <w:szCs w:val="20"/>
          <w:color w:val="auto"/>
        </w:rPr>
      </w:pPr>
    </w:p>
    <w:p>
      <w:pPr>
        <w:jc w:val="both"/>
        <w:ind w:left="760" w:right="20" w:hanging="374"/>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to test the product candidate for safety, dosage tolerance, structure-activity relationships, mechanism of</w:t>
      </w:r>
      <w:r>
        <w:rPr>
          <w:rFonts w:ascii="Arial" w:cs="Arial" w:eastAsia="Arial" w:hAnsi="Arial"/>
          <w:sz w:val="18"/>
          <w:szCs w:val="18"/>
          <w:i w:val="1"/>
          <w:iCs w:val="1"/>
          <w:color w:val="auto"/>
        </w:rPr>
        <w:t xml:space="preserve"> </w:t>
      </w:r>
      <w:r>
        <w:rPr>
          <w:rFonts w:ascii="Arial" w:cs="Arial" w:eastAsia="Arial" w:hAnsi="Arial"/>
          <w:sz w:val="18"/>
          <w:szCs w:val="18"/>
          <w:color w:val="auto"/>
        </w:rPr>
        <w:t>action, absorption, metabolism, distribution and excretion in healthy volunteers or subjects with the target disease or condition. If possible, Phase 1 trials may also be used to gain an initial indication of product effectiveness.</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with groups of subjects with a specified disease or condition to provide enough data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efficacy, optimal dosages and dosing schedule and expanded evidence of safety. Multiple Phase 2 clinical trials may be conducted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760" w:hanging="374"/>
        <w:spacing w:after="0" w:line="25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—These clinical trials are undertaken in larger subject populations to provide statistically significant evidence of clinical efficacy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test for safety in an expanded subject population at multiple clinical trial sites.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88"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above-described studies and preclinical studies may not be required or may be abbreviated. Bridging studies may be needed, however, to demonstrate the relevance of the studies that were previously conducted by other sponsors to the drug that is the subject of the NDA.</w:t>
      </w:r>
    </w:p>
    <w:p>
      <w:pPr>
        <w:spacing w:after="0" w:line="17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8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89"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Federal Food, Drug and Cosmetic Act, or the FFDCA. Progress reports detailing the results of the clinical trials must be submitted at least annually to the FDA and the IRB and more frequently if serious adverse events occur.</w:t>
      </w:r>
    </w:p>
    <w:p>
      <w:pPr>
        <w:spacing w:after="0" w:line="173"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Approval Process</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Section 505(b)(2) of the FFDCA,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effectiveness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16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Our current and anticipated product candidates are or will be based on already approved APIs in combination with a ligand. Accordingly, we have and expect to be able to continue to rely on information from studies previously conducted by the companies that obtained approval for drugs containing such APIs.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22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6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8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79"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If the competitor has provided a Paragraph IV certification to the FDA, the competitor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8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have made a Paragraph IV certification in our 505(b)(2) NDA for KP201/APAP based on our reliance in part on the FDA’s prior findings of safety and effectiveness of Vicoprofen, a product that remains under patent until June 2017. FDA approval of our 505(b)(2) NDA may be delayed until June 10, 2017 or later if the patent or application holder files a patent infringement claim against us. See “Risk Factors—Risks Related to the Development of Our Product Candidates—Our NDA for KP201/APAP includes a Paragraph IV certification and, therefore, we have provided notice of this certification to the holders of certain patents and NDAs upon the FDA’s acceptance of our NDA for review. This notice may result in a delay in the approval of our NDA by the FDA and potential patent infringement lawsuit by the patent or NDA holder” for additional information regarding the risk associated with the 505(b)(2) NDA pathway and associated patent infringement lawsuits that may delay FDA approval of 505(b)(2) NDAs.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w:t>
      </w:r>
    </w:p>
    <w:p>
      <w:pPr>
        <w:spacing w:after="0" w:line="225"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79"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8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We have agreed with the FDA on a Pediatric Study Plan which outlines the adult, pediatric and nonclinical studies, as well as formulation work, that we plan to conduct and the associated schedule, which is subject to post-approval amendment of the NDA. We have requested a deferral of these efforts.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firstLine="380"/>
        <w:spacing w:after="0" w:line="293" w:lineRule="auto"/>
        <w:rPr>
          <w:sz w:val="20"/>
          <w:szCs w:val="20"/>
          <w:color w:val="auto"/>
        </w:rPr>
      </w:pPr>
      <w:r>
        <w:rPr>
          <w:rFonts w:ascii="Arial" w:cs="Arial" w:eastAsia="Arial" w:hAnsi="Arial"/>
          <w:sz w:val="16"/>
          <w:szCs w:val="16"/>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 The FDA has also previously indicated that our NDA for KP201/APAP raises issues that will likely require advisory committee review.</w:t>
      </w:r>
    </w:p>
    <w:p>
      <w:pPr>
        <w:spacing w:after="0" w:line="16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3"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an NDA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ten months from the 60-day filing date to complete its initial review of a standard NDA for an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83"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67"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FDA approval of any NDA submitted by us will be at a time the FDA chooses. Also, if regulatory approval of a product is granted, such approval may entail limitations on the indicated uses for which such product may be marketed or may include contraindications, warnings or precautions in the product labeling, including a black box warning. For instance, we expect that at least some of our product candidates would likely be required to carry black box warnings, including warnings regarding tampering, lethality if our oral tablets are prepared for injection and hepatotoxicity. For example, Norco carries a black box warning related to the APAP component and the risk of liver failure or injury. If the FDA requires a black box warning, we would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addition, the FDA may require Phase 4 post-marketing studies to monitor the effect of approved products, and may limit further marketing of the product based on the results of these post-marketing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8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annual user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8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87"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8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Any of these sanctions could result in adverse publicity, among other adverse consequences.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Evaluation and Mitigation Strategy (REMS)</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The FDA has the authority to require a REMS to ensure the safe use of the drug.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an NME. If the FDA determines a REMS is necessary, the drug sponsor must develop the REMS program, which the FDA reviews and approves. A REMS may be required for a single drug or an entire class of drugs.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380"/>
        <w:spacing w:after="0" w:line="272" w:lineRule="auto"/>
        <w:rPr>
          <w:sz w:val="20"/>
          <w:szCs w:val="20"/>
          <w:color w:val="auto"/>
        </w:rPr>
      </w:pPr>
      <w:r>
        <w:rPr>
          <w:rFonts w:ascii="Arial" w:cs="Arial" w:eastAsia="Arial" w:hAnsi="Arial"/>
          <w:sz w:val="17"/>
          <w:szCs w:val="17"/>
          <w:color w:val="auto"/>
        </w:rPr>
        <w:t>A REMS may be required to include various elements, including, but not limited to, a medication guide or patient package insert, a communication plan to educate healthcare providers of the drug’s risks, limitations on who may prescribe or dispense the drug, elements to assure safe use, or ETASU, an implementation system, or other measures that the FDA deems necessary to assure the safe use of the drug. ETASU can include, but are not limited to, special training or certification for prescribing or dispensing, dispensing only under specified circumstances, special monitoring, and the use of patient registries. In addition, the REMS must include a timetable to periodically assess the strategy. The FDA may also impose a REMS requirement on a drug already on the market if the FDA determines, based on new safety information, that a REMS is necessary to ensure that the drug’s benefits outweigh its risks. The requirement for a REMS can materially affect the potential market and profitability of a drug.</w:t>
      </w:r>
    </w:p>
    <w:p>
      <w:pPr>
        <w:spacing w:after="0" w:line="178" w:lineRule="exact"/>
        <w:rPr>
          <w:sz w:val="20"/>
          <w:szCs w:val="20"/>
          <w:color w:val="auto"/>
        </w:rPr>
      </w:pPr>
    </w:p>
    <w:p>
      <w:pPr>
        <w:jc w:val="both"/>
        <w:ind w:right="20" w:firstLine="285"/>
        <w:spacing w:after="0" w:line="264" w:lineRule="auto"/>
        <w:rPr>
          <w:sz w:val="20"/>
          <w:szCs w:val="20"/>
          <w:color w:val="auto"/>
        </w:rPr>
      </w:pPr>
      <w:r>
        <w:rPr>
          <w:rFonts w:ascii="Arial" w:cs="Arial" w:eastAsia="Arial" w:hAnsi="Arial"/>
          <w:sz w:val="18"/>
          <w:szCs w:val="18"/>
          <w:color w:val="auto"/>
        </w:rPr>
        <w:t>Based upon currently approved product REMS programs and class-wide REMS programs, including the class-wide REMS programs for extended-release and long-acting opioid analgesics, we believe that most of our product candidates, if approved, may be subject to a REMS. Accordingly, we expect to have to take prescribed measures to ensure the safe use of our products, if they are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 Regulation</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Most of our product candidates, if approved, will be regulated as “controlled substances” as defined in the Controlled Substances Act of 1970, or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93"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7"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We expect that most of our product candidates may be listed by the DEA as Schedule II controlled substances under the CSA. However, we have requested in our NDA that KP201/APAP be listed as a Schedule III controlled substance based on its differential abuse potential when compared to other Schedule II controlled substances, such as IR hydrocodone combination products. None of the previously approved abuse deterrent formulations of opioids have received Schedule III designation. In 2014, the DEA also rescheduled hydrocodone combination products into Schedule II from Schedule III. If our product candidates are ultimately listed as Schedule II controlled substances, then the importation of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69"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380"/>
        <w:spacing w:after="0" w:line="25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8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w:t>
      </w:r>
    </w:p>
    <w:p>
      <w:pPr>
        <w:spacing w:after="0" w:line="178"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opioids and stimulants that the DEA allows to be produced in the United States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7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Regulations</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Our business activities, including but not limited to, research, sales, promotion, distribution, medical education and other activities following product approval will be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w:t>
      </w:r>
    </w:p>
    <w:p>
      <w:pPr>
        <w:spacing w:after="0" w:line="18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Additionally, the ACA amended the intent requirement of the federal Anti-Kickback Statute, and some other healthcare criminal fraud statutes, so that a person or entity no longer needs to have actual knowledge of the Anti-Kickback Statute, or the specific intent to violate it,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342" w:lineRule="auto"/>
        <w:rPr>
          <w:sz w:val="20"/>
          <w:szCs w:val="20"/>
          <w:color w:val="auto"/>
        </w:rPr>
      </w:pPr>
      <w:r>
        <w:rPr>
          <w:rFonts w:ascii="Arial" w:cs="Arial" w:eastAsia="Arial" w:hAnsi="Arial"/>
          <w:sz w:val="16"/>
          <w:szCs w:val="16"/>
          <w:color w:val="auto"/>
        </w:rPr>
        <w:t>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False Claims Act.</w:t>
      </w:r>
    </w:p>
    <w:p>
      <w:pPr>
        <w:spacing w:after="0" w:line="124"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federal civil and criminal false claims laws, including the federal False Claims Act,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w:t>
      </w:r>
    </w:p>
    <w:p>
      <w:pPr>
        <w:spacing w:after="0" w:line="18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and our business activities, are subject to 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6"/>
          <w:szCs w:val="16"/>
          <w:color w:val="auto"/>
        </w:rPr>
        <w:t>As a condition of Medicaid payment for prescription drugs, the Medicaid Drug Rebate statute requires manufacturers to calculate and report to CMS their Average Manufacturer Price,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Average Manufacturing Price,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False Claims Act liability.</w:t>
      </w:r>
    </w:p>
    <w:p>
      <w:pPr>
        <w:spacing w:after="0" w:line="169"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7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Additionally, the federal Open Payments program,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information related to specified payments or other transfers of value provided to physicians and teaching hospitals, or to entities or individuals at the request of, or designated on behalf of, the physicians and teaching hospitals and to report annually specified ownership and investment interests held by physicians and their immediate family members.</w:t>
      </w:r>
    </w:p>
    <w:p>
      <w:pPr>
        <w:spacing w:after="0" w:line="188"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Failure to submit timely, accurately and completely the required information for all payments, transfers of value and ownership or investment interests may result in civil monetary penalties of up to an aggregate of $150,000 per year and up to an aggregate of $1.0 million per year for “knowing failures.” Manufacturers must submit reports by the 90th day of each calendar year. CMS released the data for the first reporting period on a public website on September 30, 2014.</w:t>
      </w:r>
    </w:p>
    <w:p>
      <w:pPr>
        <w:spacing w:after="0" w:line="187"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requirements on certain types of individuals and entities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health information in some circumstances, many of which differ from each other in significant ways and may not have the same effect, thus complicating compliance efforts.</w:t>
      </w:r>
    </w:p>
    <w:p>
      <w:pPr>
        <w:spacing w:after="0" w:line="170"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third-party payor, including commercial insurers.</w:t>
      </w:r>
    </w:p>
    <w:p>
      <w:pPr>
        <w:spacing w:after="0" w:line="170"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Enforcement actions can be brought by federal or state governments or as “qui tam” actions brought by individual whistleblowers in the name of the government. Depending on the circumstances, failure to comply with these laws can result in penalties, including criminal, civil and/or administrative criminal penalties, damages, fines, disgorgement, debarment from government contracts, exclusion of products from reimbursement under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For example, in March 2010, the ACA was passed. The ACA has substantially changed health care financing by both governmental and private insurers, and significantly affected the U.S. pharmaceutical industry. We expect that the ACA will continue to create significant changes in the healthcare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There have been judicial and congressional challenges to certain aspects of the ACA, and we expect there will be additional challenges and amendments to the ACA in the future. We continue to evaluate the effect that the ACA has on our business. Final regulations, guidance, amendments and judicial orders are anticipated in the future and we will continue to assess the ACA’s impact on us as final regulations, guidance, amendments and judicial orders are issued.</w:t>
      </w:r>
    </w:p>
    <w:p>
      <w:pPr>
        <w:spacing w:after="0" w:line="180"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will remain in effect through 2024 unless additional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As of December 31, 2015, we employed 26 full-time employees. We have never had a work stoppage, and none of our employees is represented by a labor organization or under any collective bargaining arrangements.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Information</w:t>
      </w:r>
    </w:p>
    <w:p>
      <w:pPr>
        <w:spacing w:after="0" w:line="229" w:lineRule="exact"/>
        <w:rPr>
          <w:sz w:val="20"/>
          <w:szCs w:val="20"/>
          <w:color w:val="auto"/>
        </w:rPr>
      </w:pPr>
    </w:p>
    <w:p>
      <w:pPr>
        <w:jc w:val="both"/>
        <w:ind w:firstLine="380"/>
        <w:spacing w:after="0" w:line="342" w:lineRule="auto"/>
        <w:rPr>
          <w:sz w:val="20"/>
          <w:szCs w:val="20"/>
          <w:color w:val="auto"/>
        </w:rPr>
      </w:pPr>
      <w:r>
        <w:rPr>
          <w:rFonts w:ascii="Arial" w:cs="Arial" w:eastAsia="Arial" w:hAnsi="Arial"/>
          <w:sz w:val="16"/>
          <w:szCs w:val="16"/>
          <w:color w:val="auto"/>
        </w:rPr>
        <w:t>We view our operations and manage our business as one operating segment. See our consolidated financial statements for a discussion of revenues, operating loss, net loss and total assets. All of our assets were held in the United States for the years ended December 31, 2015, 2014 and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 xml:space="preserve">We were incorporated under the laws of the State of Iowa in October 2006 and were reincorporated under the laws of the State of Delaware in May 2014. Our principal executive offices are located at 2656 Crosspark Road, Suite 100, Coralville, IA 52241 and our telephone number is (319) 665-2575. Our website address is </w:t>
      </w:r>
      <w:r>
        <w:rPr>
          <w:rFonts w:ascii="Arial" w:cs="Arial" w:eastAsia="Arial" w:hAnsi="Arial"/>
          <w:sz w:val="16"/>
          <w:szCs w:val="16"/>
          <w:i w:val="1"/>
          <w:iCs w:val="1"/>
          <w:color w:val="auto"/>
        </w:rPr>
        <w:t>www.kempharm.com</w:t>
      </w:r>
      <w:r>
        <w:rPr>
          <w:rFonts w:ascii="Arial" w:cs="Arial" w:eastAsia="Arial" w:hAnsi="Arial"/>
          <w:sz w:val="16"/>
          <w:szCs w:val="16"/>
          <w:color w:val="auto"/>
        </w:rPr>
        <w:t>. The information contained on our website is not incorporated by reference into this Annual Report on Form 10-K.</w:t>
      </w:r>
    </w:p>
    <w:p>
      <w:pPr>
        <w:spacing w:after="0" w:line="1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You should carefully consider all of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have incurred losses since our inception and, as of December 31, 2015, had an accumulated deficit of $104.8 million. Our net losses for the years ended December 31, 2015, 2014 and 2013, were $54.7 million, $24.5 million and $5.2 million, respectively. We have financed our operations to date with $23.1 million raised in private placements of redeemable convertible preferred stock, $105.1 million in convertible promissory notes and term debt and $59.9 million in aggregate net proceeds from our initial public offering.</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still in the early stages of development of many of our product candidates, and we have not completed development of any of our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7"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approvals for KP201/APAP and for any other product candidates that successfully complete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other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76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establish a commercialization infrastructure and scale up external manufacturing and distribution capabilities to commercialize any product candidates for which we may obtain regulatory approval;</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prodrug development and planned future commercialization efforts;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any product candidates for which we may obtain regulatory approval, as well as discovering and developing additional product candidates. We are only in the preliminary stages of most of these activities. We may never succeed in these activities and, even if we do, may never generate revenue that is significant enough to achieve profitability.</w:t>
      </w:r>
    </w:p>
    <w:p>
      <w:pPr>
        <w:spacing w:after="0" w:line="173"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to pursue our business objectives. If we are unable to raise capital when needed, we could be forced to delay, reduce or altogether cease our prodrug development programs or commercialization efforts.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for at least the next 21 months. However, we will need to obtain substantial additional funding in connection with our continuing operations. Our future capital requirements will depend on many factors, including:</w:t>
      </w:r>
    </w:p>
    <w:p>
      <w:pPr>
        <w:spacing w:after="0" w:line="181"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and other product development and commercialization activities;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obtain abuse-deterrent claims in the labels for our product candidates, including KP201/APAP;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both"/>
        <w:ind w:left="760" w:hanging="374"/>
        <w:spacing w:after="0" w:line="31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marketing approval, which may be affected by market conditions, including obtaining coverage and adequate reimbursement of our product candidates from third-party payors, including government programs and managed care organizations, and competition within the therapeutic class to which our product candidates are assigned;</w:t>
      </w:r>
    </w:p>
    <w:p>
      <w:pPr>
        <w:spacing w:after="0" w:line="146"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and we may never generate the necessary data or results required to obtain regulatory approval for our product candidates or claims necessary to make such candidates profitable, and achieve product sales. In addition, our product candidates, if approved, may not achieve commercial success. Our commercial revenue, if any, will be derived from sales of prodrug products that we do not expect to be commercially available for at least 15 months,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or exercise our right to borrow additional tranches under the Deerfield facility, the terms of these securities or this debt may restrict our ability to operate. The Deerfield facility includes, and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Additionally, in February 2016, we issued $86.25 million aggregate principal amount of our 5.50% senior convertible notes due 2021, or the 2021 Notes. We are required to make periodic interest payments to the holders of the 2021 Notes and to make payments of principal upon maturity. In this regard, if holders of the 2021 Notes do not convert their 2021 Notes prior to the maturity date, we will be required to repay the principal amount of all then outstanding 2021 Notes plus any accrued and unpaid interest. We may also be required to repurchase the 2021 Notes for cash upon the occurrence of a change of control or certain other fundamental changes involving us. If our capital resources are insufficient to satisfy our debt service obligations, we will be required to seek to sell additional equity or debt securities or to obtain debt financing.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may make it difficult for you to evaluate the success of our business to date and to assess our future viability.</w:t>
      </w:r>
    </w:p>
    <w:p>
      <w:pPr>
        <w:spacing w:after="0" w:line="225"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We have not yet demonstrated an ability to obtain regulatory approvals, manufacture a prodrug on a commercial scale or arrange for a third party to do so, or conduct sales and marketing activities necessary for successful commercialization or enter into a collaboration for that purpose. Consequently, any predictions you make about our future success or viability may not be as accurate as they could be if we had a longer operating history.</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research and development is focused on discovering and developing proprietary prodrugs, and we are taking an innovative approach to discovering and developing prodrugs, which may never lead to marketable prodrug products.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 key element of our strategy is to use our LAT platform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The scientific evidence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6"/>
          <w:szCs w:val="16"/>
          <w:color w:val="auto"/>
        </w:rPr>
        <w:t>support the feasibility of developing product candidates based on these discoveries is both preliminary and limited. Although our research and development efforts to date have resulted in a pipeline of prodrug product candidates, we may not be able to develop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including as a result of being shown to have harmful side effects, a lack of efficacy, or other characteristics that indicate that they are unlikely to be prodrugs that will receive marketing approval and achieve market acceptance. If we do not successfully develop and commercialize product candidates based upon our LAT platform technology, we will not be able to obtain product revenue in future periods, which likely would result in significant harm to our financial position and adversely affect our stock price.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KP201/APAP or any of our other product candidates, we will not be able to commercialize them and our ability to generate revenue or profits or to raise future capital could be limited.</w:t>
      </w:r>
    </w:p>
    <w:p>
      <w:pPr>
        <w:spacing w:after="0" w:line="170"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In December 2015, we submitted to the FDA an NDA for KP201/APAP for an indication of the short-term management of acute pain. The FDA subsequently accepted this NDA for priority review in February 2016. The FDA has set a target action date under PDUFA of June 9, 2016. Despite this acceptance, we cannot guarantee that the FDA will ultimately approve KP201/APAP for commercial sale in the United States. For instance, the FDA has indicated that our NDA for KP201/APAP raises issues that will likely require advisory committee review. Accordingly, the FDA may not approve our NDA on a timely basis, or at all, and therefore we may never receive approval to market KP201/APAP in the United States.</w:t>
      </w:r>
    </w:p>
    <w:p>
      <w:pPr>
        <w:spacing w:after="0" w:line="173"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KP201/APAP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6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Even if regulatory approval is obtained, subsequent safety, efficacy, quality or other issues can result in a product approval being suspended or withdrawn. Other than the submission of our NDA for KP201/APAP to the FDA, we have not yet submitted comparable applications to other regulatory authorities. If our development efforts for KP201/APAP, including regulatory approval, are not successful for its planned indications or are delayed, or if adequate demand for KP201/APAP is not generated, our business will be harmed.</w:t>
      </w:r>
    </w:p>
    <w:p>
      <w:pPr>
        <w:spacing w:after="0" w:line="187"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success of KP201/APAP will depend on the receipt and maintenance of regulatory approval and the issuance and maintenance of such approval is uncertain and subject to a number of risks, including the following:</w:t>
      </w:r>
    </w:p>
    <w:p>
      <w:pPr>
        <w:spacing w:after="0" w:line="170" w:lineRule="exact"/>
        <w:rPr>
          <w:sz w:val="20"/>
          <w:szCs w:val="20"/>
          <w:color w:val="auto"/>
        </w:rPr>
      </w:pPr>
    </w:p>
    <w:p>
      <w:pPr>
        <w:ind w:left="760" w:right="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determine that our bridging analysis to Ultracet and Vicoprofen may not provide acceptable evidence of KP201/APAP’s safety and efficacy;</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dosing of KP201/APAP in a particular clinical trial may not be at an optimal level;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KP201/APAP;</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or other submission or to obtain regulatory approval in the United States or elsewhere;</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left="76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particular, we cannot guarantee that regulators will agree with our assessment of the results of the clinical trials we have conducted to date or that any future trials will be successful. For example, the FDA may not agree that the data from our completed clinical trials, our bridging analysis to Ultracet and Vicoprofen and other data and information in our NDA demonstrate sufficient efficacy or clinical benefit of KP201/APAP. We have no way of knowing whether the FDA will deem the data and literature review in our NDA sufficient to demonstrate KP201/APAP’s safety and efficacy. The FDA and other regulators have substantial discretion in the approval process and may decide that our data are insufficient for approval and require additional clinical trials, or nonclinical or other studies.</w:t>
      </w:r>
    </w:p>
    <w:p>
      <w:pPr>
        <w:spacing w:after="0" w:line="193"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KP201/APAP or any future product candidates we may develop may prove to have undesirable or unintended side effects, toxicities or other characteristics that may preclude our obtaining regulatory approval or prevent or limit commercial use with respect to one or all intended indications.</w:t>
      </w:r>
    </w:p>
    <w:p>
      <w:pPr>
        <w:spacing w:after="0" w:line="165"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and our ability to generate revenue will be impaired.</w:t>
      </w:r>
    </w:p>
    <w:p>
      <w:pPr>
        <w:spacing w:after="0" w:line="17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b w:val="1"/>
          <w:bCs w:val="1"/>
          <w:i w:val="1"/>
          <w:iCs w:val="1"/>
          <w:color w:val="auto"/>
        </w:rPr>
        <w:t>Our NDA for KP201/APAP includes a Paragraph IV certification and, therefore, we have provided notice of this certification to the holders of certain patents and NDAs upon the FDA’s acceptance of our NDA for review. This notice may result in a delay in the approval of our NDA by the FDA and potential patent infringement lawsuit by the patent or NDA holder.</w:t>
      </w:r>
    </w:p>
    <w:p>
      <w:pPr>
        <w:spacing w:after="0" w:line="18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The NDA for KP201/APAP that was accepted for filing by the FDA in February 2016 included a Paragraph IV certification. A Paragraph IV certification is a certification to the FDA that any patents referenced in an NDA and that are listed for an approved drug in the Orange Book are invalid, unenforceable or will not be infringed by the manufacture, use or sale of our prodrug. This certification was required since the reference listed drug product, Vicoprofen, has two unexpired patents in the Orange Book. Because the FDA accepted our 505(b)(2) NDA for KP201/APAP for filing, we were required to notify the patent owner and NDA holder of our Paragraph IV certification and of the factual and legal bases therefore. We sent this notice on February 26, 2016. Upon receipt of such notice, the patent owner or NDA holder may file a patent infringement suit on one or both of the patents included in the Paragraph IV certification. If the patent owner or NDA holder does not bring suit within 45 days of receiving such notice, the FDA may issue final approval of our NDA once its approval requirements have been satisfied. If an infringement suit is brought by the patent owner or NDA holder within this 45-day period, the FDA may not approve our NDA until the earlier of the end of 30 months, the patents expiration or the patents involved are deemed invalid or not infringed, or such shorter or longer period as determined by a court. Approval of our 505(b)(2) NDA could therefore be delayed for a significant period of time if the owner of the Vicoprofen patent or NDA decides to initiate patent litigation. We will also be subject to a similar risk of a patent infringement action, and any related delay of FDA approval, if we file any future 505(b)(2) NDAs that contain a Paragraph IV certification.</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are very early in our development efforts and have only two product candidates, KP201/APAP and KP201/IR (APAP-free), that have commenced clinical trials. All of our other product candidates are still in preclinical development. If we are unable to commercialize our product candidates, including KP201/APAP and KP201/IR (APAP-free), or experience significant delays in doing so, our business will be harmed.</w:t>
      </w:r>
    </w:p>
    <w:p>
      <w:pPr>
        <w:spacing w:after="0" w:line="147"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We are very early in our development efforts and have only two product candidates, KP201/APAP and KP201/IR (APAP-free), under clinical development. All of our other product candidates are still in preclinical development. We have not completed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development of any product candidates, we generate no revenue from the sale of any prodrugs and we may never be able to develop a marketable prodrug product. We have invested substantially all of our efforts and financial resources in the development of our LAT platform technology, the identification of potential product candidates and the development of our product candidates. Our ability to generate revenue from our product candidates, which we do not expect will occur for at least 15 months, if ever, will depend heavily on their successful development and eventual commercialization. The success of our product candidates will depend on several factors, including:</w:t>
      </w:r>
    </w:p>
    <w:p>
      <w:pPr>
        <w:spacing w:after="0" w:line="188"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that the risks involved with our product candidates are outweighed by the benefits;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for our product candidates, including entering into and maintaining arrangements with third-party manufacturers;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completion of an FDA preapproval inspection of the facilities used to manufacture our product candidates, as well as select clinical trial sites;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 including the determination by the DEA, of the controlled substance schedule for a product candidate, taking into account the recommendation of the FDA;</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abuse-deterrent claims in the labels for our product candidates, including KP201/APAP;</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commercial sales of product candidates, if and when approved, whether alone or in collaboration with others;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our prodrug product candidates, if approved, by patients, the medical community and third-party payors;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the prodrug products following approval.</w:t>
      </w:r>
    </w:p>
    <w:p>
      <w:pPr>
        <w:spacing w:after="0" w:line="22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78"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It is possible that none of our existing product candidates or any of our future product candidates will ever obtain regulatory approval, even if we expend substantial time and resources seeking such approval.</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market and promote our products in the United States by describing their abuse-deterrent features will be determined by the FDA-approved labeling for them.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380"/>
        <w:spacing w:after="0" w:line="259" w:lineRule="auto"/>
        <w:rPr>
          <w:sz w:val="20"/>
          <w:szCs w:val="20"/>
          <w:color w:val="auto"/>
        </w:rPr>
      </w:pPr>
      <w:r>
        <w:rPr>
          <w:rFonts w:ascii="Arial" w:cs="Arial" w:eastAsia="Arial" w:hAnsi="Arial"/>
          <w:sz w:val="18"/>
          <w:szCs w:val="18"/>
          <w:color w:val="auto"/>
        </w:rPr>
        <w:t>The commercial success of KP201/APAP and most of our other product candidates will depend upon our ability to obtain FDA-approved labeling describing their abuse-deterrent features. Our failure to achieve FDA approval of product labeling containing such information will prevent our advertising and promotion of the abuse-deterrent features of our product candidates in order to differentiate them from other similar products. This would make our products less competitive in the market.</w:t>
      </w:r>
    </w:p>
    <w:p>
      <w:pPr>
        <w:spacing w:after="0" w:line="187"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FDA approval is required in order to make claims that a product has an abuse-deterrent effect. In January 2013, the FDA published draft guidance with regard to the evaluation and labeling of abuse-deterrent opioids. This guidance was published in final form in April 2015. The FDA guidance provides direction as to the studies and data required for obtaining abuse-deterrent claims in a product label. The guidance describes four categories of label claims for abuse-deterrent products. Depending on product and study data, a combination of categories can be included in the label claims. The FDA guidance lists the following theoretical examples:</w:t>
      </w:r>
    </w:p>
    <w:p>
      <w:pPr>
        <w:spacing w:after="0" w:line="188" w:lineRule="exact"/>
        <w:rPr>
          <w:sz w:val="20"/>
          <w:szCs w:val="20"/>
          <w:color w:val="auto"/>
        </w:rPr>
      </w:pPr>
    </w:p>
    <w:p>
      <w:pPr>
        <w:ind w:left="7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Category 1–in vitro data demonstrate the product has physical and chemical properties that are expected to deter intravenous abuse. However, abuse is still possible by the oral and nasal routes.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Category 1 and 2–in vitro data demonstrate that the product has physical and chemical properties that are expected to deter oral, nasal and intravenous abuse. However, abuse of intact product is still possible by the oral route.</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Category 2 and 3–pharmacokinetic and clinical abuse potential studies indicate that the product has properties that are expected to deter abuse via the oral, intranasal and intravenous routes. However, abuse of product by these routes is still possible.</w:t>
      </w:r>
    </w:p>
    <w:p>
      <w:pPr>
        <w:spacing w:after="0" w:line="170" w:lineRule="exact"/>
        <w:rPr>
          <w:rFonts w:ascii="Arial" w:cs="Arial" w:eastAsia="Arial" w:hAnsi="Arial"/>
          <w:sz w:val="18"/>
          <w:szCs w:val="18"/>
          <w:color w:val="auto"/>
        </w:rPr>
      </w:pPr>
    </w:p>
    <w:p>
      <w:pPr>
        <w:jc w:val="both"/>
        <w:ind w:left="760" w:hanging="374"/>
        <w:spacing w:after="0" w:line="302"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Category 4–data demonstrated a reduction in the abuse of the product in the community setting compared to the levels of abuse, overdose, and death that occurred when only formulations of the same opioid without abuse-deterrent properties were available. This reduction in abuse appears to be attributable to the product’s formulation, which deters abuse by injection or snorting of the manipulated product. However, such abuse of this product is still possible, and the product’s abuse deterrence properties do not deter abuse associated with swallowing the intact formulation.</w:t>
      </w:r>
    </w:p>
    <w:p>
      <w:pPr>
        <w:spacing w:after="0" w:line="154"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If a product is approved by the FDA to include such claims in its label, the applicant may use information about the abuse-deterrent features of the product in its marketing efforts to physicians.</w:t>
      </w:r>
    </w:p>
    <w:p>
      <w:pPr>
        <w:spacing w:after="0" w:line="170"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Although we conducted trials intended to support approval by the FDA of Category 1, 2 and potentially 3 labeling claims for KP201/APAP, there can be no assurance that KP201/APAP or any of our other product candidates will receive FDA-approved labeling that describes the abuse-deterrent features of such products. The FDA may find that our trials do not support abuse-deterrent labeling or that our product candidates do not provide substantial abuse deterrence because, for example, their deterrence mechanisms do not address the way they are most likely to be abused. For instance, during our May 2015 pre-NDA meeting, the FDA had questions about the relevance of the intranasal route of administration based on the agency’s experience. The agency stated that it would likely address this issue in a future advisory committee meeting. The agency also observed that while there is epidemiological evidence that hydrocodone/APAP products are abused via intranasal and intravenous routes of administration, the most common abuse route of administration is oral. The agency further expressed concern that, if injected, KP201/APAP may precipitate in the blood posing a safety concern and requested that we characterize the solubility of the drug in the blood. The results of our KP201.T02 study, which was designed to evaluate the properties of KP201 that could reduce the likelihood of intravenous abuse of KP201/APAP, indicated that preparation of KP201/APAP for intravenous use resulted in a cloudy substance with excipient particles, which may have been APAP. Upon review of our NDA, the FDA will weigh a number of factors, including the most common route of abuse, information showing that hydrocodone/APAP is abused via the nasal and intravenous routes, information suggesting a risk for harm by intravenous abuse as compared to existing products, and results of testing concerning abuse deterrent characteristics.</w:t>
      </w:r>
    </w:p>
    <w:p>
      <w:pPr>
        <w:spacing w:after="0" w:line="17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As with all claims, we will be required to provide adequate substantiation. For example, we will need to demonstrate that KP201/APAP has abuse-deterrent properties sufficient to achieve Category 1, 2 and potentially 3 abuse-deterrent labeling.</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Further, the FDA is not required to follow its guidance and could change this guidance, which could require us to conduct additional trials. If the FDA does not approve abuse-deterrent labeling, we will not be able to promote such products based on their abuse-deterrent features and may not be able to differentiate such products from other similar products.</w:t>
      </w:r>
    </w:p>
    <w:p>
      <w:pPr>
        <w:spacing w:after="0" w:line="18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Even if we do receive FDA approval for abuse-deterrent claims, the claims may not be broad enough to demonstrate a substantial benefit to health care providers and patients. For instance, the claims may not encompass the more common forms of abuse for products like our product candidates. Moreover, continued investigation in Phase 4 studies following product approval may not support the continued use of abuse-deterrent claims. We have proposed certain post-marketing studies and observations to the FDA in our NDA for KP201/APAP.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our product candidates are sufficiently bioequivalent, or have comparable bioavailability, to approved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A key element of our strategy is to seek FDA approval for most of our product candidates, including KP201/APAP, through the 505(b)(2) NDA pathway. 505(b)(2)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8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193"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ANDA, which is used for the development of generic drug products.</w:t>
      </w:r>
    </w:p>
    <w:p>
      <w:pPr>
        <w:spacing w:after="0" w:line="158"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In addition, notwithstanding the approval of a number of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505(b)(2).</w:t>
      </w:r>
    </w:p>
    <w:p>
      <w:pPr>
        <w:spacing w:after="0" w:line="18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black box warning, may be subject to other conditions of approval, or may contain requirements for costly post-marketing clinical trials, testing and surveillance to monitor the safety or efficacy of the products, or other post-market requirements, such as a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black box warning for at least some of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70"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If we were to file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71"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NDA is incomplete because it does not on its face contain the information required under the FFDCA or the FDA’s regulations;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NDA does not contain a statement that each nonclinical laboratory study was conducted in compliance with the GLP requirements, or for each study not so conducted, a brief statement of the reason for the noncompliance;</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760" w:hanging="374"/>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drug is a duplicate of a listed drug approved before receipt of the NDA and is eligible for approval under an ANDA for generic drugs.</w:t>
      </w:r>
    </w:p>
    <w:p>
      <w:pPr>
        <w:spacing w:after="0" w:line="237"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In its procedures, the FDA has stated that it could find an NDA submitted under the Section 505(b)(2) regulatory pathway incomplete and refuse to file it if the NDA, among other reasons:</w:t>
      </w:r>
    </w:p>
    <w:p>
      <w:pPr>
        <w:spacing w:after="0" w:line="170"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fails to include appropriate literature or a listed drug citation to support the safety or efficacy of the drug product;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fails to include data necessary to support any aspects of the proposed drug that represent modifications to the listed drug(s) relied upon;</w:t>
      </w:r>
    </w:p>
    <w:p>
      <w:pPr>
        <w:spacing w:after="0" w:line="236" w:lineRule="exact"/>
        <w:rPr>
          <w:rFonts w:ascii="Arial" w:cs="Arial" w:eastAsia="Arial" w:hAnsi="Arial"/>
          <w:sz w:val="17"/>
          <w:szCs w:val="17"/>
          <w:color w:val="auto"/>
        </w:rPr>
      </w:pPr>
    </w:p>
    <w:p>
      <w:pPr>
        <w:ind w:left="76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fails to provide a bridge, for example by providing comparative bioavailability data, between the proposed drug product and the listed drug product to demonstrate that such reliance is scientifically justified;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uses an unapproved drug as a reference product for the bioequivalence study; or</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48" w:lineRule="exact"/>
        <w:rPr>
          <w:sz w:val="20"/>
          <w:szCs w:val="20"/>
          <w:color w:val="auto"/>
        </w:rPr>
      </w:pPr>
    </w:p>
    <w:p>
      <w:pPr>
        <w:jc w:val="both"/>
        <w:ind w:firstLine="430"/>
        <w:spacing w:after="0" w:line="257" w:lineRule="auto"/>
        <w:rPr>
          <w:sz w:val="20"/>
          <w:szCs w:val="20"/>
          <w:color w:val="auto"/>
        </w:rPr>
      </w:pPr>
      <w:r>
        <w:rPr>
          <w:rFonts w:ascii="Arial" w:cs="Arial" w:eastAsia="Arial" w:hAnsi="Arial"/>
          <w:sz w:val="18"/>
          <w:szCs w:val="18"/>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88"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7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conduct a clinical trial at a prospective trial site or amend clinical trial protocols as needed;</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left="760" w:hanging="374"/>
        <w:spacing w:after="0" w:line="26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70" w:lineRule="exact"/>
        <w:rPr>
          <w:rFonts w:ascii="Arial" w:cs="Arial" w:eastAsia="Arial" w:hAnsi="Arial"/>
          <w:sz w:val="18"/>
          <w:szCs w:val="18"/>
          <w:color w:val="auto"/>
        </w:rPr>
      </w:pPr>
    </w:p>
    <w:p>
      <w:pPr>
        <w:ind w:left="760" w:hanging="374"/>
        <w:spacing w:after="0" w:line="308"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46" w:lineRule="exact"/>
        <w:rPr>
          <w:rFonts w:ascii="Arial" w:cs="Arial" w:eastAsia="Arial" w:hAnsi="Arial"/>
          <w:sz w:val="17"/>
          <w:szCs w:val="17"/>
          <w:color w:val="auto"/>
        </w:rPr>
      </w:pPr>
    </w:p>
    <w:p>
      <w:pPr>
        <w:ind w:left="7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Our prodrug development costs may also increase if we experience delays in testing or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As product candidates are developed through preclinical studies to late-stage clinical trials towards approval and commercialization, various aspects of the development program, such as manufacturing methods and formulation, may be altered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anticipate that most of our product candidates, if approved by the FDA, may be subject to mandatory REMS programs, which could increase the cost, burden and liability associated with the commercialization of these product candidates.</w:t>
      </w:r>
    </w:p>
    <w:p>
      <w:pPr>
        <w:spacing w:after="0" w:line="170"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The FDA has indicated that some opioid drugs formulated with the active ingredients hydrocodone, fentanyl, hydromorphone, methadone, morphine, oxycodone, oxymorphone and others will be required to have a REMS to ensure that the benefits of the drugs continue to outweigh the risks. The FDA has already approved a REMS for ER and long-acting opioids as part of a federal initiative to address inappropriate prescribing and prescription drug abuse and misuse, which the FDA continually updates. The REMS introduces new safety measures designed to reduce risks and improve the safe use of ER and long-acting opioids, while ensuring access to needed medications for patients in pain. The ER and long-acting opioid REMS affects more than 25 companies that manufacture these opioid analgesics. Under the new REMS, companies are required to make education programs available to prescribers. It is expected that companies will meet this obligation by taking specific steps to ensure that health care providers are aware of the availability of the training and by providing educational grants to continuing education providers, who will develop and deliver the training. The REMS also requires companies to make available FDA-approved patient education materials on the safe use of these drugs. The companies must perform periodic assessments of the implementation of the REMS and the success of the program in meeting its goals. The FDA will review these assessments and may require additional elements to achieve the goals of the program. Independent audits must also be conducted of the educational efforts.</w:t>
      </w:r>
    </w:p>
    <w:p>
      <w:pPr>
        <w:spacing w:after="0" w:line="173"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We anticipate that most of our product candidates, including KP201/APAP, if approved by the FDA, may be subject to a REMS requirement. There may be increased cost, administrative burden and potential liability associated with the marketing and sale of these types of product candidates subject to a REMS requirement, which could increase the costs to us and reduce the commercial benefits to us from the sale of these product candidates.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 candidates contain controlled substances, the manufacture, use, sale, importation, exportation, prescribing and distribution of which are subject to regulation by the DEA.</w:t>
      </w:r>
    </w:p>
    <w:p>
      <w:pPr>
        <w:spacing w:after="0" w:line="170"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Before we can commercialize our product candidates,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Most of our product candidates, including KP201/APAP, KP201/IR (APAP-free), KP511/ER, KP415, KP606/IR and KP746,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82"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7" w:lineRule="exact"/>
        <w:rPr>
          <w:sz w:val="20"/>
          <w:szCs w:val="20"/>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expect that most of our product candidates may be listed by the DEA as Schedule II controlled substances under the CSA. Consequently, the manufacturing, shipping, storing, selling and using of the products will be subject to a high degree of regulation. However, we have requested in our NDA that KP201/APAP be listed as a Schedule III controlled substance based on its differential abuse potential when compared to other Schedule II controlled substances, such as IR hydrocodone combination products. None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previously approved abuse deterrent formulations of opioids have received Schedule III designation. In 2014, the DEA rescheduled hydrocodone combination products into Schedule II from Schedule III. If our product candidates are ultimately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78"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5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88"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DEA, we may not be able to obtain sufficient quantities of these controlled substances in order to complete our clinical trials or meet commercial demand, if our product candidates are approved for marketing.</w:t>
      </w:r>
    </w:p>
    <w:p>
      <w:pPr>
        <w:spacing w:after="0" w:line="18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0"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effect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5" w:lineRule="exact"/>
        <w:rPr>
          <w:sz w:val="20"/>
          <w:szCs w:val="20"/>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25" w:lineRule="exact"/>
        <w:rPr>
          <w:rFonts w:ascii="Arial" w:cs="Arial" w:eastAsia="Arial" w:hAnsi="Arial"/>
          <w:sz w:val="18"/>
          <w:szCs w:val="18"/>
          <w:color w:val="auto"/>
        </w:rPr>
      </w:pPr>
    </w:p>
    <w:p>
      <w:pPr>
        <w:ind w:left="5620" w:right="4080" w:hanging="5234"/>
        <w:spacing w:after="0" w:line="528" w:lineRule="auto"/>
        <w:tabs>
          <w:tab w:leader="none" w:pos="7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66"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3"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Clinical trials of our most advanced product candidate KP201/APAP have thus far found adverse events, such as dizziness, euphoria, drug withdrawal syndrome and nausea and other adverse events consistent with other opioid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candidate through collaboration, licensing or other royalty arrangements in cases in which it would have been more advantageous for us to retain sole development and commercialization rights to such product candidate.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and stimulants, including law enforcement concerns over diversion and regulatory efforts to combat abuse, could decrease the potential market for our product candidates.</w:t>
      </w:r>
    </w:p>
    <w:p>
      <w:pPr>
        <w:spacing w:after="0" w:line="17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our ability to commercialize our product candidates. Aggressive enforcement and unfavorable publicity regarding, for example, the use or misuse of hydrocodone or other opioid drugs,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our product candidates and decrease the revenue we are able to generate from their sale, if approved. Similarly, to the extent prescription drug abuse becomes a less prevalent or less urgent public health issue, regulators and third-party payors may not be willing to pay a premium for abuse-deterrent formulations of opioids or stimulants.</w:t>
      </w:r>
    </w:p>
    <w:p>
      <w:pPr>
        <w:spacing w:after="0" w:line="192"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Additionally, efforts by the FDA and other regulatory bodies to combat abuse of opioids and stimulants may negatively impact the market for our product candidates. For example, in April 2014, the FDA approved class-wide labeling changes to the indications for use of all approved ER and long-acting opioids so that ER and long-acting opioids will be indicated only for the management of pain severe enough to require daily, around-the-clock, long-term opioid treatment and for which alternative treatment options are inadequate. It is possible that such changes could reduce the number of prescriptions for opioids written by physicians and negatively impact the potential market for our product candidates. The FDA also held a public meeting in October 2014, on the development and regulation of abuse-deterrent formulations of opioid medications. Further, the Centers for Disease Control and Prevention recently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our product candidates.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party to non-competition restrictions that may prevent us from investigating, developing or commercializing specified amphetamine-based product candidates.</w:t>
      </w:r>
    </w:p>
    <w:p>
      <w:pPr>
        <w:spacing w:after="0" w:line="17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On March 21, 2012, we entered into an asset purchase agreement with Shire, pursuant to which we sold assets and intellectual property to Shire. As partial consideration for this sale, we and our chief executive officer, Travis C. Mickle, Ph.D., agreed not to compete with Shire in the development, commercialization, production or distribution of amphetamine amino acid conjugate products until March 21, 2017. As a result, we have not engaged in any development efforts for such product candidates and will not engage in any such development efforts until the expiration of this non-competition provision, if at all. Prior to such time, our competitors may make substantial development progress regarding similar product candidates and even obtain FDA or other regulatory approval for similar product candidates. This could result in our competitors establishing a strong market position before we are able to enter the market or begin our development process, which may prevent us from entering such market altogether.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spacing w:after="0" w:line="276" w:lineRule="auto"/>
        <w:rPr>
          <w:sz w:val="20"/>
          <w:szCs w:val="20"/>
          <w:color w:val="auto"/>
        </w:rPr>
      </w:pPr>
      <w:r>
        <w:rPr>
          <w:rFonts w:ascii="Arial" w:cs="Arial" w:eastAsia="Arial" w:hAnsi="Arial"/>
          <w:sz w:val="17"/>
          <w:szCs w:val="17"/>
          <w:color w:val="auto"/>
        </w:rPr>
        <w:t>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73"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federal Anti-Kickback Statute.</w:t>
      </w:r>
    </w:p>
    <w:p>
      <w:pPr>
        <w:spacing w:after="0" w:line="178"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contract with a third party for the manufacture of KP201/APAP used in our clinical trials and with a sole source supplier for the manufacture of bulk quantities of KP201 used in KP201/APAP and we expect to continue to do so. This reliance on third-party manufacturers increases the risk that we will not have sufficient quantities of KP201 or KP201/APAP or such quantities at an acceptable cost, which could delay, prevent or impair our development or commercialization efforts.</w:t>
      </w:r>
    </w:p>
    <w:p>
      <w:pPr>
        <w:spacing w:after="0" w:line="18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We do not have any manufacturing facilities or personnel. We procure KP201 bulk drug substance from a sole source, third-party manufacturer and the KP201/APAP used in our clinical trials from another third party. We anticipate we will continue to do so for the foreseeable future. We also expect to continue to rely on third parties as we proceed with preclinical and clinical testing of our other product candidates, as well as for commercial manufacture if any of our product candidates receive marketing approval. This reliance on third parties increases the risk that we will not have sufficient quantities of KP201, other bulk drug substances or our product candidates, or such quantities at an acceptable cost or quality, which could delay, prevent or impair our ability to timely conduct our clinical trials or our other development or commercialization efforts.</w:t>
      </w:r>
    </w:p>
    <w:p>
      <w:pPr>
        <w:spacing w:after="0" w:line="178"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1" w:lineRule="exact"/>
        <w:rPr>
          <w:sz w:val="20"/>
          <w:szCs w:val="20"/>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25" w:lineRule="exact"/>
        <w:rPr>
          <w:rFonts w:ascii="Arial" w:cs="Arial" w:eastAsia="Arial" w:hAnsi="Arial"/>
          <w:sz w:val="18"/>
          <w:szCs w:val="18"/>
          <w:color w:val="auto"/>
        </w:rPr>
      </w:pPr>
    </w:p>
    <w:p>
      <w:pPr>
        <w:jc w:val="both"/>
        <w:ind w:left="760" w:right="20" w:hanging="374"/>
        <w:spacing w:after="0" w:line="26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Any of these events could lead to clinical trial delays, failure to obtain regulatory approval or impact our ability to successfully commercialize our products. Some of these events could be the basis for FDA action, including injunction, recall, seizure or total or partial suspension of production.</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facilities used by our contract manufacturers to manufacture our product candidates must be approved by the FDA pursuant to inspections that will be conducted after we submit our marketing application to the FDA, and these facilities could fail to obtain FDA approval.</w:t>
      </w:r>
    </w:p>
    <w:p>
      <w:pPr>
        <w:spacing w:after="0" w:line="12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While we are ultimately responsible for the manufacture of our product candidates, we do not, other than through our contractual arrangements, control the manufacturing process of, and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97"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Further, if our product candidates are approved, our suppliers will be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71"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KP201 bulk drug substance. If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our current contract manufacturer for KP201 bulk drug substance cannot perform as agreed, we may be required to replace such manufacturer and we may incur added costs and delays in identifying and qualifying any such replacement.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170"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include large and mid-size pharmaceutical companies, regional, national and international pharmaceutical companies and biotechnology companies. If we do enter into any collaboration arrangements with any third parties, we will likely have limited control over the amount and timing of resources that our collaborators dedicate to the development or</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commercialization of our product candidates. Our ability to generate revenue from these arrangements will depend on our collaborators’ abilities to successfully perform the functions assigned to them in these arrangements.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225" w:lineRule="exact"/>
        <w:rPr>
          <w:sz w:val="20"/>
          <w:szCs w:val="20"/>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jc w:val="both"/>
        <w:ind w:left="760" w:right="20" w:hanging="374"/>
        <w:spacing w:after="0" w:line="264"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760" w:hanging="374"/>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46" w:lineRule="exact"/>
        <w:rPr>
          <w:rFonts w:ascii="Arial" w:cs="Arial" w:eastAsia="Arial" w:hAnsi="Arial"/>
          <w:sz w:val="17"/>
          <w:szCs w:val="17"/>
          <w:color w:val="auto"/>
        </w:rPr>
      </w:pPr>
    </w:p>
    <w:p>
      <w:pPr>
        <w:ind w:left="76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70" w:lineRule="exact"/>
        <w:rPr>
          <w:rFonts w:ascii="Arial" w:cs="Arial" w:eastAsia="Arial" w:hAnsi="Arial"/>
          <w:sz w:val="18"/>
          <w:szCs w:val="18"/>
          <w:color w:val="auto"/>
        </w:rPr>
      </w:pPr>
    </w:p>
    <w:p>
      <w:pPr>
        <w:jc w:val="both"/>
        <w:ind w:left="760" w:hanging="374"/>
        <w:spacing w:after="0" w:line="259"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6"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our development and commercialization plans.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Our prodrug development programs and the potential commercialization of our product candidates will require substantial additional capital. For some of our product candidates, we may need to collaborate with pharmaceutical and biotechnology companies for the development and potential commercialization of those product candidates.</w:t>
      </w:r>
    </w:p>
    <w:p>
      <w:pPr>
        <w:spacing w:after="0" w:line="18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8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0"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agreements with Shire and MonoSol may inhibit our ability to enter into future collaborations with third parties.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Under our asset purchase agreement with Shire, we granted Shire a right of first refusal to acquire, license or commercialize KP415. The right of first refusal may be exercised by Shire for a period of 30 business days following Shire’s receipt of written notice from us of the existence of a bona fide offer from a third party to acquire, license or commercialize KP415.</w:t>
      </w:r>
    </w:p>
    <w:p>
      <w:pPr>
        <w:spacing w:after="0" w:line="181"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We are also party to a termination agreement with MonoSol that may limit the value of any sale, license or commercialization of KP415. Under this termination agreement, MonoSol has the right to receive an amount equal to a percentage in the low teens of any value generated by KP415, and any product candidates arising therefrom, including royalty payments on any license of KP415, the sale of KP415 to a third party or the commercialization of KP415.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facility agreement with Deerfield Private Design Fund III, L.P. may inhibit our ability to enter into specified transactions, including any joint venture, partnership or any other profit sharing arrangement.</w:t>
      </w:r>
    </w:p>
    <w:p>
      <w:pPr>
        <w:spacing w:after="0" w:line="170"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Pursuant to our credit facility agreement with Deerfield Private Design Fund III, L.P., or Deerfield, dated June 2, 2014, or the Deerfield facility, we may not enter into specified transactions, including any joint venture, partnership or any other profit sharing arrangement, without the prior approval of Deerfield. Deerfield’s interests may not always coincide with our corporate interests or the interests of our other stockholders, and Deerfield may act in a manner with which you may not agree or that may not be in the best interests of our other stockholders. If Deerfield does not approve our entry into specified transactions, it could significantly delay or inhibit the commercialization of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trade secret protection or patent protection for our technology and product candidates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jc w:val="both"/>
        <w:ind w:firstLine="380"/>
        <w:spacing w:after="0" w:line="264" w:lineRule="auto"/>
        <w:rPr>
          <w:sz w:val="20"/>
          <w:szCs w:val="20"/>
          <w:color w:val="auto"/>
        </w:rPr>
      </w:pPr>
      <w:r>
        <w:rPr>
          <w:rFonts w:ascii="Arial" w:cs="Arial" w:eastAsia="Arial" w:hAnsi="Arial"/>
          <w:sz w:val="18"/>
          <w:szCs w:val="18"/>
          <w:color w:val="auto"/>
        </w:rPr>
        <w:t>Our success depends in large part on our ability to obtain and maintain trade secret protection of our LAT platform technology as well as patent protection in the United States and other countries with respect to our product candidates. We seek to protect our proprietary position by filing patent applications in the United States and abroad related to our product technology and product candidates.</w:t>
      </w:r>
    </w:p>
    <w:p>
      <w:pPr>
        <w:spacing w:after="0" w:line="18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7"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not published until 18 months after the filing date of such patent applications,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5" w:lineRule="exact"/>
        <w:rPr>
          <w:sz w:val="20"/>
          <w:szCs w:val="20"/>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25"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70"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both"/>
        <w:ind w:left="760" w:hanging="374"/>
        <w:spacing w:after="0" w:line="312"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assurance can be given that our patents would be declared by a court to be valid or enforceable or that a competitor’s technology or product would be found by a court to infringe our patents and our patents or patent applications may be challenged by third parties in patent litigation or in proceedings before the USPTO or its foreign counterparts, and may ultimately be declared invalid or unenforceable or narrowed in scope;</w:t>
      </w:r>
    </w:p>
    <w:p>
      <w:pPr>
        <w:spacing w:after="0" w:line="146" w:lineRule="exact"/>
        <w:rPr>
          <w:rFonts w:ascii="Arial" w:cs="Arial" w:eastAsia="Arial" w:hAnsi="Arial"/>
          <w:sz w:val="16"/>
          <w:szCs w:val="16"/>
          <w:color w:val="auto"/>
        </w:rPr>
      </w:pPr>
    </w:p>
    <w:p>
      <w:pPr>
        <w:jc w:val="both"/>
        <w:ind w:left="760" w:hanging="374"/>
        <w:spacing w:after="0" w:line="264"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dominating patents relevant to our product candidates of which we are not aware;</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70" w:lineRule="exact"/>
        <w:rPr>
          <w:rFonts w:ascii="Arial" w:cs="Arial" w:eastAsia="Arial" w:hAnsi="Arial"/>
          <w:sz w:val="18"/>
          <w:szCs w:val="18"/>
          <w:color w:val="auto"/>
        </w:rPr>
      </w:pPr>
    </w:p>
    <w:p>
      <w:pPr>
        <w:ind w:left="760" w:hanging="374"/>
        <w:spacing w:after="0" w:line="342"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23" w:lineRule="exact"/>
        <w:rPr>
          <w:rFonts w:ascii="Arial" w:cs="Arial" w:eastAsia="Arial" w:hAnsi="Arial"/>
          <w:sz w:val="16"/>
          <w:szCs w:val="16"/>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jc w:val="both"/>
        <w:ind w:right="20" w:firstLine="380"/>
        <w:spacing w:after="0" w:line="342"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24"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Further, a third party may misappropriate or reverse engineer our LAT platform technology, which could limit our ability to stop others from using or commercializing similar or identical technology and resultant product candidates, product technology or prodrugs, or limit the duration of the trade secret protection of our LAT platform technology.</w:t>
      </w:r>
    </w:p>
    <w:p>
      <w:pPr>
        <w:spacing w:after="0" w:line="18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nullity,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6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addition, the issuance of a patent is not conclusive as to its inventorship, ownership, scope,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both"/>
        <w:ind w:firstLine="380"/>
        <w:spacing w:after="0" w:line="255" w:lineRule="auto"/>
        <w:rPr>
          <w:sz w:val="20"/>
          <w:szCs w:val="20"/>
          <w:color w:val="auto"/>
        </w:rPr>
      </w:pPr>
      <w:r>
        <w:rPr>
          <w:rFonts w:ascii="Arial" w:cs="Arial" w:eastAsia="Arial" w:hAnsi="Arial"/>
          <w:sz w:val="18"/>
          <w:szCs w:val="18"/>
          <w:color w:val="auto"/>
        </w:rPr>
        <w:t>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For instance, the Leahy-Smith Act established the inter partes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8"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7"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0"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reduce the scope of our intellectual property due to third-party intellectual property claims.</w:t>
      </w:r>
    </w:p>
    <w:p>
      <w:pPr>
        <w:spacing w:after="0" w:line="225"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 third party files with the USPTO first and could become involved in proceedings before the USPTO to resolve disputes related to inventorship. We may also become involved in similar proceedings in other jurisdictions.</w:t>
      </w:r>
    </w:p>
    <w:p>
      <w:pPr>
        <w:spacing w:after="0" w:line="182"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 xml:space="preserve">Furthermore, recent changes in U.S. patent law under the Leahy-Smith Act allows for post-issuance challenges to U.S. patents, including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that can result in changes in scope or cancellation of patent claims.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93"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We have not yet solicited trademarks for our product candidates and have not yet begun the process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of applying to register trademarks for our product candidates. Once we select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93"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1"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Outside of the U.S. we cannot be certain that any country’s patent or trademark office will not implement new rules that could seriously affect how we draft, file, prosecute and maintain patents, trademarks and patent and trademark applications.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in order to save costs. We may be forced to abandon or return the rights to specific patents due to a lack of financial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we may not be successful in commercializing those product candidates in the United States, if and when they are approved.</w:t>
      </w:r>
    </w:p>
    <w:p>
      <w:pPr>
        <w:spacing w:after="0" w:line="17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We have not yet determined our commercialization strategy for KP201/APAP or any of our other product candidates.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38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5" w:lineRule="exact"/>
        <w:rPr>
          <w:sz w:val="20"/>
          <w:szCs w:val="20"/>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access government and commercial health plan formularies or secure preferred coverage and reimbursement levels;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48" w:lineRule="exact"/>
        <w:rPr>
          <w:rFonts w:ascii="Arial" w:cs="Arial" w:eastAsia="Arial" w:hAnsi="Arial"/>
          <w:sz w:val="16"/>
          <w:szCs w:val="16"/>
          <w:color w:val="auto"/>
        </w:rPr>
      </w:pPr>
    </w:p>
    <w:p>
      <w:pPr>
        <w:ind w:left="760" w:right="2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In addition, we may not be successful in entering into arrangements with third parties to sell, market and distribute our product candidates or may be unable to do so on terms that are favorable to us, including as a result of restrictions in the Deerfield facility. We likely will have little control over such third parties, and any of them may fail to devote the necessary resources and attention to sell and market our product candidates effectively. Further, we may be liable for conduct of third parties acting on our behalf, including failure to comply with legal requirements applicable to sales and marketing of our products. If we do not establish sales, marketing and distribution capabilities successfully, either on our own or in collaboration with third parties, we will not be successful in commercializing our product candidates.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they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If any of our product candidates receives marketing approval, they may nonetheless fail to gain sufficient market acceptance by physicians, patients, third-party payors and others in the medical community. If our product candidates do not achieve an adequate level of market acceptance, we may not generate significant product revenue and we may not become profitable. The degree of market acceptance of our product candidates, if approved for commercial sale, will depend on a number of factors, including:</w:t>
      </w:r>
    </w:p>
    <w:p>
      <w:pPr>
        <w:spacing w:after="0" w:line="187" w:lineRule="exact"/>
        <w:rPr>
          <w:sz w:val="20"/>
          <w:szCs w:val="20"/>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obtain abuse-deterrent claims in the labels for KP201/APAP and most of our other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steps that prescribers and dispensers must take, since most of our product candidates are controlled substances, as well as the perceived risks based upon their controlled substance status;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left="76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restrictions on the use, sale or distribution of our product candidates, including through REMS;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and these competitors may also be more successful than us in manufacturing and marketing their products.</w:t>
      </w:r>
    </w:p>
    <w:p>
      <w:pPr>
        <w:spacing w:after="0" w:line="188"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If approved, our abuse-deterrent opioid product candidates will face competition from commercially available branded and generic opioid drugs including hydrocodone, hydromorphone and oxycodone, fentanyl, morphine, oxymorphone and methadone, as well as other marketed non-opioid products for the treatment of pain, and potential competition from opioid and non-opioid products for the treatment of pain that are currently in clinical development. In addition, our product candidates will face competition from approved and abuse-deterrent labeled opioid drugs and potential competition from abuse-deterrent opioid drugs that are currently in clinical development. We may compete with multiple companies that have developed and are developing abuse-deterrent technologies that may be applied to a variety of drugs, including those being developed for the treatment of acute moderate to moderately severe pain as well as for other indications that we are pursuing or may pursue in the future. If approved, our abuse-deterrent opioid product candidates may face competition from opioid products or abuse-deterrent technologies from companies including Allergan plc, Acura Pharmaceuticals, Inc., Cara Therapeutics, Inc., Collegium Pharmaceutical, Inc., Depomed, Inc., DURECT Corporation, Egalet Corporation, Elite Pharmaceuticals, Inc., Endo International plc, Inspirion Delivery Technologies, LLC, Grünenthal Group, IntelliPharmaceutics International Inc., Mallinckrodt plc, Mylan Inc., Nektar Therapeutics, Pain Therapeutics, Inc., Pfizer Inc., Purdue Pharma L.P., Signature Pharmaceuticals, Teva Pharmaceutical Industries Ltd., Trevena Inc. and UCB S.A.</w:t>
      </w:r>
    </w:p>
    <w:p>
      <w:pPr>
        <w:spacing w:after="0" w:line="173"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If approved, KP201/APAP will compete against currently marketed, branded and generic, IR hydrocodone/APAP combination products indicated for the short-term management of acute pain. Some of these currently marketed products include AbbVie’s Vicodin, Allergan’s Norco, Shionogi’s Xodol and UCB Pharma’s Lortab, in addition to multiple other branded and generic hydrocodone/APAP combination products marketed by companies including Allergan plc, Endo International plc, and Mallinckrodt plc. In addition, if approved, KP201/APAP will face potential competition from any abuse-deterrent or other IR hydrocodone/APAP combination products for the treatment of acute moderate to moderately severe pain that are currently in or may enter into clinical development.</w:t>
      </w:r>
    </w:p>
    <w:p>
      <w:pPr>
        <w:spacing w:after="0" w:line="193"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If approved, KP415 will compete against currently marketed, branded and generic methylphenidate products for the treatment of ADHD. Some of these currently marketed products include Johnson &amp; Johnson’s Concerta, Novartis AG’s Ritalin, Ritalin LA, Focalin and Focalin XR, UCB S.A.’s Metadate CD, and Noven Pharmaceuticals’ Daytrana, in addition to multiple other branded and generic methylphenidate products marketed by companies including Allergan plc and Mallinckrodt plc. In addition, if approved, KP415 will face potential competition from any abuse-deterrent or other methylphenidate products for the treatment of ADHD that are currently in or which may enter into clinical development.</w:t>
      </w:r>
    </w:p>
    <w:p>
      <w:pPr>
        <w:spacing w:after="0" w:line="188"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If approved, KP511/ER will compete against currently marketed, branded and generic, IR and ER hydromorphone products approved for use in opioid-tolerant patients for the management of pain severe enough to require daily, around-the-clock, long-term opioid treatment and for which alternative treatment options are inadequate. Some of these currently marketed products include Purdue Pharma L.P.’s Dilaudid and Mallinckrodt plc’s Exalgo, in addition to multiple other branded and generic IR and ER hydromorphone products marketed by companies including Allergan plc, Mallinckrodt plc, Rhodes Pharmaceuticals L.P. and Roxanne Laboratories, Inc. In addition, if approved, KP511/ER will face potential competition from any abuse-deterrent or other IR and ER hydromorphone products for the treatment of pain that are currently in or which may enter into clinical development.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jc w:val="both"/>
        <w:ind w:firstLine="380"/>
        <w:spacing w:after="0" w:line="272" w:lineRule="auto"/>
        <w:rPr>
          <w:sz w:val="20"/>
          <w:szCs w:val="20"/>
          <w:color w:val="auto"/>
        </w:rPr>
      </w:pPr>
      <w:r>
        <w:rPr>
          <w:rFonts w:ascii="Arial" w:cs="Arial" w:eastAsia="Arial" w:hAnsi="Arial"/>
          <w:sz w:val="17"/>
          <w:szCs w:val="17"/>
          <w:color w:val="auto"/>
        </w:rPr>
        <w:t>If approved, KP606/IR will compete against currently marketed, branded and generic abuse-deterrent and other IR and ER oxycodone products approved for the management of moderate to severe pain where the use of an opioid analgesic is appropriate for use in opioid-tolerant patients for the treatment of acute pain and pain severe enough to require daily, around-the-clock, long-term opioid treatment and for which alternative treatment options are inadequate. Some of these currently marketed products include Purdue Pharma L.P.’s OxyContin and Mallinckrodt plc’s Roxicodone, in addition to multiple other branded and generic, abuse-deterrent and other, IR and ER oxycodone products marketed by companies including Allergan plc, Endo International plc, and Mallinckrodt plc. In addition, if approved, KP606/IR will face potential competition from any abuse-deterrent or other IR and ER oxycodone products that are currently in or which may enter into clinical development.</w:t>
      </w:r>
    </w:p>
    <w:p>
      <w:pPr>
        <w:spacing w:after="0" w:line="178"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If approved, KP746 will compete against currently marketed, branded and generic oxymorphone products for the management of moderate to severe pain where the use of an opioid analgesic is appropriate. Some of these currently marketed products include Endo International plc’s Opana ER, in addition to other generic oxymorphone products marketed by companies including CorePharma, LLC, Impax Laboratories Inc., Mallinckrodt Inc., Roxane Laboratories, Inc. and Teva Pharmaceuticals USA, Inc. In addition, if approved, KP746 will face potential competition from any abuse-deterrent and other IR and ER oxymorphone products that are currently in or which may enter into clinical development.</w:t>
      </w:r>
    </w:p>
    <w:p>
      <w:pPr>
        <w:spacing w:after="0" w:line="173"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We believe the key competitive factors that will affect the development and commercial success of our product candidates include their potential degree of abuse deterrence, onset of action, bioavailability, therapeutic efficacy, convenience of dosing, safety, tolerability and cost. 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abuse-deterrent or other products for the short-term management of acute pain, or for other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79"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1"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abuse deterrence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4"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w:t>
      </w:r>
    </w:p>
    <w:p>
      <w:pPr>
        <w:spacing w:after="0" w:line="188"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Consequently, our competitors may develop abuse-deterrent or other products for the treatment of pain or ADHD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either five-year FDA regulatory exclusivity as an NCE or three-year FDA regulatory exclusivity.</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w:t>
      </w:r>
    </w:p>
    <w:p>
      <w:pPr>
        <w:jc w:val="both"/>
        <w:ind w:firstLine="8"/>
        <w:spacing w:after="0" w:line="295" w:lineRule="auto"/>
        <w:tabs>
          <w:tab w:leader="none" w:pos="2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applications or ANDAs by delaying the submission or approval of the application, while three-year exclusivity precludes the approval of the application. We intend to seek NCE status for KP415, and we may seek NCE for other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81"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There is a risk that the FDA may disagree with any claim that we may make that KP415 or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abuse-deterrent mechanisms or may be able to obtain approval for similar products without an abuse-deterrent mechanism.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they may be subject to unfavorable pricing regulations, third-party coverage and reimbursement policies or healthcare reform initiatives.</w:t>
      </w:r>
    </w:p>
    <w:p>
      <w:pPr>
        <w:spacing w:after="0" w:line="170"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7"/>
          <w:szCs w:val="17"/>
          <w:color w:val="auto"/>
        </w:rPr>
        <w:t>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any product candidate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any product candidates for which marketing approval is obtained.</w:t>
      </w:r>
    </w:p>
    <w:p>
      <w:pPr>
        <w:spacing w:after="0" w:line="185"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7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the abuse-deterrent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7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48"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commercialize any prodrug products that we may develop. This includes the risk that our products may be misused. For example, we anticipate that, if approved, our products may carry boxed warnings regarding lethality if our oral tablets are prepared for injection and hepatotoxicity, as is commonly done by abusers of opioids. If we cannot successfully defend ourselves against claims that our product candidates or products caused injuries, we will incur substantial liabilities. Regardless of merit or eventual outcome, liability claims may result in:</w:t>
      </w:r>
    </w:p>
    <w:p>
      <w:pPr>
        <w:spacing w:after="0" w:line="173" w:lineRule="exact"/>
        <w:rPr>
          <w:sz w:val="20"/>
          <w:szCs w:val="20"/>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commercialize any prodrug products that we may develop.</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affect our business.</w:t>
      </w:r>
    </w:p>
    <w:p>
      <w:pPr>
        <w:spacing w:after="0" w:line="225"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170" w:lineRule="exact"/>
        <w:rPr>
          <w:sz w:val="20"/>
          <w:szCs w:val="20"/>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18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Any product candidate for which we obtain marketing approval will be subject to a comprehensive regulatory scheme, which includes the regulation of manufacturing processes, post-approval clinical data, labeling, advertising, marketing, distribution and promotional activities for such product, by the FDA and other regulatory authorities.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82"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w:t>
      </w:r>
    </w:p>
    <w:p>
      <w:pPr>
        <w:jc w:val="both"/>
        <w:spacing w:after="0" w:line="255" w:lineRule="auto"/>
        <w:rPr>
          <w:sz w:val="20"/>
          <w:szCs w:val="20"/>
          <w:color w:val="auto"/>
        </w:rPr>
      </w:pPr>
      <w:r>
        <w:rPr>
          <w:rFonts w:ascii="Arial" w:cs="Arial" w:eastAsia="Arial" w:hAnsi="Arial"/>
          <w:sz w:val="18"/>
          <w:szCs w:val="18"/>
          <w:color w:val="auto"/>
        </w:rPr>
        <w:t>medication guide, special training for prescribers and dispensers, and patient registries. If any of our product candidates receives marketing approval, the accompanying label may limit its approved uses, including more limited subject populations, than we request, and regulatory authorities may require that contraindications,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jc w:val="both"/>
        <w:spacing w:after="0" w:line="342" w:lineRule="auto"/>
        <w:rPr>
          <w:sz w:val="20"/>
          <w:szCs w:val="20"/>
          <w:color w:val="auto"/>
        </w:rPr>
      </w:pPr>
      <w:r>
        <w:rPr>
          <w:rFonts w:ascii="Arial" w:cs="Arial" w:eastAsia="Arial" w:hAnsi="Arial"/>
          <w:sz w:val="16"/>
          <w:szCs w:val="16"/>
          <w:color w:val="auto"/>
        </w:rPr>
        <w:t>warnings or precautions be included in the product labeling, including a black box warning, or may approve a product candidate with a label that does not include the labeling claims necessary or desirable for the successful commercialization of that product candidate, which could limit sales of the product.</w:t>
      </w:r>
    </w:p>
    <w:p>
      <w:pPr>
        <w:spacing w:after="0" w:line="124"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8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0" w:lineRule="exact"/>
        <w:rPr>
          <w:sz w:val="20"/>
          <w:szCs w:val="20"/>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warnings or otherwise restrict the product’s indicated use, label, or marketing;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left="760" w:hanging="374"/>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0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both"/>
        <w:spacing w:after="0" w:line="31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47"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67" w:lineRule="exact"/>
        <w:rPr>
          <w:sz w:val="20"/>
          <w:szCs w:val="20"/>
          <w:color w:val="auto"/>
        </w:rPr>
      </w:pPr>
    </w:p>
    <w:p>
      <w:pPr>
        <w:jc w:val="both"/>
        <w:ind w:left="760" w:hanging="374"/>
        <w:spacing w:after="0" w:line="279"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171" w:lineRule="exact"/>
        <w:rPr>
          <w:rFonts w:ascii="Arial" w:cs="Arial" w:eastAsia="Arial" w:hAnsi="Arial"/>
          <w:sz w:val="17"/>
          <w:szCs w:val="17"/>
          <w:color w:val="auto"/>
        </w:rPr>
      </w:pPr>
    </w:p>
    <w:p>
      <w:pPr>
        <w:jc w:val="both"/>
        <w:ind w:left="760" w:hanging="374"/>
        <w:spacing w:after="0" w:line="255"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federal civil and criminal false claims laws, including the federal False Claims Act, which impose criminal and civil penalties, including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civil False Claims Act, for violations of the Anti-Kickback Statute in connection with a claim for payment or for conduct constituting reckless disregard for the truth;</w:t>
      </w:r>
    </w:p>
    <w:p>
      <w:pPr>
        <w:spacing w:after="0" w:line="189"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rFonts w:ascii="Arial" w:cs="Arial" w:eastAsia="Arial" w:hAnsi="Arial"/>
          <w:sz w:val="18"/>
          <w:szCs w:val="18"/>
          <w:color w:val="auto"/>
        </w:rPr>
      </w:pPr>
    </w:p>
    <w:p>
      <w:pPr>
        <w:jc w:val="both"/>
        <w:ind w:left="760" w:hanging="374"/>
        <w:spacing w:after="0" w:line="273"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78" w:lineRule="exact"/>
        <w:rPr>
          <w:rFonts w:ascii="Arial" w:cs="Arial" w:eastAsia="Arial" w:hAnsi="Arial"/>
          <w:sz w:val="17"/>
          <w:szCs w:val="17"/>
          <w:color w:val="auto"/>
        </w:rPr>
      </w:pPr>
    </w:p>
    <w:p>
      <w:pPr>
        <w:jc w:val="both"/>
        <w:ind w:left="760" w:hanging="374"/>
        <w:spacing w:after="0" w:line="279"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1" w:lineRule="exact"/>
        <w:rPr>
          <w:rFonts w:ascii="Arial" w:cs="Arial" w:eastAsia="Arial" w:hAnsi="Arial"/>
          <w:sz w:val="17"/>
          <w:szCs w:val="17"/>
          <w:color w:val="auto"/>
        </w:rPr>
      </w:pPr>
    </w:p>
    <w:p>
      <w:pPr>
        <w:jc w:val="both"/>
        <w:ind w:left="760" w:hanging="374"/>
        <w:spacing w:after="0" w:line="297"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ACA, and its implementing regulations, which imposes new annual reporting requirements for certain manufacturers of drugs, devices, biologicals and medical supplies for which payment is available under Medicare, Medicaid or the Children’s Health Insurance Program, with certain exceptions, to annually report certain payments and transfers of value provided to physicians and teaching hospitals, or to entities or individuals at the request of, or designated on behalf of, the physicians and teaching hospitals, and to report annually certain ownership and investment interests held by physicians and their immediate family members; and</w:t>
      </w:r>
    </w:p>
    <w:p>
      <w:pPr>
        <w:spacing w:after="0" w:line="158"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comparable state and foreign laws, which may be broader in scope than the analogous federal laws and may differ from each other in significant ways.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both"/>
        <w:ind w:firstLine="380"/>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penalties and potential exclusion from participation in healthcare programs as a result of their non-compliance.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6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760" w:hanging="374"/>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65"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left="760" w:hanging="374"/>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9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There have been judicial and Congressional challenges to certain aspects of the ACA, and we expect there will be additional challenges and amendments to the ACA in the future. We continue to evaluate the effect that the ACA has on our business. Final regulations, guidance, amendments and judicial orders are anticipated in the near future and we will continue to assess the ACA’s impact on us as final regulations, guidance, amendments and judicial orders are issued.</w:t>
      </w:r>
    </w:p>
    <w:p>
      <w:pPr>
        <w:spacing w:after="0" w:line="187" w:lineRule="exact"/>
        <w:rPr>
          <w:sz w:val="20"/>
          <w:szCs w:val="20"/>
          <w:color w:val="auto"/>
        </w:rPr>
      </w:pPr>
    </w:p>
    <w:p>
      <w:pPr>
        <w:jc w:val="both"/>
        <w:ind w:right="20" w:firstLine="380"/>
        <w:spacing w:after="0" w:line="302"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54"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Legislative and regulatory proposals and enacted statutes have been made to expand post-approval requirements and restrict sales and promotional activities for drugs. For instance, the Drug Supply Chain Security Act imposes new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6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third parties on which we rely, are vulnerable to damage from computer viruses, unauthorized access, natural disasters, terrorism, war and telecommunication and electrical failures.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are highly dependent on the management, research and development, clinical, financial and business development expertise of Travis C. Mickle, Ph.D., our president and chief executive officer, Gordon K. Johnson, our chief business officer, Tracy Woody, our chief commercial officer, R. LaDuane Clifton, our chief financial officer, Christal M.M. Mickle, our vice president product development, Sven Guenther, Ph.D., our executive vice president research and development, and Christopher M. Lauderback, our vice president commercial operations, as well as the other members of our scientific and clinical teams. Although we have employment agreements with each of our executive officers, these agreements do not obligate them to continue working for our company and they may terminate their employment with us at any time. Dr. Mickle also has consulting obligations to Shire Pharmaceuticals, LLC in addition to his duties as our president and chief executive officer, which may limit his availability to us.</w:t>
      </w:r>
    </w:p>
    <w:p>
      <w:pPr>
        <w:spacing w:after="0" w:line="178"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As of December 31, 2015, we had 26 full-time employees. As our development progresses, we expect to experience significant growth in the number of our employees and the scope of our operations, particularly in the areas of research, drug development, regulatory affairs and, if any of our product candidates receives marketing approval, sales, marketing and distribution. To manage our anticipated future growth, we must continue to implement and improve our managerial, operational and financial systems, expand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both"/>
        <w:spacing w:after="0" w:line="279" w:lineRule="auto"/>
        <w:rPr>
          <w:sz w:val="20"/>
          <w:szCs w:val="20"/>
          <w:color w:val="auto"/>
        </w:rPr>
      </w:pPr>
      <w:r>
        <w:rPr>
          <w:rFonts w:ascii="Arial" w:cs="Arial" w:eastAsia="Arial" w:hAnsi="Arial"/>
          <w:sz w:val="17"/>
          <w:szCs w:val="17"/>
          <w:color w:val="auto"/>
        </w:rPr>
        <w:t>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develop and you may not be able to resell your shares of our common stock for a profit, if at all.</w:t>
      </w:r>
    </w:p>
    <w:p>
      <w:pPr>
        <w:spacing w:after="0" w:line="26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Prior to our initial public offering, there had been no public market for our common stock. An active trading market for our shares may never develop or be sustained. If an active market for our common stock does not develop or is not sustained, it may be difficult for you to sell our shares at an attractive price or at all.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Our stock price has been, and is likely to continue to be, volatile. Since shares of our common stock were sold in our initial public offering in April 2015 at a price of $11.00 per share, our stock price has ranged from $10.16 to $26.15 through March 11, 2016.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88" w:lineRule="exact"/>
        <w:rPr>
          <w:sz w:val="20"/>
          <w:szCs w:val="20"/>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pharmaceutical industry;</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Further, companies listed on The NASDAQ Global Market, and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or our business, our market and our competitors. We do not have any control over these analysts. If one or more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outstanding warrants are entitled to certain anti-dilution protections which, if triggered, may cause substantial dilution to your investment.</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As of December 31, 2015, we had outstanding immediately exercisable warrants to purchase 266,179 shares of our common stock at a weighted average exercise price of $5.67 per share that include anti-dilution provisions pursuant to which the exercise price of such warrants will be adjusted downward if we issue any shares of our common stock or any securities convertible into our common stock at a price per share or with an exercise or conversion price less than the exercise price of such warrants. Upon such an event, the exercise price of these warrants will be automatically adjusted to equal the price per share paid for, the conversion price of or the exercise price of such securities, as applicable, and the number of shares of common stock issuable upon exercise of each warrant will be proportionately increased.</w:t>
      </w:r>
    </w:p>
    <w:p>
      <w:pPr>
        <w:spacing w:after="0" w:line="193"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Additionally, in June 2014, we issued to Deerfield a warrant to purchase 14,423,076 shares of Series D redeemable convertible preferred stock at an exercise price of $0.78 per share, which is exercisable until June 2, 2024, or the Deerfield Warrant. Upon completion of our initial public offering, the Deerfield Warrant automatically converted into a warrant to purchase 1,923,077 shares of our common stock at an exercise price of $5.85 per share. The Deerfield Warrant includes an exercise price protection provision, pursuant to which the exercise price of the warrant will be adjusted downward on a broad-based weighted-average basis if we issue or sell any shares of common stock, convertible securities, warrants or options at a sale or exercise price per share less than the greater of the warrant’s exercise price or the closing sale price of our common stock as reported on The NASDAQ Global Market on the last trading date immediately prior to such issuance or, in the case of a firm commitment underwritten offering, on the date of execution of the underwriting agreement between us and the underwriters for such offering. Each time we borrow a tranche under the Deerfield facility, we are obligated to issue to Deerfield a warrant with substantially the same terms and conditions.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equity and debt securities could result in additional dilution to our stockholders.</w:t>
      </w:r>
    </w:p>
    <w:p>
      <w:pPr>
        <w:spacing w:after="0" w:line="225"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We expect that we will need significant additional capital in the future to fund our planned operations, including to complete potential clinical trials for our product candidates. To raise capital, we may sell common stock, convertible securities or other equity securities in one or more transactions at prices and in a manner we determine from time to time. We may also borrow additional tranches under the Deerfield facility if the necessary conditions are satisfied. Each time we borrow a tranche under the Deerfield facility, we will simultaneously issue to Deerfield a warrant exercisable for a specified number of shares of our common stock. If we exercise our option to borrow the second tranche under the Deerfield facility, we will issue to Deerfield a warrant to purchase 1,282,052 shares of our common stock at an initial exercise price of $5.85 per share. Similarly, if we exercise our option to borrow the third and fourth tranches, in each instance, we will issue to Deerfield a warrant exercisable for the number of shares of our common stock equal to 60% of the principal amount of such disbursement divided by 115% of the volume weighted average sales price of our common stock for the 20 consecutive trading days immediately prior to the date of such disbursement with an exercise price per share equal to 115% of such weighted average sales price. Each of these future Deerfield warrants, if issued, will be dilutive to your ownership interest.</w:t>
      </w:r>
    </w:p>
    <w:p>
      <w:pPr>
        <w:spacing w:after="0" w:line="178"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Additionally, we previously issued to Deerfield a secured convertible note, or the Deerfield Note, in the principal amount of $10.0 million. The Deerfield Note bears interest at 9.75% per annum. Deerfield may convert all or any portion of the outstanding principal and any accrued but unpaid interest on the Deerfield Note into shares of our common stock at a conversion price of $5.85 per share. According to the terms of the Deerfield Note, in no event may Deerfield convert the Deerfield Note to the extent such conversion would result in Deerfield beneficially owning more than 9.985% of the then issued and outstanding shares of our common stock. This conversion limitation may not be waived and any purported conversion that is inconsistent with this conversion limitation will be null and void. This conversion limitation will not apply to any conversion made immediately prior to a change of control transaction. If Deerfield is only able to convert the Deerfield Note into a limited number of shares due to this conversion limitation, the Deerfield Note could subsequently become convertible into the remainder of the shares as a result of a variety of events. This could occur, for example, if we issue more shares or Deerfield sells some of its existing shares. Without regard to this conversion limitation, the Deerfield Note is convertible into 1,991,219 shares of our common stock, assuming a conversion date of December 31, 2015. The conversion price of the Deerfield Note will be adjusted downward if we issue or sell any shares of common stock, convertible securities, warrants or options at a sale or exercise price per share less than the greater of the Deerfield Note’s conversion price or the closing sale price of our common stock as reported on The NASDAQ Global Market on the last trading date immediately prior to such issuance, or, in the case of a firm commitment underwritten offering, on the date of execution of the underwriting agreement between us and the underwriters for such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both"/>
        <w:ind w:firstLine="380"/>
        <w:spacing w:after="0" w:line="271" w:lineRule="auto"/>
        <w:rPr>
          <w:sz w:val="20"/>
          <w:szCs w:val="20"/>
          <w:color w:val="auto"/>
        </w:rPr>
      </w:pPr>
      <w:r>
        <w:rPr>
          <w:rFonts w:ascii="Arial" w:cs="Arial" w:eastAsia="Arial" w:hAnsi="Arial"/>
          <w:sz w:val="17"/>
          <w:szCs w:val="17"/>
          <w:color w:val="auto"/>
        </w:rPr>
        <w:t>Additionally, in February 2016, we issued the 2021 Notes. The 2021 Notes are convertible at an initial conversion rate of 58.4454 shares of our common stock per $1,000 principal amount of the 2021 Notes, subject to adjustment under the indenture governing the 2021 Notes, which is equal to an initial conversion price of approximately $17.11 per share of our common stock. Upon conversion, the 2021 Notes will be settled in shares of our common stock, together with a cash payment in lieu of delivering any fractional shares.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2021 Notes in connection with such a corporate event in certain circumstances. Holders who convert on or after the date that is one year after the last date of original issuance of the 2021 Notes may also be entitled to receive, under certain circumstances, an interest make-whole payment payable in shares of common stock.</w:t>
      </w:r>
    </w:p>
    <w:p>
      <w:pPr>
        <w:spacing w:after="0" w:line="179"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If Deerfield or the holders of the 2021 Notes elect to convert the Deerfield Note or the 2021 Notes, or in the event that the Deerfield Note automatically converts pursuant to its terms into shares of our common stock, your ownership interest will be diluted and the market price of our common stock may be materially and adversely effected.</w:t>
      </w:r>
    </w:p>
    <w:p>
      <w:pPr>
        <w:spacing w:after="0" w:line="18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our stockholders may experience additional dilution, which could cause our stock price to fall.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substantial indebtedness, and the conditions we must satisfy in order to make further draws on our credit facility, may limit cash flow available to invest in the ongoing needs of our business.</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June 2014, we entered into the Deerfield facility, pursuant to which Deerfield agreed to loan to us up to $60.0 million, subject to specified conditions. In June 2014, we drew down $25.0 million against the facility. Under the terms of the Deerfield facility, Deerfield is obligated to provide three additional tranches in the principal amounts of $10.0 million, $12.5 million and $12.5 million, respectively, upon our request and after the satisfaction of specified conditions, including the FDA’s acceptance of an NDA for KP201/APAP and, for the final two tranches, the subsequent approval for the commercial sale thereof. If these conditions do not occur, we may not be able to borrow any further tranches under the Deerfield facility, which would limit our cash flow and our ability to invest in the ongoing needs of our business.</w:t>
      </w:r>
    </w:p>
    <w:p>
      <w:pPr>
        <w:spacing w:after="0" w:line="193"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All loans issued under the Deerfield facility bear interest at 9.75% per annum. Interest accrued on outstanding debt under the Deerfield facility is due quarterly in arrears. Upon notice to Deerfield, we may choose to have one or more of the first eight of such scheduled interest payments added to the outstanding principal amount of the debt issued under the Deerfield facility, provided that all such interest will be due on July 1, 2016. We must repay one-third of the outstanding principal amount of all debt issued under the Deerfield facility on the fourth and fifth anniversaries of the Deerfield facility. We are then obligated to repay the balance of the outstanding principal amount on February 14, 2020. We used approximately $18.6 million of the net proceeds from the offering of our 2021 Notes to repay in full the $15.0 million original principal amount on the term note issued under Deerfield facility plus all accrued but unpaid interest on the term note, a make whole interest payment on the term note and a prepayment premium on the term note. If we are required to pay additional outstanding amounts due under the Deerfield facility prior to maturity or otherwise incur unanticipated monetary obligations under the Deerfield facility, our cash flow available to invest in the ongoing needs of our business may be limited.</w:t>
      </w:r>
    </w:p>
    <w:p>
      <w:pPr>
        <w:spacing w:after="0" w:line="182"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In February 2016, we issued the 2021 Notes. Our ability to make payments on, and to refinance, the 2021 Notes, and to fund planned capital expenditures, sales and marketing efforts, research and development efforts, working capital and other general corporate purposes depends on our ability to generate cash in the future. This, to a certain extent, is subject to general economic, financial, competitive, legislative, regulatory and other factors, some of which are beyond our control. If we do not ever generate sufficient cash flow from operations or if future borrowings are not available to us in an amount sufficient to repay our indebtedness, including any amounts due under the 2021 Notes at their maturity, or to fund our liquidity needs, we may be forced to refinance all or a portion of the 2021 Notes, on or before the maturity thereof, sell assets, reduce or delay capital expenditures, seek to raise additional capital or take other similar actions. We may not be able to affect any of these actions on commercially reasonable terms or at all. Our ability to refinance our indebtedness will depend on our financial condition at the time, the restrictions in the instruments governing our present and potential future indebtedness and other factors, including market conditions. In addition, in the event of a default with respect to the 2021 Notes, the holders of the 2021 Notes and/or the trustee under the indenture governing the 2021 Notes may accelerate the payment of our obligations under 2021 Notes, which could have a material adverse effect on our business, financial condition and results of operations. A default under the indenture governing the 2021 Notes could also lead to a default under agreements governing future indebtedness, which could also have a material adverse effect on our business, financial condition and results of operations. Our inability to generate sufficient cash flow to satisfy our debt service obligations, or to refinance or restructure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ind w:right="20"/>
        <w:spacing w:after="0" w:line="277" w:lineRule="auto"/>
        <w:rPr>
          <w:sz w:val="20"/>
          <w:szCs w:val="20"/>
          <w:color w:val="auto"/>
        </w:rPr>
      </w:pPr>
      <w:r>
        <w:rPr>
          <w:rFonts w:ascii="Arial" w:cs="Arial" w:eastAsia="Arial" w:hAnsi="Arial"/>
          <w:sz w:val="18"/>
          <w:szCs w:val="18"/>
          <w:color w:val="auto"/>
        </w:rPr>
        <w:t>our obligations on commercially reasonable terms or at all, would likely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Despite our current debt levels, we may still incur substantially more debt or take other actions which would intensify the risks discussed above.</w:t>
      </w:r>
    </w:p>
    <w:p>
      <w:pPr>
        <w:spacing w:after="0" w:line="248"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Despite our current debt levels, we and our future subsidiaries may be able to incur substantial additional debt in the future, subject to the restrictions contained in our debt instruments, some of which may be secured debt. We are not restricted under the terms of the indenture governing the 2021 Notes from incurring additional debt, securing existing or future debt, recapitalizing our debt or taking a number of other actions that are not limited by the terms of the indenture governing the 2021 Notes that could have the effect of diminishing our ability to make payments on the notes when due. The Deerfield facility restricts our ability to incur additional indebtedness, including secured indebtedness, subject to certain exceptions, but if the facility matures or is repaid, we may not be subject to such restrictions under the terms of any subsequent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2021 Notes could have a material effect on our reported financial results.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may be required to account for certain features of the 2021 Notes as one or more embedded derivatives, which could require mark-to-market accounting treatment and result in the requirement to record gain or loss on a quarterly basis with regards to the mark-to-market value of that feature. Such accounting treatment could have a material impact on, and could potentially result in significant volatility in, our quarterly results of operations. Additionally, certain features of the 2021 Notes may result in the yield on the 2021 Notes not being deductible by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1"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Certain holders of shares of our common stock and shares of our common stock issuable upon the exercise of outstanding warrants, including Deerfield,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1"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73" w:lineRule="exact"/>
        <w:rPr>
          <w:sz w:val="20"/>
          <w:szCs w:val="20"/>
          <w:color w:val="auto"/>
        </w:rPr>
      </w:pPr>
    </w:p>
    <w:p>
      <w:pPr>
        <w:ind w:left="760" w:hanging="374"/>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preventing the ability of our stockholders to call and bring business before special meetings and to take action by written consent in lieu of a meeting;</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5620" w:right="60" w:hanging="5234"/>
        <w:spacing w:after="0" w:line="528" w:lineRule="auto"/>
        <w:tabs>
          <w:tab w:leader="none" w:pos="7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permitting the board of directors to issue up to 10,000,000 shares of preferred stock with any rights, preferences and privileges they may designate;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left="760" w:hanging="374"/>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8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In addition, the provisions of our termination agreement with MonoSol and our agreements with Deerfield and the holders of our 2021 Notes may discourage, delay or prevent a change in control of our company. For example, if we enter into a merger, an asset sale or any other change of control transaction, then MonoSol will be entitled to a percentage in the low teens of the price being paid to us and our stockholders in such transaction which is attributable to the value of KP415. Pursuant to the Deerfield facility, we may not enter into any major transaction without the prior approval of Deerfield, including a merger, asset sale or change of control transaction, and Deerfield has the option to demand repayment of all outstanding principal, and any unpaid interest accrued thereon, of all notes previously issued under the Deerfield facility immediately prior to consummation of such event. Further, under each warrant issued pursuant to the Deerfield facility, Deerfield has the right to demand that we redeem the warrant for a cash amount equal to the Black-Scholes value of a portion of the warrant upon the occurrence of specified events, including a merger, an asset sale or any other change of control transaction. Furthermore, the indenture governing the 2021 Notes requires us to repurchase the 2021 Notes for cash if we undergo certain fundamental changes. A takeover of us may trigger the requirement that we repurchase the 2021 Notes, which could make it more costly for a potential acquirer to engage in a business combination transaction with us.</w:t>
      </w:r>
    </w:p>
    <w:p>
      <w:pPr>
        <w:spacing w:after="0" w:line="183"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certificate of incorporation or our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to be inapplicable or unenforceable in an action, we may incur additional costs associated with resolving such action in other jurisdictions.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are an “emerging growth company” as defined in the JOBS Act and we take advantage of some of the exemptions from reporting requirements that are applicable to other public companies that are not emerging growth companies, including:</w:t>
      </w:r>
    </w:p>
    <w:p>
      <w:pPr>
        <w:spacing w:after="0" w:line="170" w:lineRule="exact"/>
        <w:rPr>
          <w:sz w:val="20"/>
          <w:szCs w:val="20"/>
          <w:color w:val="auto"/>
        </w:rPr>
      </w:pPr>
    </w:p>
    <w:p>
      <w:pPr>
        <w:ind w:left="760" w:hanging="374"/>
        <w:spacing w:after="0"/>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36" w:lineRule="exact"/>
        <w:rPr>
          <w:rFonts w:ascii="Arial" w:cs="Arial" w:eastAsia="Arial" w:hAnsi="Arial"/>
          <w:sz w:val="17"/>
          <w:szCs w:val="17"/>
          <w:color w:val="auto"/>
        </w:rPr>
      </w:pPr>
    </w:p>
    <w:p>
      <w:pPr>
        <w:ind w:left="760" w:hanging="374"/>
        <w:spacing w:after="0" w:line="342"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ind w:left="760" w:hanging="374"/>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9"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7"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As of December 31, 2015, we had federal net operating loss carryforwards of approximately $62.4 million, due to prior period losses, which if not utilized will begin to expire in 2027. These net operating loss carryforwards could expire unused and be unavailable to offset future income tax liabilities, which could adversely affect our profitability. In addition, under Section 382 of the Internal Revenue Code of 1986, as amended,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carryforwards are subject to an annual limitation under Section 382. In addition, we may experience ownership changes in the future as a result of subsequent shifts in our stock ownership, including as a result of our initial public offering,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the stock market on which our common stock is listed. The Sarbanes-Oxley Act requires, among other things, that we maintain effective disclosure controls and procedures and internal control over financial reporting. Commencing with our fiscal year ending December 31, 2016,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 This will require that we incur substantial additional professional fees and internal costs to expand our accounting and finance functions and that we expend significant management efforts. We have never been required to test our internal controls within a specified period, and, as a result, we may experience difficulty in meeting these reporting requirements in a timely manner.</w:t>
      </w:r>
    </w:p>
    <w:p>
      <w:pPr>
        <w:spacing w:after="0" w:line="192"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the SEC, or other regulatory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0"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the Deerfield facility, and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which we anticipate could be between $1.0 million and $2.0 million annually, that we did not incur as a private company.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9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We occupy 7,800 square feet of headquarters office and laboratory space in Coralville, Iowa under a lease that expires in September 2016 and we have the right to extend the term of the lease for an additional three years. We also maintain additional leased spaces in several locations, including Celebration, Florida; Durham, North Carolina and Blacksburg, Virginia. We believe that our facilities are adequate for our current needs.</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In January 2016 we settled our lawsuit against DeWaay Financial Network, L.L.C., or DFN, a financial advisor. We instituted the lawsuit by filing a declaratory judgment action against DFN on September 13, 2013, in the Iowa District Court for Johnson County, Iowa. The lawsuit was subsequently transferred to the Iowa District Court for Polk County, Iowa.</w:t>
      </w:r>
    </w:p>
    <w:p>
      <w:pPr>
        <w:spacing w:after="0" w:line="181"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On June 6, 2011, we entered into an agreement with DFN, or the DFN agreement, pursuant to which we granted to DFN a purported right of first refusal to serve as our exclusive financial advisor for specified strategic transactions, including a sale of our company, private and public capital raising transactions, and joint ventures, licenses or similar transactions with respect to our product candidates. Pursuant to the DFN agreement we also granted a purported right to receive, subject to specified conditions including non-exercise of such right of first refusal, a cash fee equal to the greater of $250,000 and 1.5% of the total consideration received by us, our affiliates and our equity owners and related to any such strategic transaction, in each case, irrespective of whether any such strategic transaction occurred during or after the term of the DFN agreement.</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lawsuit, we sought a declaratory judgment finding invalid and unenforceable such purported right of first refusal or right to receive a cash fee related to any such strategic transaction. DFN filed an answer requesting that the court declare that such rights were valid and survive termination of the DFN agreement and counterclaims requesting that the court award damages to DFN, including a fee based upon the total consideration that we have received and in the future would receive under the Deerfield facility. Two former members of our board of directors joined the lawsuit as intervenors based on DFN’s purported assignment of its rights, or a portion thereof, under the DFN agreement to the intervenors. In September 2015, the court granted summary judgment in our favor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jc w:val="both"/>
        <w:spacing w:after="0" w:line="302" w:lineRule="auto"/>
        <w:rPr>
          <w:sz w:val="20"/>
          <w:szCs w:val="20"/>
          <w:color w:val="auto"/>
        </w:rPr>
      </w:pPr>
      <w:r>
        <w:rPr>
          <w:rFonts w:ascii="Arial" w:cs="Arial" w:eastAsia="Arial" w:hAnsi="Arial"/>
          <w:sz w:val="16"/>
          <w:szCs w:val="16"/>
          <w:color w:val="auto"/>
        </w:rPr>
        <w:t>with respect to our declaratory judgment action and DFN’s counterclaims and we separately entered into settlement agreements with each of the intervenors. DFN subsequently filed a notice of appeal of the court’s ruling with the Supreme Court of Iowa. On January 6, 2016, we entered into a settlement agreement and mutual release with DFN and Donald DeWaay, Jr. pursuant to which, among other things, DFN, agreed, in exchange for the consideration described therein, to dismiss with prejudice the appeal t. DFN’s appeal was subsequently dismissed by the Supreme Court of Iowa on January 7, 2016.</w:t>
      </w:r>
    </w:p>
    <w:p>
      <w:pPr>
        <w:spacing w:after="0" w:line="154"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PRICE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Our common stock has been listed on The NASDAQ Global Market under the symbol “KMPH” since April 16, 2015. Prior to that date, there was no public trading market for our common stock. Our initial public offering was priced at $11.00 per share on April 15, 2015. The following table sets forth for the periods indicated the high and low sales prices per share of our common stock as reported on The NASDAQ Global Market:</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r>
      <w:tr>
        <w:trPr>
          <w:trHeight w:val="223"/>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Second Quarter (beginning April 16,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19"/>
                <w:szCs w:val="19"/>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0" w:type="dxa"/>
            <w:vAlign w:val="bottom"/>
            <w:shd w:val="clear" w:color="auto" w:fill="CCEEFF"/>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As of March 11, 2016, we had 211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 The terms of the Deerfield facility limit our ability to pay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regarding securities authorized for issuance under equity compensation plans is included in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Between October 13, 2015 and February 18, 2016, we issued an aggregate of 24,224 shares of our common stock pursuant to the net-exercise provisions of outstanding warrants. We did not receive any cash or other consideration as the warrants were “net exercised” in full</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Between October 13, 2015 and February 10, 2016, we issued an aggregate of 76,074 shares of our common stock pursuant to the exercise of outstanding warrants for an aggregate cash purchase price of $355,843.79.</w:t>
      </w:r>
    </w:p>
    <w:p>
      <w:pPr>
        <w:spacing w:after="0" w:line="170"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offers, sales and issuances of the securities described above were exempt from registration under Section 4(a)(2) of the Securities Act, or, in the case of shares of common stock issued upon the net-exercise of outstanding warrants, were exempt from registration pursuant to Section 3(a)(9) of the Securities Act. For those securities issued pursuant to Section 4(a)(2) of the Securities Act, we reasonably believed that the recipients of these shares acquired the securities for investment only and not with a view to or for sale in connection with any distribution thereof and appropriate legends were affixed to the securities issued in these transactions. We also reasonably believed that such recipients were accredited investors as defined in Rule 501 promulgated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On April 21, 2015, we closed our initial public offering, in which we issued and sold 5,090,909 shares of common stock at a public offering price of $11.00 per share. Subsequently, on May 12, 2015, we sold an additional 763,636 shares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both"/>
        <w:spacing w:after="0" w:line="297" w:lineRule="auto"/>
        <w:rPr>
          <w:sz w:val="20"/>
          <w:szCs w:val="20"/>
          <w:color w:val="auto"/>
        </w:rPr>
      </w:pPr>
      <w:r>
        <w:rPr>
          <w:rFonts w:ascii="Arial" w:cs="Arial" w:eastAsia="Arial" w:hAnsi="Arial"/>
          <w:sz w:val="16"/>
          <w:szCs w:val="16"/>
          <w:color w:val="auto"/>
        </w:rPr>
        <w:t>pursuant to the underwriters’ option to purchase additional shares. In the aggregate, the gross proceeds of our initial public offering, including gross proceeds from the underwriters’ exercise of their option to purchase additional shares, were $64.4 million. All of the shares issued and sold in our initial public offering were registered under the Securities Act pursuant to a registration statement on Form S-1 (File No. 333-202660), which was declared effective by the SEC on April 15, 2015. Cowen and Company, LLC, RBC Capital Markets, LLC, Canaccord Genuity Inc. and Oppenheimer &amp; Co. Inc. acted as the underwriters. The offering commenced on April 15, 2015, and did not terminate before all of the securities registered in the registration statement were sold.</w:t>
      </w:r>
    </w:p>
    <w:p>
      <w:pPr>
        <w:spacing w:after="0" w:line="158"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net offering proceeds to us were $59.9 million, after deducting underwriting discounts and commissions totaling $4.5 million. In addition, offering expenses totaled $2.8 million. No offering expenses were paid directly or indirectly to any of our directors or officers (or their associates) or persons owning ten percent or more of any class of our equity securities or to any other affiliates. There has been no material change in the planned use of proceeds from our initial public offering as described in our prospectus dated April 15, 2015, and filed with the SEC on April 16, 2015, pursuant to Rule 424(b) of the Securities Act. Through December 31, 2015, $9.4 million of the net proceeds had been used to fund the development of KP201/APAP and our other product candidates and for working capital and other general corporate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The following shall not be deemed “soliciting material” or to be “filed” for purposes of Section 18 of the Exchange Act, or incorporated by reference into any of our other filings under the Exchange Act or the Securities Act, except to the extent we specifically incorporate it by reference into such filing.</w:t>
      </w:r>
    </w:p>
    <w:p>
      <w:pPr>
        <w:spacing w:after="0" w:line="147"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The following graph shows a comparison from April 16, 2015 (the date our common stock commenced trading on the NASDAQ Global Market) through December 31, 2015 of the cumulative total return for our common stock, the Nasdaq Composite Index, or NASDAQ Composite, and the Nasdaq Biotechnology Index, or NASDAQ Biotechnology. The graph assumes that $100 was invested at the market open on April 16, 2015 in our common stock, the NASDAQ Composite and the NASDAQ Biotechnology. The data for the NASDAQ Composite and the NASDAQ Biotechnology assumes reinvestments of dividends.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comparison in the following graph are based upon historical data and are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4931410" cy="2872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3141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following tables set forth our selected financial data for the periods indicated (in thousands, except for share and per share data). The following selected statement of operations data for the years ended December 31, 2015, 2014 and 2013, and the selected balance sheet data as of December 31, 2015 and 2014 are derived from our audited financial statements appearing elsewhere in this Annual Report on Form 10-K. The following selected balance sheet data as of December 31, 2013 is derived from our audited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both"/>
        <w:ind w:right="20"/>
        <w:spacing w:after="0" w:line="286" w:lineRule="auto"/>
        <w:rPr>
          <w:sz w:val="20"/>
          <w:szCs w:val="20"/>
          <w:color w:val="auto"/>
        </w:rPr>
      </w:pPr>
      <w:r>
        <w:rPr>
          <w:rFonts w:ascii="Arial" w:cs="Arial" w:eastAsia="Arial" w:hAnsi="Arial"/>
          <w:sz w:val="17"/>
          <w:szCs w:val="17"/>
          <w:color w:val="auto"/>
        </w:rPr>
        <w:t>financial statements not included in this Annual Report on Form 10-K. The data should be read together with “Management’s Discussion and Analysis of Financial Condition and Results of Operations” and in conjunction with the financial statements, related notes and other financial information included elsewhere in this Annual Report on Form 10-K. Our historical results are not necessarily indicative of the results to be expected in the future.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expenses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(8,034)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(54,638)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7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7,368,681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2,381,041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2,381,041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9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Convertible notes, net of discount (current and noncurrent)</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Term notes, net of discount (current and noncurrent)</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Derivative and warrant liability</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(48,508)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4940" w:type="dxa"/>
            <w:vAlign w:val="bottom"/>
          </w:tcPr>
          <w:p>
            <w:pPr>
              <w:spacing w:after="0"/>
              <w:rPr>
                <w:sz w:val="24"/>
                <w:szCs w:val="24"/>
                <w:color w:val="auto"/>
              </w:rPr>
            </w:pPr>
          </w:p>
        </w:tc>
        <w:tc>
          <w:tcPr>
            <w:tcW w:w="1720" w:type="dxa"/>
            <w:vAlign w:val="bottom"/>
          </w:tcPr>
          <w:p>
            <w:pPr>
              <w:jc w:val="right"/>
              <w:ind w:right="77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0" w:name="page81"/>
    <w:bookmarkEnd w:id="80"/>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We are a clinical-stage specialty pharmaceutical company engaged in the discovery and development of proprietary prodrugs that we believe will be improved versions of widely prescribed, approved drugs. We employ our LAT platform technology to create our prodrugs, which in some cases may be eligible for composition-of-matter patent protection. Our most advanced product candidate is KP201/APAP, which we are developing as an IR product candidate for the short-term management of acute pain. In December 2015, we submitted a 505(b)(2) NDA for KP201/APAP to the FDA. The FDA subsequently accepted this NDA for priority review in February 2016. The FDA has set a target action date for review of the NDA under PDUFA of June 9, 2016. We are also building a pipeline of additional prodrug product candidates that target large market opportunities in pain and ADHD. We own worldwide commercial rights for all of our product candidates, including KP201/APAP, except that Shire has a right of first refusal to acquire, license or commercialize KP415.</w:t>
      </w:r>
    </w:p>
    <w:p>
      <w:pPr>
        <w:spacing w:after="0" w:line="19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are a development stage company and have not generated any revenue. We have incurred losses since our inception and, as of December 31, 2015, had an accumulated deficit of $104.8 million. Our net losses for the years ended December 31, 2015, 2014 and 2013 were $54.7 million, $24.5 million and $5.2 million, respectively.</w:t>
      </w:r>
    </w:p>
    <w:p>
      <w:pPr>
        <w:spacing w:after="0" w:line="181"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those expenses and losses may fluctuate significantly from quarter-to-quarter and year-to-year. We anticipate that our expenses will increase substantially as we:</w:t>
      </w:r>
    </w:p>
    <w:p>
      <w:pPr>
        <w:spacing w:after="0" w:line="170" w:lineRule="exact"/>
        <w:rPr>
          <w:sz w:val="20"/>
          <w:szCs w:val="20"/>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regulatory approvals for KP201/APAP and for any other product candidates that successfully complete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other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potentially establish a commercialization infrastructure and scale up external manufacturing and distribution capabilities to commercialize any product candidates for which we may obtain regulatory approval;</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prodrug development and planned future commercialization efforts;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Our commercial revenue, if any, will be derived from sales of prodrug products that we do not expect to be commercially available for approximately 15 months,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or exercise our right to borrow additional tranches under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Deerfield facility, the terms of these securities or this debt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November 2009, we entered into a Supply Agreement with JMI pursuant to which JMI has agreed to supply us with all of the KP201 necessary for clinical trials and commercial sale for a price equal to JMI’s manufacturing cost and to provide process optimization and development services for KP201. In exchange, we issued shares of our common stock to JMI, provided that the commercial supply arrangement for KP201 would be exclusive to JMI in the United States and agreed to pay JMI royalties on the net sales of KP201/APAP, if approved by the FDA. The percentage royalty rate ranges from the high teens at low volumes to the mid-single digits at higher volumes.</w:t>
      </w:r>
    </w:p>
    <w:p>
      <w:pPr>
        <w:spacing w:after="0" w:line="188"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We are responsible for all costs of any KP201 manufactured during a specified validation process for KP201. After completion of the validation process, but prior to the commercial launch of KP201, JMI will manufacture batches of KP201 at a price to be negotiated. Failure to agree upon this pricing would result in JMI supplying these batches to us free of charge and we would pay JMI an additional royalty payment on such batches. The percentage royalty rate ranges from the low teens at low volumes to the low single digits at higher volumes and is additive to any minimum royalty we may owe JMI on such batch. After the commercial launch of KP201/APAP, JMI will manufacture and supply KP201 at a price equal to JMI’s fully allocated manufacturing cost.</w:t>
      </w:r>
    </w:p>
    <w:p>
      <w:pPr>
        <w:spacing w:after="0" w:line="15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must purchase all of our U.S. KP201 needs from JMI and JMI cannot supply KP201 to other companies. After the commercial launch of KP201, JMI is required to identify a secondary manufacturing site and qualify and validate that site for the production of KP201.</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term of the Supply Agreement extends as long as we hold a valid and enforceable patent for KP201 or until the tenth anniversary of KP201’s commercial launch, whichever date is later. Upon the expiration of such term, the agreement will automatically renew for a period of two years unless either party provides 12 months’ prior notice of its intent not to renew.</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Under our March 2012 asset purchase agreement with Shire, Shire has a right of first refusal to acquire, license or commercialize KP415.</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Under our March 2012 termination agreement with MonoSol, MonoSol has the right to receive an amount equal to a percentage in the low teens of any value generated by KP415, and any product candidates arising therefrom, including royalty payments on any license of KP415, the sale of KP415 to a third party, the commercialization of KP415 and the portion of any consideration that is attributable to the value of KP415 and paid to us or our stockholders in a change of control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380"/>
        <w:spacing w:after="0" w:line="308" w:lineRule="auto"/>
        <w:rPr>
          <w:sz w:val="20"/>
          <w:szCs w:val="20"/>
          <w:color w:val="auto"/>
        </w:rPr>
      </w:pPr>
      <w:r>
        <w:rPr>
          <w:rFonts w:ascii="Arial" w:cs="Arial" w:eastAsia="Arial" w:hAnsi="Arial"/>
          <w:sz w:val="17"/>
          <w:szCs w:val="17"/>
          <w:color w:val="auto"/>
        </w:rPr>
        <w:t>To date, we have not generated any revenue. We do not expect to generate revenue for at least 15 months. If we fail to complete the development of our product candidates in a timely manner or fail to obtain their regulatory approval, our ability to generate future revenue would be compromised.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classify our operating expenses into two categories: research and development and general and administrative expenses.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these two categories based on employee headcount and the nature of work performed by each employee.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87" w:lineRule="exact"/>
        <w:rPr>
          <w:sz w:val="20"/>
          <w:szCs w:val="20"/>
          <w:color w:val="auto"/>
        </w:rPr>
      </w:pPr>
    </w:p>
    <w:p>
      <w:pPr>
        <w:ind w:left="760" w:hanging="374"/>
        <w:spacing w:after="0" w:line="27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and any stock-based compensation, for our scientific personnel performing research and development activities;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paid to consultants and other third parties who support our product candidate development;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allocated facility-related costs and overhead.</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8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Prior to January 1, 2012, our research and development costs were split between two of our product candidates, KP106 and KP201/APAP. Early in 2012, we sold our rights to KP106, and for the year ended December 31, 2012 and all subsequent periods, most of our research and development expenses related to the development of our product candidate KP201/APAP. The following table summarizes our research and development expenses for the years ended December 31, 2015, 2014 and 2013 (in thousands):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46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CCEEFF"/>
            </w:tcBorders>
          </w:tcPr>
          <w:p>
            <w:pPr>
              <w:spacing w:after="0"/>
              <w:rPr>
                <w:sz w:val="14"/>
                <w:szCs w:val="14"/>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4"/>
              </w:rPr>
              <w:t>Outsourced development costs directly identified to programs: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KP201/APAP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7,342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9,049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KP415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KP511</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23"/>
        </w:trPr>
        <w:tc>
          <w:tcPr>
            <w:tcW w:w="4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directly identified to programs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60" w:type="dxa"/>
            <w:vAlign w:val="bottom"/>
            <w:tcBorders>
              <w:top w:val="single" w:sz="8" w:color="CCEEFF"/>
            </w:tcBorders>
            <w:shd w:val="clear" w:color="auto" w:fill="CCEEFF"/>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Costs not directly allocated to programs: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expenses including cash compensation,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benefits and share-based compensation</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60" w:type="dxa"/>
            <w:vAlign w:val="bottom"/>
            <w:shd w:val="clear" w:color="auto" w:fill="CCEEFF"/>
          </w:tcPr>
          <w:p>
            <w:pPr>
              <w:spacing w:after="0"/>
              <w:rPr>
                <w:sz w:val="20"/>
                <w:szCs w:val="20"/>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Facilities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9"/>
                <w:szCs w:val="19"/>
                <w:color w:val="auto"/>
              </w:rPr>
            </w:pPr>
          </w:p>
        </w:tc>
      </w:tr>
      <w:tr>
        <w:trPr>
          <w:trHeight w:val="223"/>
        </w:trPr>
        <w:tc>
          <w:tcPr>
            <w:tcW w:w="4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costs not directly allocated to programs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60" w:type="dxa"/>
            <w:vAlign w:val="bottom"/>
            <w:tcBorders>
              <w:bottom w:val="single" w:sz="8" w:color="CCEEFF"/>
            </w:tcBorders>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We plan to increase our research and development expense for the foreseeable future as we continue our efforts to commercialize, if approved, and further advance the development of our product candidates, subject to the availability of additional funding.</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successful commercialization, if approved, and development of product candidates is highly uncertain. At this time, we cannot reasonably estimate the nature, timing or costs required to commercialize, if approved, and complete the remaining development of any product candidates. This is due to the numerous risks and uncertainties associated with the development of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General and administrative expense consists primarily of salaries and personnel-related costs, including employee benefits and any stock-based compensation, for employees performing functions other than research and development. This includes personnel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jc w:val="both"/>
        <w:spacing w:after="0" w:line="264" w:lineRule="auto"/>
        <w:rPr>
          <w:sz w:val="20"/>
          <w:szCs w:val="20"/>
          <w:color w:val="auto"/>
        </w:rPr>
      </w:pPr>
      <w:r>
        <w:rPr>
          <w:rFonts w:ascii="Arial" w:cs="Arial" w:eastAsia="Arial" w:hAnsi="Arial"/>
          <w:sz w:val="18"/>
          <w:szCs w:val="18"/>
          <w:color w:val="auto"/>
        </w:rPr>
        <w:t>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81"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We expect that our general and administrative expense will increase as we continue to operate as a public reporting company and continue to develop and commercialize KP201/APAP, if approved, and our other product candidates. We believe that these increases will likely include increased costs for director and officer liability insurance, costs related to the hiring of additional personnel and increased fees for outside consultants, lawyers and accountants. We also expect to incur increased costs to comply with corporate governance, internal controls, investor relations, disclosure and similar requirements applicable to public reporting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9"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Other (expense) income consists primarily of non-cash costs associated with fair value adjustments to our derivative and warrant liability and amortization of debt issuance costs and debt discount to interest expense. Other (expense) income also includes interest expense incurred on our outstanding borrowings. Additionally, during the year ended December 31, 2014, we recognized a gain on extinguishment of debt upon the conversion of our 2013 convertible notes. These items are unrelated to our core business and thus are recognized as other (expense) income in our statements of operations.</w:t>
      </w:r>
    </w:p>
    <w:p>
      <w:pPr>
        <w:spacing w:after="0" w:line="154"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From 2008 through 2012, we issued warrants to purchase 554,454 shares of common stock to the placement agent in our private placement offerings of redeemable convertible preferred stock as payment for services. We accounted for the warrants issued in connection with the private placement offerings as a derivative liability, which is adjusted to fair value at each reporting period.</w:t>
      </w:r>
    </w:p>
    <w:p>
      <w:pPr>
        <w:spacing w:after="0" w:line="18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From June 2013 through October 2013, we issued $3.8 million of convertible notes together with warrants to purchase equity securities. The warrants allowed the holders to purchase shares of the same class and series of equity securities to be issued in specified future financings. In connection with the closing of the Deerfield facility in June 2014 described below, these warrants became warrants to purchase 1,079,453 shares of our Series D redeemable convertible preferred stock at a price of $0.78 per share. The fair value of the warrants at issuance was $0.4 million, and we recorded the warrant fair value as a debt discount. We concluded that the warrants qualified as a derivative liability and accordingly that the fair value of the warrants should be adjusted at each reporting period. We also concluded that embedded features in the convertible notes should be valued separately from the notes and adjusted to fair value at each reporting period. The amortization of the debt discount is recorded in interest expense and any change in the derivative and warrant liability is recorded in fair value adjustment.</w:t>
      </w:r>
    </w:p>
    <w:p>
      <w:pPr>
        <w:spacing w:after="0" w:line="179"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On June 2, 2014, we entered into a $60.0 million multi-tranche credit facility agreement with Deerfield. At the time we entered into the Deerfield facility, we borrowed the first tranche, which consisted of a $15.0 million term note and a $10.0 million senior secured convertible note. All borrowings under the Deerfield facility bear interest at 9.75% per annum. When we borrowed the first tranche, we issued to Deerfield a warrant to purchase 14,423,076 shares of Series D redeemable convertible preferred stock at an exercise price of $0.78 per share, which upon the completion of our initial public offering became exercisable for 1,923,077 shares of our common stock at an exercise price of $5.85 per share. This warrant is exercisable until June 2, 2024. The fair value of the warrant was accounted for as a debt discount and we are amortizing it over the stated term of the Deerfield facility. We concluded that the warrant qualified as a derivative liability and accordingly that the fair value of the warrant should be adjusted at each reporting period. We also concluded that an embedded feature in the warrant should be valued separately and adjusted to fair value at each reporting period. The amortization of debt issuance costs and debt discount is recorded in interest expense and the change in the derivative and warrant liability is recorded in fair value adjustment.</w:t>
      </w:r>
    </w:p>
    <w:p>
      <w:pPr>
        <w:spacing w:after="0" w:line="167"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In February 2016, we used approximately $18.6 million of the net proceeds from the offering of our 2021 Notes to repay in full the $15.0 million original principal amount on the term note issued under Deerfield facility plus all accrued but unpaid interest on the term note, a make whole interest payment on the term note and a prepayment premium on the term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29" w:lineRule="exact"/>
        <w:rPr>
          <w:sz w:val="20"/>
          <w:szCs w:val="20"/>
          <w:color w:val="auto"/>
        </w:rPr>
      </w:pPr>
    </w:p>
    <w:p>
      <w:pPr>
        <w:jc w:val="both"/>
        <w:ind w:right="20" w:firstLine="380"/>
        <w:spacing w:after="0" w:line="308" w:lineRule="auto"/>
        <w:rPr>
          <w:sz w:val="20"/>
          <w:szCs w:val="20"/>
          <w:color w:val="auto"/>
        </w:rPr>
      </w:pPr>
      <w:r>
        <w:rPr>
          <w:rFonts w:ascii="Arial" w:cs="Arial" w:eastAsia="Arial" w:hAnsi="Arial"/>
          <w:sz w:val="17"/>
          <w:szCs w:val="17"/>
          <w:color w:val="auto"/>
        </w:rPr>
        <w:t>Income tax benefit consists of refundable state income tax credits. To date, we have not been required to pay U.S. federal or state income taxes because we have not generated taxable income. We have received state income tax credits related to our qualified research activities in Iowa.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Interest expense related to amortization of debt issuance costs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w:t>
            </w: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Interest expense on principal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adjustment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(20,053)</w:t>
            </w: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expenses</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Research and development expenses increased by $2.0 million, from $11.9 million for the year ended December 31, 2014, to $13.9 million for the year ended December 31, 2015. This increase was primarily attributable to a $1.7 million increase in contracted third-party research and development spending on KP511 and KP415, which was offset by a decrease of $1.7 million in contracted third-party research and development spending on KP201/APAP, as well as a $1.3 million increase in salaries and personnel-related costs due to increased headcount, a $0.2 million increase in miscellaneous research and development costs related to overhead and a $0.5 million increase in stock-based compensation expense related to the vesting of stock awards during the year ended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General and administrative expenses increased by $4.4 million, from $4.5 million for the year ended December 31, 2014, to $8.9 million for the year ended December 31, 2015. This increase was primarily attributable to a $1.9 million increase in salaries and personnel-related costs due to increased headcount, a $1.6 million increase in stock-based compensation expense related to the vesting of stock awards, a $0.2 million increase in miscellaneous general and administrative costs related to overhead, a $0.4 million increase in marketing expenses and a $0.3 million increase in accounting expenses and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w:t>
      </w:r>
    </w:p>
    <w:p>
      <w:pPr>
        <w:spacing w:after="0" w:line="229"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Other expenses increased by $23.8 million, from $8.0 million for the year ended December 31, 2014, to $31.8 million for the year ended December 31, 2015. This was primarily attributable to the $20.1 million increase in the fair value adjustment related to our derivative and warrant liability, and a $1.9 million decrease in the gain on extinguishment of debt recognized in the second quarter of 2014 related to the conversion of our 2013 convertible notes into shares of our Series D redeemable convertible preferred stock. In addition, there was a $0.8 million increase in the amortization of the debt issuance costs and debt discount and a $1.0 million increase in interest expense related to the Deerfield facility during the year ended December 31,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Comparison of the Years Ended December 31, 2014 and 2013 (in thousands)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11,725</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Interest expense related to amortization of debt issuance costs and</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(1,560)</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Interest expense on principal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(8,360)</w:t>
            </w: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expenses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Research and development expense increased by $8.5 million, from $3.4 million for the year ended December 31, 2013 to $11.9 million for the year ended December 31, 2014. This increase was primarily attributable to a $7.6 million increase in contracted third-party research and development spending on KP201/APAP.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General and administrative expense increased by $3.2 million, from $1.3 million for the year ended December 31, 2013 to $4.5 million for the year ended December 31, 2014. This increase was primarily attributable to a $1.2 million increase in legal expenses associated with the Deerfield facility and patent-related and general corporate legal fees. In addition, we experienced a $0.9 million increase in accounting expenses, primarily related to our initial public offering, a $0.5 million increase in professional fees associated with our increased marketing and recruiting efforts, and a $0.5 million increase in salaries and personnel-related costs due to increased headcount.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9"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Other expenses increased by $7.5 million, from $0.5 million for the year ended December 31, 2013 to $8.0 million for the year ended December 31, 2014. This change was primarily attributable to a $1.5 million increase in interest expense, offset by a $0.5 million decrease in amortization of debt discount. Additionally, we experienced an $8.4 million increase in the fair value adjustment related to our derivative and warrant liability. These increases were partially offset by a $1.9 million gain on extinguishment of debt recognized upon the conversion of our 2013 convertible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Through December 31, 2015, we have funded our research and development and operating activities primarily through the issuance of $29.6 million of debt, $23.1 million of private placements of redeemable convertible preferred stock and the sale of common stock in our initial public offering. As of December 31, 2015, we had cash and cash equivalents of $32.3 million and marketable securities of $19.0 million. We completed the initial closing of our initial public offering in April 2015, with a subsequent closing in May 2015, pursuant to which we received net proceeds, including net proceeds from the underwriters’ exercise of their option to purchase additional shares, of $59.9 million, after deducting underwriting discounts and commissions of $4.5 million. In addition, we incurred offering expenses totaling $2.8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6" w:name="page87"/>
    <w:bookmarkEnd w:id="86"/>
    <w:p>
      <w:pPr>
        <w:jc w:val="both"/>
        <w:ind w:firstLine="380"/>
        <w:spacing w:after="0" w:line="279" w:lineRule="auto"/>
        <w:rPr>
          <w:sz w:val="20"/>
          <w:szCs w:val="20"/>
          <w:color w:val="auto"/>
        </w:rPr>
      </w:pPr>
      <w:r>
        <w:rPr>
          <w:rFonts w:ascii="Arial" w:cs="Arial" w:eastAsia="Arial" w:hAnsi="Arial"/>
          <w:sz w:val="17"/>
          <w:szCs w:val="17"/>
          <w:color w:val="auto"/>
        </w:rPr>
        <w:t>We have incurred losses since our inception and, as of December 31, 2015, had an accumulated deficit of $104.8 million.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7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As of December 31, 2015, the outstanding principal balance under the Deerfield facility was $28.4 million. In February 2016, we used approximately $18.6 million of the net proceeds from the offering of our 2021 Notes to repay in full the $15.0 million original principal amount on the term note issued under Deerfield facility plus all accrued but unpaid interest on the term note, a make whole interest payment on the term note and a prepayment premium on the term note.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2014, we had cash and cash equivalents of $10.3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w:t>
      </w:r>
    </w:p>
    <w:p>
      <w:pPr>
        <w:spacing w:after="0" w:line="22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In June 2014, we entered into the $60.0 million multi-tranche credit facility with Deerfield. At the time we entered into the Deerfield facility, we borrowed the first tranche, which consisted of a $15.0 million term note and a $10.0 million senior secured convertible note. Under the terms of the Deerfield facility, Deerfield is obligated to provide three additional tranches in the principal amounts of $10.0 million, $12.5 million and $12.5 million, respectively, upon our request and after the satisfaction of specified conditions, including the FDA’s acceptance of our NDA for KP201/APAP and, for the final two tranches, the approval of KP201/APAP for the commercial sale in the United States. Deerfield’s obligation to provide such disbursements terminates on June 30, 2016. All loans issued under the Deerfield facility bear interest at 9.75% per annum. Interest accrued on outstanding debt under the Deerfield facility is due quarterly in arrears. Upon notice to Deerfield, we may choose to have one or more of the first eight of such scheduled interest payments added to the outstanding principal amount of the debt issued under the Deerfield facility, provided that all such interest will be due on July 1, 2016. We have elected this option on all six of the scheduled interest payments through December 31, 2015. We must repay one-third of the outstanding principal amount of all debt issued under the Deerfield facility on the fourth and fifth anniversaries of the Deerfield facility. We are then obligated to repay the balance of the outstanding principal amount on February 14, 2020.</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Prepayment of the outstanding balance is not allowed without written consent of Deerfield.</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Pursuant to the Deerfield facility, we issued to Deerfield 1,923,077 shares of our Series D redeemable convertible preferred stock as consideration for the loans provided to us thereunder. Upon closing of our initial public offering, these shares of Series D redeemable convertible preferred stock reclassified into 256,410 shares of our common stock.</w:t>
      </w:r>
    </w:p>
    <w:p>
      <w:pPr>
        <w:spacing w:after="0" w:line="18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also issued to Deerfield a warrant to purchase 14,423,076 shares of our Series D redeemable convertible preferred stock at an initial exercise price of $0.78 per share. Upon closing of our initial public offering, this warrant converted into a warrant exercisable for 1,923,077 shares of our common stock at an exercise price of $5.85 per share. If we exercise our option to borrow the second tranche, then we will issue to Deerfield a warrant to purchase 1,282,052 shares of our common stock at an initial exercise price of $5.85 per share. Similarly, if we borrow the third and fourth tranches, in each instance, we will issue to Deerfield a warrant exercisable for the number of shares equal to 60% of the principal amount of such disbursement divided by 115% of the volume weighted average sales price of our common stock for the 20 consecutive trading days immediately prior to the date of such disbursement with an exercise price per share equal to 115% of such weighted average sales price.</w:t>
      </w:r>
    </w:p>
    <w:p>
      <w:pPr>
        <w:spacing w:after="0" w:line="17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Pursuant to the Deerfield facility, we may not enter into specified transactions, including a debt financing in the aggregate value of $750,000 or more, a merger, an asset sale or any other change of control transaction or any joint venture, partnership or other profit sharing arrangement, without the prior approval of Deerfield. Additionally, if we were to enter into a major transaction, including a merger, consolidation, sale of substantially all of our assets or other change of control transaction, Deerfield would have the ability to demand that prior to consummation of such transaction we repay all outstanding principal and accrued interest of any notes issued under the Deerfield facility. Under each warrant issued pursuant to the Deerfield facility, Deerfield has the right to demand that we redeem the warrant for a cash amount equal to the Black-Scholes value of a portion of the warrant upon the occurrence of specified events, including a merger, an asset sale or any other change of control transaction.</w:t>
      </w:r>
    </w:p>
    <w:p>
      <w:pPr>
        <w:spacing w:after="0" w:line="178"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The Deerfield facility also includes high yield discount obligation protections which go into effect in June 2019. After this time, if at any interest payment date our outstanding indebtedness under the Deerfield facility would qualify as an “applicable high yield discount obligation” under the Internal Revenue Code, as amended, or the Code, then we are obligated to prepay in cash on each such date the amount necessary to avoid such classification.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2021 Notes</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In February 2016, we issued the 2021 Notes in aggregate principal amount of $86.25 million. The 2021 Notes were originally issued to Cowen and Company, LLC and RBC Capital Markets, LLC as representatives of the several initial purchasers, who subsequently resold the 2021 Notes to qualified institutional buyers in reliance on the exemption from registration provided by Rule 144A under the Securities Act.</w:t>
      </w:r>
    </w:p>
    <w:p>
      <w:pPr>
        <w:spacing w:after="0" w:line="181"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The 2021 Notes were issued pursuant to an indenture, dated as of February 9, 2016, or the indenture, between the Company and U.S. Bank National Association, as trustee. Interest on the 2021 Notes will be payable semi-annually in cash in arrears on February 1 and August 1 of each year, beginning on August 1, 2016, at a rate of 5.50% per year. The 2021 Notes mature on February 1, 2021 unless earlier converted or repurchased.</w:t>
      </w:r>
    </w:p>
    <w:p>
      <w:pPr>
        <w:spacing w:after="0" w:line="166"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The 2021 Notes are not redeemable prior to the maturity date, and no sinking fund is provided for the 2021 Notes. The 2021 Notes are convertible at an initial conversion rate of 58.4454 shares of our common stock per $1,000 principal amount of the 2021 Notes, subject to adjustment under the indenture, which is equal to an initial conversion price of approximately $17.11 per share of our common stock. Upon conversion, the 2021 Notes will be settled in shares of our common stock, together with a cash payment in lieu of delivering any fractional shares.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2021 Notes in connection with such a corporate event in certain circumstances.</w:t>
      </w:r>
    </w:p>
    <w:p>
      <w:pPr>
        <w:spacing w:after="0" w:line="16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If we undergo a “fundamental change” (as defined in the indenture), holders may require that we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Holders who convert on or after the date that is one year after the last date of original issuance of the 2021 Notes may also be entitled to receive, under certain circumstances, an interest make-whole payment payable in shares of our common stock.</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indenture includes customary terms and covenants, including certain events of default after which the 2021 Notes may be due and payable immediately.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(19,090)</w:t>
            </w: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38,464</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For the year ended December 31, 2015, net cash used in operating activities of $20.3 million consisted of a net loss of $54.7 million, primarily attributable to our spending on research and development, offset by $34.3 million in adjustments for non-cash items and increased by $0.1 million of cash provided by changes in working capital. Adjustments for non-cash items primarily consisted of changes in fair value of our derivative and warrant liabilities of $27.3 million, non-cash interest expense of $2.7 million, stock-based compensation expense of $2.4 million, and amortization of debt issuance costs and debt discount of $1.9 million.</w:t>
      </w:r>
    </w:p>
    <w:p>
      <w:pPr>
        <w:spacing w:after="0" w:line="18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For the year ended December 31, 2014, net cash used in operating activities of $14.7 million consisted of a net loss of $24.5 million, primarily attributable to our spending on research and development, offset by $8.3 million in adjustments for non-cash items and $1.5 million of cash provided by changes in working capital. Adjustments for non-cash items primarily consisted of changes in fair value of our derivative and warrant liabilities of $7.2 million, non-cash interest expense of $1.6 million, amortization of debt issuance costs and debt discount of $1.1 million and stock-based compensation expense of $0.2 million, partially offset by a $1.9 million gain on extinguishment of debt.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was $19.1 million, which was primarily attributable to the purchase of marketable securities of $19.0 million and property and equipment of $0.1 million.</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year ended December 31, 2014, net cash used in investing activities was $47,000, which was primarily attributable to the purchase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For the year ended December 31, 2015, net cash provided by financing activities was $61.5 million. Net cash consisted of (i) $59.9 million in proceeds, net of underwriter’s discounts, from our initial public offering, in which we issued and sold 5,090,909 shares of our common stock at a public offering price of $11.00 per share in April 2015, and subsequently sold an additional 763,636 shares of our common stock pursuant to the underwriters’ option to purchase additional shares in May 2015, and (ii) proceeds of $4.0 million from the issuance of our Series D-1 convertible redeemable preferred stock in February 2015 and $0.5 million of proceeds related to the exercise of stock options and warrants, offset by payment of deferred offering costs of $0.3 million and payment of debt and stock issuance costs of $2.5 million.</w:t>
      </w:r>
    </w:p>
    <w:p>
      <w:pPr>
        <w:spacing w:after="0" w:line="193"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For the year ended December 31, 2014, net cash provided by financing activities consisted of $25.0 million in proceeds from the issuance of a $15.0 million term note and a $10.0 million senior secured convertible promissory note under the Deerfield facility. These amounts were partially offset by $1.8 million in payments of deferred offering costs, $0.2 million in payments of debt issuance costs and $0.1 million in repayments of debt and capital leases.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2013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For the year ended December 31, 2014, net cash used in operating activities of $14.7 million consisted of a net loss of $24.5 million, primarily attributable to our spending on research and development, offset by $8.3 million in adjustments for non-cash items and $1.5 million of cash provided by changes in working capital. Adjustments for non-cash items primarily consisted of changes in fair value of our derivative and warrant liabilities of $7.2 million, non-cash interest expense of $1.6 million, amortization of debt issuance costs and debt discount of $1.1 million and stock-based compensation expense of $0.2 million, partially offset by a $1.9 million gain on extinguishment of debt.</w:t>
      </w:r>
    </w:p>
    <w:p>
      <w:pPr>
        <w:spacing w:after="0" w:line="18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For the year ended December 31, 2013, net cash used in operating activities of $4.3 million consisted of a net loss of $5.2 million, primarily attributable to our spending on research and development, offset by $0.8 million in adjustments for non-cash items and $0.1 million of cash provided by changes in working capital. Adjustments for non-cash items primarily consisted of amortization of debt issuance costs and debt discount of $1.6 million, stock-based compensation expense of $0.1 million, non-cash interest expense of $0.2 million and depreciation and amortization expense of $0.1 million, offset by changes in fair value of our derivative and warrant liabilities of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year ended December 31, 2014, net cash used in investing activities was $47,000, which was primarily attributable to the purchase of property and equipment.</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year ended December 31, 2013, net cash used in investing activities was $34,000, which was primarily attributable to the purchase of property and equipment.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For the year ended December 31, 2014, net cash provided by financing activities consisted of $25.0 million in proceeds from the issuance of a $15.0 million term note and a $10.0 million senior secured convertible promissory note under the Deerfield facility. These amounts were partially offset by $1.8 million in payments of deferred offering costs, $0.2 million in payments of debt issuance costs and $0.1 million in repayments of debt and capital leases.</w:t>
      </w:r>
    </w:p>
    <w:p>
      <w:pPr>
        <w:spacing w:after="0" w:line="147"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year ended December 31, 2013, net cash provided by financing activities consisted of $3.8 million in proceeds from the issuance of convertible notes, partially offset by $0.1 million in repayments of debt and capital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To date, we have not generated any revenue. We do not know when, or if, we will generate any revenue. We do not expect to generate significant revenue unless and until we obtain regulatory approval of and commercialize KP201/APAP. In addition, we expect our expenses to increase in connection with our ongoing development activities, particularly as we continue the research, development and clinical trials of, and seek regulatory approval for, product candidates. We also expect to incur additional costs associated with operating as a public company. In addition, subject to obtaining regulatory approval of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17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Based upon our current operating plan, we believe that our existing cash and cash equivalents, will enable us to fund our operating expenses and capital expenditure requirements through at least the next 21 months. We have based our estimates on assumptions that may prove to be wrong, and we may use our available capital resources sooner than we currently expect. Because of the numerous risks and uncertainties associated with the development and commercialization of product candidates, we are unable to estimate the amounts of increased capital outlays and operating expenditures necessary to complete the development of product candidates.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and other product development and commercialization activities;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to obtain abuse-deterrent claims in the labels for our product candidates, including KP201/APAP;</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jc w:val="both"/>
        <w:ind w:left="760" w:hanging="374"/>
        <w:spacing w:after="0" w:line="312"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marketing approval, which may be affected by market conditions, including obtaining coverage and adequate reimbursement of our product candidates from third-party payors, including government programs and managed care organizations, and competition within the therapeutic class to which our product candidates are assigned;</w:t>
      </w:r>
    </w:p>
    <w:p>
      <w:pPr>
        <w:spacing w:after="0" w:line="146"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Our commercial revenue, if any, will be derived from sales of prodrug products that we do not expect to be commercially available for at least 15 months, if at all. Accordingly, we will need to continue to rely on additional financing to achieve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jc w:val="both"/>
        <w:spacing w:after="0" w:line="272" w:lineRule="auto"/>
        <w:rPr>
          <w:sz w:val="20"/>
          <w:szCs w:val="20"/>
          <w:color w:val="auto"/>
        </w:rPr>
      </w:pPr>
      <w:r>
        <w:rPr>
          <w:rFonts w:ascii="Arial" w:cs="Arial" w:eastAsia="Arial" w:hAnsi="Arial"/>
          <w:sz w:val="17"/>
          <w:szCs w:val="17"/>
          <w:color w:val="auto"/>
        </w:rPr>
        <w:t>objectives. Adequate additional financing may not be available to us on acceptable terms, or at all. To the extent that we raise additional capital through the sale of equity or convertible debt securities, or exercise our right to borrow additional tranches under the Deerfield facility, the terms of these securities or this debt may restrict our ability to operate. The Deerfield facility includes, and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Our principal commitments consist of obligations under our outstanding debt obligations, non-cancelable leases for our office space and certain equipment, capital leases for various equipment and vendor contracts to provide research services. The following table summarizes these contractual obligations at December 31, 2015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Less Than</w:t>
            </w: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r>
      <w:tr>
        <w:trPr>
          <w:trHeight w:val="223"/>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8,333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payments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contractual obligations table does not include any potential royalty payments we may be required to make under our Supply Agreement because the amount and timing of when these payments will actually be made is uncertain and the payments are contingent upon the initiation and completion of future activities.</w:t>
      </w:r>
    </w:p>
    <w:p>
      <w:pPr>
        <w:spacing w:after="0" w:line="18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February 2016, we issued the 2021 Notes in aggregate principal amount of $86.25 million pursuant to the indenture. Interest on the 2021 Notes will be payable semi-annually in cash in arrears on February 1 and August 1 of each year, beginning on August 1, 2016, at a rate of 5.50% per year. The 2021 Notes mature on February 1, 2021 unless earlier converted or repurchased. The 2021 Notes are not redeemable prior to the maturity date, and no sinking fund is provided for the 2021 Notes. Upon conversion, the 2021 Notes will be settled in shares of our common stock, together with a cash payment in lieu of delivering any fractional shares.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2021 Notes in connection with such a corporate event in certain circumstances.</w:t>
      </w:r>
    </w:p>
    <w:p>
      <w:pPr>
        <w:spacing w:after="0" w:line="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If we undergo a “fundamental change” (as defined in the indenture), holders may require that we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1"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Holders who convert on or after the date that is one year after the last date of original issuance of the 2021 Notes may also be entitled to receive, under certain circumstances, an interest make-whole payment payable in shares of our common stock.</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used approximately $18.6 million of the net proceeds from the offering of our 2021 Notes to repay in full the $15.0 million original principal amount on the term note issued under Deerfield facility plus all accrued but unpaid interest on the term note, a make whole interest payment on the term note and a prepayment premium on the term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both"/>
        <w:spacing w:after="0" w:line="312" w:lineRule="auto"/>
        <w:rPr>
          <w:sz w:val="20"/>
          <w:szCs w:val="20"/>
          <w:color w:val="auto"/>
        </w:rPr>
      </w:pPr>
      <w:r>
        <w:rPr>
          <w:rFonts w:ascii="Arial" w:cs="Arial" w:eastAsia="Arial" w:hAnsi="Arial"/>
          <w:sz w:val="16"/>
          <w:szCs w:val="16"/>
          <w:color w:val="auto"/>
        </w:rPr>
        <w:t>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46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CCEEFF"/>
            </w:tcBorders>
          </w:tcPr>
          <w:p>
            <w:pPr>
              <w:spacing w:after="0"/>
              <w:rPr>
                <w:sz w:val="14"/>
                <w:szCs w:val="14"/>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tcPr>
          <w:p>
            <w:pPr>
              <w:spacing w:after="0"/>
              <w:rPr>
                <w:sz w:val="19"/>
                <w:szCs w:val="19"/>
                <w:color w:val="auto"/>
              </w:rPr>
            </w:pPr>
          </w:p>
        </w:tc>
      </w:tr>
      <w:tr>
        <w:trPr>
          <w:trHeight w:val="223"/>
        </w:trPr>
        <w:tc>
          <w:tcPr>
            <w:tcW w:w="46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87" w:lineRule="exact"/>
        <w:rPr>
          <w:sz w:val="20"/>
          <w:szCs w:val="20"/>
          <w:color w:val="auto"/>
        </w:rPr>
      </w:pPr>
    </w:p>
    <w:p>
      <w:pPr>
        <w:jc w:val="both"/>
        <w:ind w:left="760" w:hanging="374"/>
        <w:spacing w:after="0" w:line="25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have sufficient history to estimate the volatility of our common stock. We calculate expected volatility based on reported data for selected similar publicly traded companies for which the historical information is available. For the purpose of identifying peer companies, we consider characteristics such as industry, length of trading history, similar vesting terms and in-the-money option status. We plan to continue to use the guideline peer group volatility information until the historical volatility of our common stock is sufficient to measure expected volatility for future option grants;</w:t>
      </w:r>
    </w:p>
    <w:p>
      <w:pPr>
        <w:spacing w:after="0" w:line="188" w:lineRule="exact"/>
        <w:rPr>
          <w:rFonts w:ascii="Arial" w:cs="Arial" w:eastAsia="Arial" w:hAnsi="Arial"/>
          <w:sz w:val="18"/>
          <w:szCs w:val="18"/>
          <w:color w:val="auto"/>
        </w:rPr>
      </w:pPr>
    </w:p>
    <w:p>
      <w:pPr>
        <w:ind w:left="760" w:hanging="374"/>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assumed dividend yield is based on our expectation of not paying dividends for the foreseeable future;</w:t>
      </w:r>
    </w:p>
    <w:p>
      <w:pPr>
        <w:spacing w:after="0" w:line="225" w:lineRule="exact"/>
        <w:rPr>
          <w:rFonts w:ascii="Arial" w:cs="Arial" w:eastAsia="Arial" w:hAnsi="Arial"/>
          <w:sz w:val="18"/>
          <w:szCs w:val="18"/>
          <w:color w:val="auto"/>
        </w:rPr>
      </w:pPr>
    </w:p>
    <w:p>
      <w:pPr>
        <w:jc w:val="both"/>
        <w:ind w:left="760" w:hanging="374"/>
        <w:spacing w:after="0" w:line="25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188"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determine the risk-free interest rate by reference to implied yields available from U.S. Treasury securities with a remaining term equal to the expected life assumed at the date of grant;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estimate forfeitures based on our historical analysis of actual stock option forfeitures.</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We account for stock-based compensation arrangements with directors and consultants which contain only service conditions for vesting using a fair value approach. The fair value of these options is measured using the Black-Scholes option pricing model reflecting the same assumptions as applied to employee options in each of the reported periods, other than the expected life, which is assumed to be the remaining contractual life of the option. For director and consultant options subject to vesting, the compensation costs of these arrangements are subject to re-measurement over the vesting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ind w:left="380"/>
        <w:spacing w:after="0"/>
        <w:rPr>
          <w:sz w:val="20"/>
          <w:szCs w:val="20"/>
          <w:color w:val="auto"/>
        </w:rPr>
      </w:pPr>
      <w:r>
        <w:rPr>
          <w:rFonts w:ascii="Arial" w:cs="Arial" w:eastAsia="Arial" w:hAnsi="Arial"/>
          <w:sz w:val="17"/>
          <w:szCs w:val="17"/>
          <w:color w:val="auto"/>
        </w:rPr>
        <w:t>The following summarizes the assumptions used for estimating the fair value of stock options granted to employees for the periods indicated:</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0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6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CCEEFF"/>
            </w:tcBorders>
          </w:tcPr>
          <w:p>
            <w:pPr>
              <w:spacing w:after="0"/>
              <w:rPr>
                <w:sz w:val="14"/>
                <w:szCs w:val="14"/>
                <w:color w:val="auto"/>
              </w:rPr>
            </w:pP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 - 2.70%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0.52% - 2.80%</w:t>
            </w:r>
          </w:p>
        </w:tc>
        <w:tc>
          <w:tcPr>
            <w:tcW w:w="80" w:type="dxa"/>
            <w:vAlign w:val="bottom"/>
            <w:shd w:val="clear" w:color="auto" w:fill="CCEEFF"/>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tcPr>
          <w:p>
            <w:pPr>
              <w:jc w:val="right"/>
              <w:spacing w:after="0"/>
              <w:rPr>
                <w:sz w:val="20"/>
                <w:szCs w:val="20"/>
                <w:color w:val="auto"/>
              </w:rPr>
            </w:pPr>
            <w:r>
              <w:rPr>
                <w:rFonts w:ascii="Arial" w:cs="Arial" w:eastAsia="Arial" w:hAnsi="Arial"/>
                <w:sz w:val="18"/>
                <w:szCs w:val="18"/>
                <w:color w:val="auto"/>
              </w:rPr>
              <w:t>4.33</w:t>
            </w:r>
          </w:p>
        </w:tc>
        <w:tc>
          <w:tcPr>
            <w:tcW w:w="760" w:type="dxa"/>
            <w:vAlign w:val="bottom"/>
          </w:tcPr>
          <w:p>
            <w:pPr>
              <w:ind w:left="20"/>
              <w:spacing w:after="0"/>
              <w:rPr>
                <w:sz w:val="20"/>
                <w:szCs w:val="20"/>
                <w:color w:val="auto"/>
              </w:rPr>
            </w:pPr>
            <w:r>
              <w:rPr>
                <w:rFonts w:ascii="Arial" w:cs="Arial" w:eastAsia="Arial" w:hAnsi="Arial"/>
                <w:sz w:val="18"/>
                <w:szCs w:val="18"/>
                <w:color w:val="auto"/>
              </w:rPr>
              <w:t>- 6.25</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7.00 - 10.00</w:t>
            </w:r>
          </w:p>
        </w:tc>
        <w:tc>
          <w:tcPr>
            <w:tcW w:w="1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4.04 - 10.00</w:t>
            </w:r>
          </w:p>
        </w:tc>
        <w:tc>
          <w:tcPr>
            <w:tcW w:w="80" w:type="dxa"/>
            <w:vAlign w:val="bottom"/>
          </w:tcPr>
          <w:p>
            <w:pPr>
              <w:spacing w:after="0"/>
              <w:rPr>
                <w:sz w:val="19"/>
                <w:szCs w:val="19"/>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68.79%</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- 86.84%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86.00% - 95.00%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58.55% - 92.00%</w:t>
            </w:r>
          </w:p>
        </w:tc>
        <w:tc>
          <w:tcPr>
            <w:tcW w:w="80" w:type="dxa"/>
            <w:vAlign w:val="bottom"/>
            <w:shd w:val="clear" w:color="auto" w:fill="CCEEFF"/>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32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Based upon the stock price of $19.86 per share, which is the last sale price of our common stock reported on The NASDAQ Global Market as of December 31, 2015, the aggregate intrinsic value of outstanding options to purchase shares of our common stock as of December 31, 2015 and December 31, 2014 was $9.2 million and $5.7 million, respectively, of which $5.1 million as of December 31, 2015 and $2.6 million as of December 31, 2014 related to vested options and $4.1 million as of December 31, 2015 and $3.1 million as of December 31, 2014 related to unvested options.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Determination of Exercise Price of Stock Options and the Fair Value of Common Stock on Grant Dates Prior to Our Initial Public Offering</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by grant date the number of shares of common stock subject to stock options granted between January 1, 2013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March 2, 2015, as well as the associated per-share exercise price and the estimated fair value per share of our common stock on the grant date:</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Per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13, 2013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April 4, 2013</w:t>
            </w:r>
          </w:p>
        </w:tc>
        <w:tc>
          <w:tcPr>
            <w:tcW w:w="1060" w:type="dxa"/>
            <w:vAlign w:val="bottom"/>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January 1, 2014</w:t>
            </w:r>
          </w:p>
        </w:tc>
        <w:tc>
          <w:tcPr>
            <w:tcW w:w="1060" w:type="dxa"/>
            <w:vAlign w:val="bottom"/>
          </w:tcPr>
          <w:p>
            <w:pPr>
              <w:jc w:val="right"/>
              <w:spacing w:after="0"/>
              <w:rPr>
                <w:sz w:val="20"/>
                <w:szCs w:val="20"/>
                <w:color w:val="auto"/>
              </w:rPr>
            </w:pPr>
            <w:r>
              <w:rPr>
                <w:rFonts w:ascii="Arial" w:cs="Arial" w:eastAsia="Arial" w:hAnsi="Arial"/>
                <w:sz w:val="18"/>
                <w:szCs w:val="18"/>
                <w:color w:val="auto"/>
              </w:rPr>
              <w:t>14,664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 2014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June 9, 2014</w:t>
            </w:r>
          </w:p>
        </w:tc>
        <w:tc>
          <w:tcPr>
            <w:tcW w:w="106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18, 2014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July 9, 2014</w:t>
            </w:r>
          </w:p>
        </w:tc>
        <w:tc>
          <w:tcPr>
            <w:tcW w:w="1060" w:type="dxa"/>
            <w:vAlign w:val="bottom"/>
          </w:tcPr>
          <w:p>
            <w:pPr>
              <w:jc w:val="right"/>
              <w:spacing w:after="0"/>
              <w:rPr>
                <w:sz w:val="20"/>
                <w:szCs w:val="20"/>
                <w:color w:val="auto"/>
              </w:rPr>
            </w:pPr>
            <w:r>
              <w:rPr>
                <w:rFonts w:ascii="Arial" w:cs="Arial" w:eastAsia="Arial" w:hAnsi="Arial"/>
                <w:sz w:val="18"/>
                <w:szCs w:val="18"/>
                <w:color w:val="auto"/>
              </w:rPr>
              <w:t>77,199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 2015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March 2, 2015</w:t>
            </w:r>
          </w:p>
        </w:tc>
        <w:tc>
          <w:tcPr>
            <w:tcW w:w="1060" w:type="dxa"/>
            <w:vAlign w:val="bottom"/>
          </w:tcPr>
          <w:p>
            <w:pPr>
              <w:jc w:val="right"/>
              <w:spacing w:after="0"/>
              <w:rPr>
                <w:sz w:val="20"/>
                <w:szCs w:val="20"/>
                <w:color w:val="auto"/>
              </w:rPr>
            </w:pPr>
            <w:r>
              <w:rPr>
                <w:rFonts w:ascii="Arial" w:cs="Arial" w:eastAsia="Arial" w:hAnsi="Arial"/>
                <w:sz w:val="18"/>
                <w:szCs w:val="18"/>
                <w:color w:val="auto"/>
              </w:rPr>
              <w:t>145,199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0"/>
                <w:szCs w:val="20"/>
                <w:color w:val="auto"/>
              </w:rPr>
            </w:pPr>
          </w:p>
        </w:tc>
      </w:tr>
    </w:tbl>
    <w:p>
      <w:pPr>
        <w:spacing w:after="0" w:line="201"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In setting the exercise price of the stock options at each of the grant dates through July 9, 2014, management and the board of directors used the $5.85 per-share pricing of our latest private placement of Series C redeemable convertible preferred stock in 2012 without taking into consideration any of the rights and preferences of our redeemable convertible preferred stock over our common stock. Beginning with the January 20, 2015 grant date through the March 2, 2015 grant date, management and the board of directors considered a third-party valuation in determining the exercise price of the stock options.</w:t>
      </w:r>
    </w:p>
    <w:p>
      <w:pPr>
        <w:spacing w:after="0" w:line="154"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In the fall of 2014 we undertook third-party valuations of the fair value of our common stock as of July 10, 2013, December 31, 2013 and June 2, 2014 for financial reporting purposes. The estimated fair values per share of our common stock in the table above, as determined by the third-party valuations beginning with July 10, 2013 stock option grants, were used to measure the stock-based compensation expense for options granted during these periods.</w:t>
      </w:r>
    </w:p>
    <w:p>
      <w:pPr>
        <w:spacing w:after="0" w:line="147"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There is inherent uncertainty in these estimates and, if we had made different assumptions than those described, the fair value of the underlying common stock and amount of our stock-based compensation expense, net loss and net loss per share amounts would have differed.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Common Stock Valuation Methodology—Third-Party Valuations</w:t>
      </w:r>
    </w:p>
    <w:p>
      <w:pPr>
        <w:spacing w:after="0" w:line="225"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In estimating the fair value of our common stock at July 10, 2013, December 31, 2013, June 2, 2014 and December 31, 2014, given the absence of a public trading market for our common stock, and in accordance with the American Institute of Certified Public Accountants Practice Aid, Valuation of Privately-Held-Company Equity Securities Issued as Compensation, management and our third-party valuation specialists utilized the probability weighted expected return method, or PWERM, approach to allocate equity value to our common stock. The PWERM approach employs various market, income or cost approach calculations depending on the likelihood of various liquidation scenarios. For each of the various scenarios, an equity value is estimated and the rights and preferences for each class of stock are then considered to allocate the equity value to common stock. The common stock value is then multiplied by a discount factor reflecting the calculated discount rate and the timing of the event. Lastly, the common share value is multiplied by an estimated probability for each scenario. The probability and timing of each scenario are based on discussions between our board of directors and our management team. Under the PWERM, the value of our common stock was estimated based on four possible future events for our company:</w:t>
      </w:r>
    </w:p>
    <w:p>
      <w:pPr>
        <w:spacing w:after="0" w:line="167" w:lineRule="exact"/>
        <w:rPr>
          <w:sz w:val="20"/>
          <w:szCs w:val="20"/>
          <w:color w:val="auto"/>
        </w:rPr>
      </w:pPr>
    </w:p>
    <w:p>
      <w:pPr>
        <w:ind w:left="760" w:hanging="374"/>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earlier or later initial public offering, or IPO;</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strategic merger or sale;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remaining a private company;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dissolution of our company.</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used the market approach in determining the equity value of our business for use in the early and late IPO, strategic merger or sale and remaining private scenarios. We used the cost approach to value our net assets available to common stockholders if we were forced to liquidate our assets and dissolve the company. The cost approach involves identifying our significant tangible assets and liabilities, estimating the individual current market values of each and then totaling them to derive the value of the business as a whole.</w:t>
      </w:r>
    </w:p>
    <w:p>
      <w:pPr>
        <w:spacing w:after="0" w:line="187"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The market approach estimates the fair value of a company by applying market multiples of comparable publicly traded companies and publicly disclosed data from arm’s-length strategic merger or sale transactions involving similar companies in the marketplace. We reviewed recent precedent biopharmaceutical IPOs and merger or sale transactions to develop equity value estimates for application at each measurement date. We gave consideration to differences between us and the selected guideline public companies in terms of size, anticipated profitability, market size and other critical characteristics that generally reflect an investor’s assessment of the business and financial risks inherent in our industry. In particular, we gave consideration to the fact that we had only one clinical-stage product candidate under development and that the product candidate is a chemically modified form of an existing approved drug with potential, but as yet unproven, differentiation. We also considered that this product candidate is intended to compete in a large existing market characterized by intense competition, low generic pricing and a challenging third-party reimbursement environment. In addition, we considered the size of the transaction, anticipated debt outstanding at IPO and number of employees as possible valuation proxies when comparing us with the guideline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Exercise Price of Stock Options made at Our Initial Public Offering</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For the grants made on April 15, 2015, management and the board of directors relied on our initial public offering price to determine the exercise price of the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Exercise Price of Stock Options after Our Initial Public Offering</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After completion of our initial public offering, management and the board of directors have relied on the closing sale price of our common stock as reported on The NASDAQ Global Market on the date of grant to determine the exercise price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We have common stock warrants and, for the period ended December 31, 2014, had preferred stock warrants that meet the definition of derivative financial instruments and are accounted for as derivatives. The fair value of these warrant derivatives is based on either a Black-Scholes valuation model or a Monte Carlo simulation model at each reporting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p>
      <w:pPr>
        <w:jc w:val="both"/>
        <w:ind w:right="20" w:firstLine="380"/>
        <w:spacing w:after="0" w:line="277" w:lineRule="auto"/>
        <w:rPr>
          <w:sz w:val="20"/>
          <w:szCs w:val="20"/>
          <w:color w:val="auto"/>
        </w:rPr>
      </w:pPr>
      <w:r>
        <w:rPr>
          <w:rFonts w:ascii="Arial" w:cs="Arial" w:eastAsia="Arial" w:hAnsi="Arial"/>
          <w:sz w:val="18"/>
          <w:szCs w:val="18"/>
          <w:color w:val="auto"/>
        </w:rPr>
        <w:t>The derivative liability for the common stock warrants was $3.9 million at December 31, 2015 and $2.7 million at December 31, 2014. The derivative liability for the preferred stock warrants was $34.0 million at December 31, 2015 and $13.2 million at December 31, 2014.</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Upon exercise of the warrants, we will adjust the derivative liability to fair value with any changes recorded in other (expense) income. At such time, the derivative liability will also be reclassified to additional paid-in capital, and no further revaluations will be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of Net Operating Loss Carryforwards and Research and Development Credits</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As of December 31, 2015, we had federal net operating loss, or NOL, carryforwards of approximately $62.0 million with expiration dates from 2027 to 2035. We also had research and development credit carryforwards of $2.5 million with expiration dates ranging from 2027 to 2035.</w:t>
      </w:r>
    </w:p>
    <w:p>
      <w:pPr>
        <w:spacing w:after="0" w:line="147"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have not determined if we have experienced Section 382 ownership changes in the past and if a portion of our NOL carryforwards are subject to an annual limitation under Section 382 of the Code. If we experience a Section 382 ownership change in connection with our initial public offering, the conversion of our outstanding convertible debt or as a result of future changes in our stock ownership, the tax benefits related to the NOL carryforwards may be further limited or lost.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On April 5, 2012, President Obama signed the Jump-Start Our Business Startups Act (the JOBS Act)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public companies must adopt the standards. The Company has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58"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 xml:space="preserve">In July 2013, the Financial Accounting Standards Board, or FASB issued Accounting Standard Update (“ASU”) No.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 </w:t>
      </w:r>
      <w:r>
        <w:rPr>
          <w:rFonts w:ascii="Arial" w:cs="Arial" w:eastAsia="Arial" w:hAnsi="Arial"/>
          <w:sz w:val="17"/>
          <w:szCs w:val="17"/>
          <w:color w:val="auto"/>
        </w:rPr>
        <w:t>(“ASU 2013-11”). ASU 2013-11 amends the presentation requirements of ASC Topic 740 Income Taxes and requires an unrecognized tax benefit to be presented in the 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ASU 2013-11 is effective for fiscal years, and interim periods within those years, beginning after December 15, 2013. The amendments are to be applied to all unrecognized tax benefits that exist as of the effective date and may be applied retrospectively to each prior reporting period presented. The adoption of ASU 2013-11 in 2014 did not have a material impact on its financial statements as no uncertain tax positions existed for the years ended December 31, 2015 and 2014.</w:t>
      </w:r>
    </w:p>
    <w:p>
      <w:pPr>
        <w:spacing w:after="0" w:line="18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 xml:space="preserve">In May 2014, the FASB issued guidance codified in ASC Topic 606, </w:t>
      </w:r>
      <w:r>
        <w:rPr>
          <w:rFonts w:ascii="Arial" w:cs="Arial" w:eastAsia="Arial" w:hAnsi="Arial"/>
          <w:sz w:val="18"/>
          <w:szCs w:val="18"/>
          <w:i w:val="1"/>
          <w:iCs w:val="1"/>
          <w:color w:val="auto"/>
        </w:rPr>
        <w:t>Revenue Recognition—Revenue from Contracts with Customers,</w:t>
      </w:r>
      <w:r>
        <w:rPr>
          <w:rFonts w:ascii="Arial" w:cs="Arial" w:eastAsia="Arial" w:hAnsi="Arial"/>
          <w:sz w:val="18"/>
          <w:szCs w:val="18"/>
          <w:color w:val="auto"/>
        </w:rPr>
        <w:t xml:space="preserve"> which amends the guidance in former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becomes effective beginning January 1, 2018. The Company is currently evaluating the impact of the provisions of ASC 606 on its financial statements and disclosures.</w:t>
      </w:r>
    </w:p>
    <w:p>
      <w:pPr>
        <w:spacing w:after="0" w:line="18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 xml:space="preserve">In June 2014, the FASB issued ASU 2014-12, </w:t>
      </w:r>
      <w:r>
        <w:rPr>
          <w:rFonts w:ascii="Arial" w:cs="Arial" w:eastAsia="Arial" w:hAnsi="Arial"/>
          <w:sz w:val="18"/>
          <w:szCs w:val="18"/>
          <w:i w:val="1"/>
          <w:iCs w:val="1"/>
          <w:color w:val="auto"/>
        </w:rPr>
        <w:t>Compensation-Stock Compensation (Topic 718): Accounting for Share-Based Payments when the Terms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an Award Provide that a Performance Target Could Be Achieved After the Requisite Service Period </w:t>
      </w:r>
      <w:r>
        <w:rPr>
          <w:rFonts w:ascii="Arial" w:cs="Arial" w:eastAsia="Arial" w:hAnsi="Arial"/>
          <w:sz w:val="18"/>
          <w:szCs w:val="18"/>
          <w:color w:val="auto"/>
        </w:rPr>
        <w:t>(“ASU 2014-12”). The amendments require that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target that affects vesting and that could be achieved after the requisite service period be treated as a performance condition. ASU 2014-12 is effective for annual periods and interim periods within those annual periods beginning after December 15, 2015. Earlier adoption is permitted. Entities may apply ASU 2014-12 either (a) prospectively to all awards granted or modified after the effective date or (b) retrospectively to all awards with performance targets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that are outstanding as of the beginning of the earliest annual period presented in the financial statements and to all new or modified awards thereafter. If retrospective transition is adopted, the cumulative effect of applying this ASU as of the beginning of the earliest annual period presented in the financial statements should be recognized as an adjustment to the opening retained earnings balance at that date. Additionally, if retrospective transition is adopted, an entity may use hindsight in measuring and recognizing the compensation cost. The Company expects this standard to have a minimal impact on its financial statements upon adoption.</w:t>
      </w:r>
    </w:p>
    <w:p>
      <w:pPr>
        <w:spacing w:after="0" w:line="188"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which amends ASC Subtopic 205-40 to provide guidance about management’s responsibility to evaluate whether there is substantial doubt about an entity’s ability to continue as a going concern and to provide related disclosures. Specifically, the amendments (1) provide a definition of the term “substantial doubt,” (2) require an evaluation every reporting period,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financial statements are issued. ASU 2014-15 is effective for fiscal years ending after December 15, 2016, and for annual periods and interim periods thereafter. The Company is currently evaluating the impact of the adoption of ASU 2014-15 on its financial statements and disclosures.</w:t>
      </w:r>
    </w:p>
    <w:p>
      <w:pPr>
        <w:spacing w:after="0" w:line="179"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Income Statement - Extraordinary and Unusual Items (Subtopic 225-20); Simplifying Income</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Presentation by Eliminating the Concept of Extraordinary Items (“ASU 2015-01”)</w:t>
      </w:r>
      <w:r>
        <w:rPr>
          <w:rFonts w:ascii="Arial" w:cs="Arial" w:eastAsia="Arial" w:hAnsi="Arial"/>
          <w:sz w:val="17"/>
          <w:szCs w:val="17"/>
          <w:color w:val="auto"/>
        </w:rPr>
        <w:t>, which eliminates from GAAP the concept of extraordinary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items, stating that the concept causes uncertainty because (1) it is unclear when an item should be considered both unusual and infrequent and (2) users do not find the classification and presentation necessary to identify those events and transactions. ASU 2015-01 is effective for fiscal years, and interim periods within those fiscal years, beginning after December 15, 2015, with early adoption permitted provided the guidance is applied from the beginning of the fiscal year of adoption. The Company does not expect this standard to have an impact on its financial statements upon adoption.</w:t>
      </w:r>
    </w:p>
    <w:p>
      <w:pPr>
        <w:spacing w:after="0" w:line="17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(“ASU 2015-03”), which requires the debt issuance costs related to a recognized debt liability be presented in the balance sheet as direct deduction from the carrying amount of that debt liability, consistent with the presentation of debt discounts. This guidance is effective for financial statements issued for fiscal years beginning after December 15, 2015, and interim periods within those fiscal years. Adoption of ASU 2015-03 will reduce assets and liabilities by the amount of the debt issuance costs, which are $1.1 million and $1.5 million at December 31, 2015 and 2014, respectively.</w:t>
      </w:r>
    </w:p>
    <w:p>
      <w:pPr>
        <w:spacing w:after="0" w:line="18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Balance Sheet Classification of Deferred Taxes (Topic 740)</w:t>
      </w:r>
      <w:r>
        <w:rPr>
          <w:rFonts w:ascii="Arial" w:cs="Arial" w:eastAsia="Arial" w:hAnsi="Arial"/>
          <w:sz w:val="18"/>
          <w:szCs w:val="18"/>
          <w:color w:val="auto"/>
        </w:rPr>
        <w:t xml:space="preserve"> (“ASU 2015-17”), which requires that deferred tax liabilities and assets be classified as noncurrent in a classified statement of financial position. This update applies to all entities that present a classified statement of financial position. This guidance is effective for financial statements issued for fiscal years beginning after December 15, 2016, and interim periods within those fiscal years. The Company does not expect this standard to have a material impact on its financial statements upon adoption.</w:t>
      </w:r>
    </w:p>
    <w:p>
      <w:pPr>
        <w:spacing w:after="0" w:line="18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Overall – Recognition and Measurement of Financial Assets and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825-10) </w:t>
      </w:r>
      <w:r>
        <w:rPr>
          <w:rFonts w:ascii="Arial" w:cs="Arial" w:eastAsia="Arial" w:hAnsi="Arial"/>
          <w:sz w:val="17"/>
          <w:szCs w:val="17"/>
          <w:color w:val="auto"/>
        </w:rPr>
        <w:t>(“ASU 2016-01”), which provides several updates related to Topic 825-10. This update applies to all entities that hold financial assets or owe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This guidance is effective for financial statements issued for fiscal years beginning after December 15, 2017, and interim periods within those fiscal years. The Company does not expect this standard to have a material impact on its financial statements upon adoption.</w:t>
      </w:r>
    </w:p>
    <w:p>
      <w:pPr>
        <w:spacing w:after="0" w:line="2"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recognize assets and liabilities for operating leases with lease terms greater than twelve months in the balance sheet. The update also requires improved disclosures to help users of financial statements better understand the amount, timing and uncertainty of cash flows arising from leases. ASU 2016-02 is effective for fiscal years beginning after December 15, 2018, including interim periods within those fiscal years, with early adoption permitted. The Company is currently evaluating the impact of the adoption of ASU 2016-02 on its financial statements and disclosures.</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Our primary exposure to market risk for our cash and cash equivalents is interest income sensitivity, which is affected by changes in the general level of U.S. interest rates. As of December 31, 2015, we had cash and cash equivalents of $32.3 million and marketable securities of $19.0 million. We currently do not hedge interest rate exposure. Because of the fixed rate of interest on our outstanding debt, an immediate 10% increase in interest rates would not have a material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ind w:left="380"/>
        <w:spacing w:after="0"/>
        <w:rPr>
          <w:sz w:val="20"/>
          <w:szCs w:val="20"/>
          <w:color w:val="auto"/>
        </w:rPr>
      </w:pPr>
      <w:r>
        <w:rPr>
          <w:rFonts w:ascii="Arial" w:cs="Arial" w:eastAsia="Arial" w:hAnsi="Arial"/>
          <w:sz w:val="17"/>
          <w:szCs w:val="17"/>
          <w:color w:val="auto"/>
        </w:rPr>
        <w:t>We are not subject to interest rate risk in connection with borrowings under the Deerfield facility because borrowings bear a fixed rate of interest.</w:t>
      </w:r>
    </w:p>
    <w:p>
      <w:pPr>
        <w:spacing w:after="0" w:line="23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In February 2016, we completed a private placement of our 2021 Notes. The 2021 Notes have a fixed annual interest rate of 5.50% and we, therefore, do not have economic interest rate exposure on the 2021 Notes. However, the fair value of the 2021 Notes will be exposed to interest rate risk. Generally, the fair value of the 2021 Notes will increase as interest rates fall and decrease as interest rates rise. The fair value of the 2021 Notes will also be affected by volatility in our stock price.</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financial statements required by this item are set forth beginning in Item 15 of this report and are incorporated herein by reference.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2015. Based on the evaluation of our disclosure controls and procedures as of December 31, 2015, our chief executive officer and our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most recent fiscal quarter that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Our management, including our chief executive officer and our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jc w:val="both"/>
        <w:spacing w:after="0" w:line="259" w:lineRule="auto"/>
        <w:rPr>
          <w:sz w:val="20"/>
          <w:szCs w:val="20"/>
          <w:color w:val="auto"/>
        </w:rPr>
      </w:pPr>
      <w:r>
        <w:rPr>
          <w:rFonts w:ascii="Arial" w:cs="Arial" w:eastAsia="Arial" w:hAnsi="Arial"/>
          <w:sz w:val="18"/>
          <w:szCs w:val="18"/>
          <w:color w:val="auto"/>
        </w:rPr>
        <w:t>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information required by this Item 10 will be set forth under the headings “Proposal 1 Election of Directors,” “Executive Officers,” “Information Regarding the Board of Directors and Corporate Governance” and “Section 16(a) Beneficial Ownership Compliance” in our definitive proxy statement for our 2016 annual meeting of stockholders, or the proxy statement, and, is incorporated herein by reference.</w:t>
      </w:r>
    </w:p>
    <w:p>
      <w:pPr>
        <w:spacing w:after="0" w:line="181"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We have adopted a Code of Business Conduct and Ethics, or the Code of Conduct, applicable to all of our employees, executive officers and directors. The Code of Conduct is available on our website at www.kempharm.com. The nominating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on our website.</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information required by this Item 11 will be set forth under the headings “Executive Compensation” and “Information Regarding the Board of Directors and Corporate Governance” in our proxy statement and is incorporated herein by reference.</w:t>
      </w:r>
    </w:p>
    <w:p>
      <w:pPr>
        <w:spacing w:after="0" w:line="153" w:lineRule="exact"/>
        <w:rPr>
          <w:sz w:val="20"/>
          <w:szCs w:val="20"/>
          <w:color w:val="auto"/>
        </w:rPr>
      </w:pPr>
    </w:p>
    <w:p>
      <w:pPr>
        <w:jc w:val="both"/>
        <w:ind w:left="116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right="20" w:firstLine="380"/>
        <w:spacing w:after="0" w:line="308" w:lineRule="auto"/>
        <w:rPr>
          <w:sz w:val="20"/>
          <w:szCs w:val="20"/>
          <w:color w:val="auto"/>
        </w:rPr>
      </w:pPr>
      <w:r>
        <w:rPr>
          <w:rFonts w:ascii="Arial" w:cs="Arial" w:eastAsia="Arial" w:hAnsi="Arial"/>
          <w:sz w:val="17"/>
          <w:szCs w:val="17"/>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information required by this Item 13 will be set forth under the headings “Information Regarding the Board of Directors and Corporate Governance” and “Transactions with Related Persons” in the proxy statement and is incorporated herein by reference.</w:t>
      </w:r>
    </w:p>
    <w:p>
      <w:pPr>
        <w:spacing w:after="0" w:line="1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information required by this Item 14 will be set forth under the headings “Proposal 2 Ratification of Selection of Independent Registered Public Accounting Firm” in the proxy statement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ind w:right="-98"/>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99"/>
        <w:spacing w:after="0"/>
        <w:tabs>
          <w:tab w:leader="none" w:pos="1059"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419" w:hanging="419"/>
        <w:spacing w:after="0"/>
        <w:tabs>
          <w:tab w:leader="none" w:pos="4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059" w:hanging="444"/>
        <w:spacing w:after="0"/>
        <w:tabs>
          <w:tab w:leader="none" w:pos="1059"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Index list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152400</wp:posOffset>
            </wp:positionV>
            <wp:extent cx="6174740" cy="1337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474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19" w:hanging="565"/>
        <w:spacing w:after="0"/>
        <w:tabs>
          <w:tab w:leader="none" w:pos="1119"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919"/>
        <w:spacing w:after="0"/>
        <w:rPr>
          <w:sz w:val="20"/>
          <w:szCs w:val="20"/>
          <w:color w:val="auto"/>
        </w:rPr>
      </w:pPr>
      <w:r>
        <w:rPr>
          <w:rFonts w:ascii="Arial" w:cs="Arial" w:eastAsia="Arial" w:hAnsi="Arial"/>
          <w:sz w:val="16"/>
          <w:szCs w:val="16"/>
          <w:color w:val="auto"/>
        </w:rPr>
        <w:t>All other schedules are omitted because they are not required or the required information is included in the financial statements or notes thereto.</w:t>
      </w:r>
    </w:p>
    <w:p>
      <w:pPr>
        <w:spacing w:after="0" w:line="248" w:lineRule="exact"/>
        <w:rPr>
          <w:sz w:val="20"/>
          <w:szCs w:val="20"/>
          <w:color w:val="auto"/>
        </w:rPr>
      </w:pPr>
    </w:p>
    <w:p>
      <w:pPr>
        <w:ind w:left="1119" w:hanging="565"/>
        <w:spacing w:after="0"/>
        <w:tabs>
          <w:tab w:leader="none" w:pos="1119"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1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99"/>
          </w:cols>
          <w:pgMar w:left="261" w:top="337"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KemPharm, Inc.:</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We have audited the accompanying balance sheets of KemPharm, Inc. as of December 31, 2015 and 2014, and the related statements of operations, changes in redeemable convertible preferred stock and stockholders’ deficit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KemPharm, Inc. at December 31, 2015 and 2014, and the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54,078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 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FF0FC"/>
          </w:tcPr>
          <w:p>
            <w:pPr>
              <w:spacing w:after="0"/>
              <w:rPr>
                <w:sz w:val="19"/>
                <w:szCs w:val="19"/>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55,723</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FF0FC"/>
            </w:tcBorders>
          </w:tcPr>
          <w:p>
            <w:pPr>
              <w:spacing w:after="0"/>
              <w:rPr>
                <w:sz w:val="22"/>
                <w:szCs w:val="22"/>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Current portion of convertible notes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term notes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capital lease obligation</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Convertible notes,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Term notes, 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Derivative and warrant liability</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37,839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 net</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65,844</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38,015</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G)</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 redeemable convertible preferred stock, $0.0001 par value; no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issued or outstanding as of December 31, 2015; 1,294,000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1,293,838 issued and outstanding as of December 31, 2014</w:t>
            </w:r>
          </w:p>
        </w:tc>
        <w:tc>
          <w:tcPr>
            <w:tcW w:w="2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FF0FC"/>
          </w:tcPr>
          <w:p>
            <w:pPr>
              <w:spacing w:after="0"/>
              <w:rPr>
                <w:sz w:val="20"/>
                <w:szCs w:val="20"/>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Series B redeemable convertible preferred stock, $0.0001 par value; no shares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authorized, issued or outstanding as of December 31, 2015; 829,234 shares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authorized, issued and outstanding as of December 31, 2014</w:t>
            </w:r>
          </w:p>
        </w:tc>
        <w:tc>
          <w:tcPr>
            <w:tcW w:w="28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C redeemable convertible preferred stock, $0.0001 par value; no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issued or outstanding as of December 31, 2015; 2,474,400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2,474,122 shares issued and outstanding as of December 31, 2014</w:t>
            </w:r>
          </w:p>
        </w:tc>
        <w:tc>
          <w:tcPr>
            <w:tcW w:w="2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FF0FC"/>
          </w:tcPr>
          <w:p>
            <w:pPr>
              <w:spacing w:after="0"/>
              <w:rPr>
                <w:sz w:val="20"/>
                <w:szCs w:val="20"/>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Series D redeemable convertible preferred stock, $0.0001 par value; no shares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authorized, issued or outstanding as of December 31, 2015; 10,000,000 shares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authorized, 967,359 issued and outstanding as of December 31, 2014</w:t>
            </w:r>
          </w:p>
        </w:tc>
        <w:tc>
          <w:tcPr>
            <w:tcW w:w="28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0"/>
                <w:szCs w:val="20"/>
                <w:color w:val="auto"/>
              </w:rPr>
            </w:pPr>
          </w:p>
        </w:tc>
      </w:tr>
      <w:tr>
        <w:trPr>
          <w:trHeight w:val="223"/>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redeemable convertible preferred stock</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250,000,000 shares authorized, 14,490,954</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as of December 31, 2015; 18,666,666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2,381,041 shares issued and outstanding as of December 31, 2014</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94,702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9"/>
                <w:szCs w:val="19"/>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 no shares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 as of December 31, 2015; no shares authorized,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 as of December 31, 2014</w:t>
            </w:r>
          </w:p>
        </w:tc>
        <w:tc>
          <w:tcPr>
            <w:tcW w:w="2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(104,824)</w:t>
            </w:r>
          </w:p>
        </w:tc>
        <w:tc>
          <w:tcPr>
            <w:tcW w:w="2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(50,160)</w:t>
            </w:r>
          </w:p>
        </w:tc>
      </w:tr>
      <w:tr>
        <w:trPr>
          <w:trHeight w:val="223"/>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55,723</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12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Interest expense related to amortization of debt issuance costs and discount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(1,560)</w:t>
            </w: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expense on principal</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(2,671)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(1,605)</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adjustment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(27,276)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(7,223)</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expenses</w:t>
            </w:r>
          </w:p>
        </w:tc>
        <w:tc>
          <w:tcPr>
            <w:tcW w:w="4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(24,477)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6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(24,455)</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FF0FC"/>
            </w:tcBorders>
          </w:tcPr>
          <w:p>
            <w:pPr>
              <w:spacing w:after="0"/>
              <w:rPr>
                <w:sz w:val="22"/>
                <w:szCs w:val="22"/>
                <w:color w:val="auto"/>
              </w:rPr>
            </w:pPr>
          </w:p>
        </w:tc>
      </w:tr>
      <w:tr>
        <w:trPr>
          <w:trHeight w:val="21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(10.27)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2,381,041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2,381,041</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4"/>
          </w:tcPr>
          <w:p>
            <w:pPr>
              <w:jc w:val="right"/>
              <w:ind w:right="340"/>
              <w:spacing w:after="0"/>
              <w:rPr>
                <w:sz w:val="20"/>
                <w:szCs w:val="20"/>
                <w:color w:val="auto"/>
              </w:rPr>
            </w:pPr>
            <w:r>
              <w:rPr>
                <w:rFonts w:ascii="Arial" w:cs="Arial" w:eastAsia="Arial" w:hAnsi="Arial"/>
                <w:sz w:val="14"/>
                <w:szCs w:val="14"/>
                <w:b w:val="1"/>
                <w:bCs w:val="1"/>
                <w:color w:val="auto"/>
              </w:rPr>
              <w:t>Redeemable Convertible Preferred Stock</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Series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Stockholders'</w:t>
            </w: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D-1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95"/>
        </w:trPr>
        <w:tc>
          <w:tcPr>
            <w:tcW w:w="20" w:type="dxa"/>
            <w:vAlign w:val="bottom"/>
          </w:tcPr>
          <w:p>
            <w:pPr>
              <w:spacing w:after="0"/>
              <w:rPr>
                <w:sz w:val="16"/>
                <w:szCs w:val="16"/>
                <w:color w:val="auto"/>
              </w:rPr>
            </w:pPr>
          </w:p>
        </w:tc>
        <w:tc>
          <w:tcPr>
            <w:tcW w:w="1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Balance as of</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January 1, 2013</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(20,479)</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(19,175)</w:t>
            </w: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(5,226)</w:t>
            </w: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Balance as of</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18,548</w:t>
            </w:r>
          </w:p>
        </w:tc>
        <w:tc>
          <w:tcPr>
            <w:tcW w:w="100" w:type="dxa"/>
            <w:vAlign w:val="bottom"/>
            <w:tcBorders>
              <w:right w:val="single" w:sz="8" w:color="auto"/>
            </w:tcBorders>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(25,705) $</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(24,267)</w:t>
            </w:r>
          </w:p>
        </w:tc>
      </w:tr>
      <w:tr>
        <w:trPr>
          <w:trHeight w:val="210"/>
        </w:trPr>
        <w:tc>
          <w:tcPr>
            <w:tcW w:w="20" w:type="dxa"/>
            <w:vAlign w:val="bottom"/>
          </w:tcPr>
          <w:p>
            <w:pPr>
              <w:spacing w:after="0"/>
              <w:rPr>
                <w:sz w:val="18"/>
                <w:szCs w:val="18"/>
                <w:color w:val="auto"/>
              </w:rPr>
            </w:pPr>
          </w:p>
        </w:tc>
        <w:tc>
          <w:tcPr>
            <w:tcW w:w="1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right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(24,455)</w:t>
            </w:r>
          </w:p>
        </w:tc>
        <w:tc>
          <w:tcPr>
            <w:tcW w:w="80" w:type="dxa"/>
            <w:vAlign w:val="bottom"/>
            <w:tcBorders>
              <w:top w:val="single" w:sz="8" w:color="CFF0FC"/>
            </w:tcBorders>
            <w:shd w:val="clear" w:color="auto" w:fill="CFF0F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Change in par</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value</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(1,438)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Conversion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00" w:type="dxa"/>
            <w:vAlign w:val="bottom"/>
            <w:gridSpan w:val="2"/>
          </w:tcPr>
          <w:p>
            <w:pPr>
              <w:ind w:left="26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convertible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notes into Series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D preferred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Issuance of</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fee</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Balance as of</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24,207</w:t>
            </w:r>
          </w:p>
        </w:tc>
        <w:tc>
          <w:tcPr>
            <w:tcW w:w="100" w:type="dxa"/>
            <w:vAlign w:val="bottom"/>
            <w:tcBorders>
              <w:right w:val="single" w:sz="8" w:color="auto"/>
            </w:tcBorders>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(50,160) $</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(48,508)</w:t>
            </w:r>
          </w:p>
        </w:tc>
      </w:tr>
      <w:tr>
        <w:trPr>
          <w:trHeight w:val="210"/>
        </w:trPr>
        <w:tc>
          <w:tcPr>
            <w:tcW w:w="20" w:type="dxa"/>
            <w:vAlign w:val="bottom"/>
          </w:tcPr>
          <w:p>
            <w:pPr>
              <w:spacing w:after="0"/>
              <w:rPr>
                <w:sz w:val="18"/>
                <w:szCs w:val="18"/>
                <w:color w:val="auto"/>
              </w:rPr>
            </w:pPr>
          </w:p>
        </w:tc>
        <w:tc>
          <w:tcPr>
            <w:tcW w:w="1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right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(54,664)</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(54,664)</w:t>
            </w:r>
          </w:p>
        </w:tc>
        <w:tc>
          <w:tcPr>
            <w:tcW w:w="80" w:type="dxa"/>
            <w:vAlign w:val="bottom"/>
            <w:tcBorders>
              <w:top w:val="single" w:sz="8" w:color="CFF0FC"/>
            </w:tcBorders>
            <w:shd w:val="clear" w:color="auto" w:fill="CFF0F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Exercise of stock</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warrants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8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Issuance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Series D-1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Issuance of</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in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connection with</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IPO, net of</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discounts and</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commissions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59,892</w:t>
            </w:r>
          </w:p>
        </w:tc>
        <w:tc>
          <w:tcPr>
            <w:tcW w:w="8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Conversion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2013 warrants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to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Conversion of</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into common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upon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IPO</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(3,343)</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(3,313)</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(11,892)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(5,659)</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(4,000)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(28,207)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28,207</w:t>
            </w:r>
          </w:p>
        </w:tc>
        <w:tc>
          <w:tcPr>
            <w:tcW w:w="8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80" w:type="dxa"/>
            <w:vAlign w:val="bottom"/>
          </w:tcPr>
          <w:p>
            <w:pPr>
              <w:ind w:left="240"/>
              <w:spacing w:after="0" w:line="201" w:lineRule="exact"/>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w w:val="96"/>
              </w:rPr>
              <w:t>expenses charged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rPr>
              <w:t>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38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(3,276)</w:t>
            </w:r>
          </w:p>
        </w:tc>
      </w:tr>
      <w:tr>
        <w:trPr>
          <w:trHeight w:val="195"/>
        </w:trPr>
        <w:tc>
          <w:tcPr>
            <w:tcW w:w="20" w:type="dxa"/>
            <w:vAlign w:val="bottom"/>
          </w:tcPr>
          <w:p>
            <w:pPr>
              <w:spacing w:after="0"/>
              <w:rPr>
                <w:sz w:val="16"/>
                <w:szCs w:val="16"/>
                <w:color w:val="auto"/>
              </w:rPr>
            </w:pPr>
          </w:p>
        </w:tc>
        <w:tc>
          <w:tcPr>
            <w:tcW w:w="1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Balance as of</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94,702</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(104,824) $</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(10,121)</w:t>
            </w: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37" w:right="299" w:bottom="1126"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5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(54,664)</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(24,455)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(5,226)</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issuance costs and debt discount</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adjustment</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27,276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(1,137)</w:t>
            </w: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(20,268)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assets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89"/>
              </w:rPr>
              <w:t>(19,002)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(19,137)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Proceeds from initial public offering, net of discounts and commissions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59,892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 D-1 preferred stock</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(1,767)</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debt</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Payment of debt and stock issuance costs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Repayment of obligations under capital lease</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Series D preferred stock warrants</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Proceeds from exercise of common stock options and warrants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61,468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22,063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8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10,255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2,542</w:t>
            </w:r>
          </w:p>
        </w:tc>
        <w:tc>
          <w:tcPr>
            <w:tcW w:w="12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year</w:t>
            </w:r>
          </w:p>
        </w:tc>
        <w:tc>
          <w:tcPr>
            <w:tcW w:w="84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32,318</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 on 2013 convertible notes and put option</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Issuance of 2013 warrants and Deerfield warrant</w:t>
            </w: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Fixed assets financed by capital lease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Embedded Deerfield put option on Deerfield warrant</w:t>
            </w: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Issuance of Series D preferred stock as transaction fee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Conversion of 2013 convertible notes and interest into Series 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8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included in accounts payable and accrued</w:t>
            </w: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8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Conversion of preferred stock into common stock upon IPO</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Offering expenses charged to equity</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Reclassification of 2013 warrants to equity</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Transfer of warrants to equity upon exercise</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KemPharm, Inc. (the “Company”) is a clinical-stage specialty pharmaceutical company engaged in the discovery and development of proprietary prodrugs. Through the use of its Ligand Activated Therapy (“LAT”) platform technology, the Company is able to initiate and pursue the development of improved versions of widely prescribed, approved drugs. The Company was formed on October 30, 2006, and incorporated in Iowa, and reorganized in Delaware on May 30, 2014.</w:t>
      </w:r>
    </w:p>
    <w:p>
      <w:pPr>
        <w:spacing w:after="0" w:line="18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The Company has experienced recurring losses from operations and negative operating cash flows due to its ongoing research and development of its potential product candidates. The Company also has a stockholders’ deficit at December 31, 2015. Various internal and external factors will affect whether and when the candidates become approved drugs and how significant their market share will be. The length of time and cost of developing and commercializing these candidates and/or failure of them at any stage of the drug approval process will materially affect the Company’s financial condition and future operations. Based upon our current operating plan, we believe that our existing cash and cash equivalents, will enable us to fund our operating expenses and capital expenditure requirements through at least the next 21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On April 2, 2015, the Company effected a 1-for-7.5 reverse stock split of its issued common stock. All applicable share data, per share amounts and related information in the financial statements and notes thereto have been adjusted retroactively to give effect to the 1-for-7.5 reverse stock split.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In April 2015, the Company completed an initial public offering (“IPO”) of its common stock. In connection with the initial closing of the IPO, the Company sold an aggregate of 5,090,909 shares of common stock at a price to the public of $11.00 per share. In May 2015, the underwriters in the IPO exercised their option to purchase additional shares pursuant to which the Company sold an additional 763,636 shares of common stock at a price equal to the public price of $11.00 per share. In the aggregate, net proceeds from the IPO including net proceeds from the underwriters’ exercise of their option to purchase additional shares, were $59.9 million, after deducting underwriting discounts and commissions of $4.5 million. In addition, offering expenses totaled $2.8 million. Upon completion of the IPO, all outstanding shares of the Company’s redeemable convertible preferred stock were converted or reclassified into 5,980,564 shares of common stock and all outstanding warrants to acquire shares of the Company’s redeemable convertible preferred stock became warrants to acquire the Company’s common stock. In connection with the IPO, the Company amended and restated its Amended and Restated Certificate of Incorporation to change the authorized capital stock to 250,000,000 shares, designated as common stock, and 10,000,000 shares, designated as preferred stock, each with a par value of $0.0001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These reclassifications had no effect on previously reported net loss.</w:t>
      </w:r>
    </w:p>
    <w:p>
      <w:pPr>
        <w:spacing w:after="0" w:line="153"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amounts reported in the financial statements and accompanying notes. Actual results could differ from those estimates.</w:t>
      </w:r>
    </w:p>
    <w:p>
      <w:pPr>
        <w:spacing w:after="0" w:line="181" w:lineRule="exact"/>
        <w:rPr>
          <w:sz w:val="20"/>
          <w:szCs w:val="20"/>
          <w:color w:val="auto"/>
        </w:rPr>
      </w:pPr>
    </w:p>
    <w:p>
      <w:pPr>
        <w:jc w:val="both"/>
        <w:ind w:firstLine="380"/>
        <w:spacing w:after="0" w:line="279" w:lineRule="auto"/>
        <w:rPr>
          <w:sz w:val="20"/>
          <w:szCs w:val="20"/>
          <w:color w:val="auto"/>
        </w:rPr>
      </w:pPr>
      <w:r>
        <w:rPr>
          <w:rFonts w:ascii="Arial" w:cs="Arial" w:eastAsia="Arial" w:hAnsi="Arial"/>
          <w:sz w:val="17"/>
          <w:szCs w:val="17"/>
          <w:color w:val="auto"/>
        </w:rPr>
        <w:t>On an ongoing basis, the Company evaluates its estimates, including those related to the useful lives of property and equipment, the fair value of the Company’s common stock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which frequently exceed insured limits.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380"/>
        <w:spacing w:after="0" w:line="342" w:lineRule="auto"/>
        <w:rPr>
          <w:sz w:val="20"/>
          <w:szCs w:val="20"/>
          <w:color w:val="auto"/>
        </w:rPr>
      </w:pPr>
      <w:r>
        <w:rPr>
          <w:rFonts w:ascii="Arial" w:cs="Arial" w:eastAsia="Arial" w:hAnsi="Arial"/>
          <w:sz w:val="16"/>
          <w:szCs w:val="16"/>
          <w:color w:val="auto"/>
        </w:rPr>
        <w:t>The Company maintains investment securities that are classified as trading securities. These securities are carried at fair value with unrealized gains and losses included in other income on the statement of operations. The securities primarily consist of certificates of deposit and government bonds.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fifteen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Debt issuance costs incurred in connection with financing arrangements are amortized over the life of the respective financing arrangement using the effective interest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Arrangements</w:t>
      </w:r>
    </w:p>
    <w:p>
      <w:pPr>
        <w:spacing w:after="0" w:line="225" w:lineRule="exact"/>
        <w:rPr>
          <w:sz w:val="20"/>
          <w:szCs w:val="20"/>
          <w:color w:val="auto"/>
        </w:rPr>
      </w:pPr>
    </w:p>
    <w:p>
      <w:pPr>
        <w:jc w:val="both"/>
        <w:ind w:right="20" w:firstLine="380"/>
        <w:spacing w:after="0" w:line="342" w:lineRule="auto"/>
        <w:rPr>
          <w:sz w:val="20"/>
          <w:szCs w:val="20"/>
          <w:color w:val="auto"/>
        </w:rPr>
      </w:pPr>
      <w:r>
        <w:rPr>
          <w:rFonts w:ascii="Arial" w:cs="Arial" w:eastAsia="Arial" w:hAnsi="Arial"/>
          <w:sz w:val="16"/>
          <w:szCs w:val="16"/>
          <w:color w:val="auto"/>
        </w:rPr>
        <w:t>The Company enters into supply arrangements for the supply of components of its product candidates. These arrangements also may include a share of future revenue if related product candidates reach commercialization. Costs under these supply arrangements, if any, are expensed as incurred (Note 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2015 and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7"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ind w:left="760" w:hanging="374"/>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54"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expenses on the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54"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for the years ended December 31, 2015 and 2014.</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2010, although carryforward attributes that were generated prior to 2012 may still be adjusted upon examination by the Internal Revenue Service if used in a future period. No income tax returns are currently under examination by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6"/>
          <w:szCs w:val="16"/>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 The value of non-employee stock-based compensation is subject to periodic adjustments as the underlying equity instruments vest and is recognized as an expense over the term of the related financing or the period over which services are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redeemable convertible preferred stock are entitled to participate in distributions, when and if declared by the board of directors, that are made to common stockholders and, as a result, are considered participating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in deciding how to allocate resources and in assessing performance. The Company’s chief operating decision maker (CODM) is its Chief Executive Officer. The Company views its operations and manages its business as a single operating and reporting segment. All assets of the Company were held in the United States for the years ended December 31,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0"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6"/>
          <w:szCs w:val="16"/>
          <w:color w:val="auto"/>
        </w:rPr>
        <w:t>On April 5, 2012, President Obama signed the Jump-Start Our Business Startups Act (the JOBS Act)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public companies must adopt the standards. The Company has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58"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 xml:space="preserve">In July 2013, the FASB issued Accounting Standard Update (“ASU”) No. 2013-11, </w:t>
      </w:r>
      <w:r>
        <w:rPr>
          <w:rFonts w:ascii="Arial" w:cs="Arial" w:eastAsia="Arial" w:hAnsi="Arial"/>
          <w:sz w:val="17"/>
          <w:szCs w:val="17"/>
          <w:i w:val="1"/>
          <w:iCs w:val="1"/>
          <w:color w:val="auto"/>
        </w:rPr>
        <w:t>Presentation of an Unrecognized Tax Benefit When a Net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Carryforward, a Similar Tax Loss, or a Tax Credit Carryforward Exist </w:t>
      </w:r>
      <w:r>
        <w:rPr>
          <w:rFonts w:ascii="Arial" w:cs="Arial" w:eastAsia="Arial" w:hAnsi="Arial"/>
          <w:sz w:val="17"/>
          <w:szCs w:val="17"/>
          <w:color w:val="auto"/>
        </w:rPr>
        <w:t>(“ASU 2013-11”). ASU 2013-11 amends the presentation requirements of ASC</w:t>
      </w:r>
      <w:r>
        <w:rPr>
          <w:rFonts w:ascii="Arial" w:cs="Arial" w:eastAsia="Arial" w:hAnsi="Arial"/>
          <w:sz w:val="17"/>
          <w:szCs w:val="17"/>
          <w:i w:val="1"/>
          <w:iCs w:val="1"/>
          <w:color w:val="auto"/>
        </w:rPr>
        <w:t xml:space="preserve"> </w:t>
      </w:r>
      <w:r>
        <w:rPr>
          <w:rFonts w:ascii="Arial" w:cs="Arial" w:eastAsia="Arial" w:hAnsi="Arial"/>
          <w:sz w:val="17"/>
          <w:szCs w:val="17"/>
          <w:color w:val="auto"/>
        </w:rPr>
        <w:t>Topic 740 Income Taxes and requires an unrecognized tax benefit to be presented in the 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ASU 2013-11 is effective for fiscal years, and interim periods within those years, beginning after December 15, 2013. The amendments are to be applied to all unrecognized tax benefits that exist as of the effective date and may be applied retrospectively to each prior reporting period presented. The adoption of ASU 2013-11 in 2014 did not have a material impact on its financial statements as no uncertain tax positions existed for the years ended December 31, 2015 and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Standards—Not Yet Adopted</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 xml:space="preserve">In May 2014, the FASB issued guidance codified in ASC Topic 606, </w:t>
      </w:r>
      <w:r>
        <w:rPr>
          <w:rFonts w:ascii="Arial" w:cs="Arial" w:eastAsia="Arial" w:hAnsi="Arial"/>
          <w:sz w:val="18"/>
          <w:szCs w:val="18"/>
          <w:i w:val="1"/>
          <w:iCs w:val="1"/>
          <w:color w:val="auto"/>
        </w:rPr>
        <w:t>Revenue Recognition—Revenue from Contracts with Customers,</w:t>
      </w:r>
      <w:r>
        <w:rPr>
          <w:rFonts w:ascii="Arial" w:cs="Arial" w:eastAsia="Arial" w:hAnsi="Arial"/>
          <w:sz w:val="18"/>
          <w:szCs w:val="18"/>
          <w:color w:val="auto"/>
        </w:rPr>
        <w:t xml:space="preserve"> which amends the guidance in former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becomes effective beginning January 1, 2018. The Company is currently evaluating the impact of the provisions of ASC 606 on its financial statements and disclosures.</w:t>
      </w:r>
    </w:p>
    <w:p>
      <w:pPr>
        <w:spacing w:after="0" w:line="18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an Award Provide that a Performance Target Could Be Achieved After the Requisite Service Period </w:t>
      </w:r>
      <w:r>
        <w:rPr>
          <w:rFonts w:ascii="Arial" w:cs="Arial" w:eastAsia="Arial" w:hAnsi="Arial"/>
          <w:sz w:val="17"/>
          <w:szCs w:val="17"/>
          <w:color w:val="auto"/>
        </w:rPr>
        <w:t>(“ASU 2014-12”). The amendments require that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target that affects vesting and that could be achieved after the requisite service period be treated as a performance condition. ASU 2014-12 is effective for annual periods and interim periods within those annual periods beginning after December 15, 2015. Earlier adoption is permitted. Entities may apply ASU 2014-12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If retrospective transition is adopted, the cumulative effect of applying this ASU as of the beginning of the earliest annual period presented in the financial statements should be recognized as an adjustment to the opening retained earnings balance at that date. Additionally, if retrospective transition is adopted, an entity may use hindsight in measuring and recognizing the compensation cost. The Company expects this update to have a minimal impact on its financial statements upon adoption.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firstLine="380"/>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which amends ASC Subtopic 205-40 to provide guidance about management’s responsibility to evaluate whether there is substantial doubt about an entity’s ability to continue as a going concern and to provide related disclosures. Specifically, the amendments (1) provide a definition of the term “substantial doubt,” (2) require an evaluation every reporting period,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financial statements are issued. ASU 2014-15 is effective for fiscal years ending after December 15, 2016, and for annual periods and interim periods thereafter. The Company is currently evaluating the impact of the adoption of ASU 2014-15 on its financial statements and disclosures.</w:t>
      </w:r>
    </w:p>
    <w:p>
      <w:pPr>
        <w:spacing w:after="0" w:line="179" w:lineRule="exact"/>
        <w:rPr>
          <w:sz w:val="20"/>
          <w:szCs w:val="20"/>
          <w:color w:val="auto"/>
        </w:rPr>
      </w:pPr>
    </w:p>
    <w:p>
      <w:pPr>
        <w:jc w:val="both"/>
        <w:ind w:right="20" w:firstLine="380"/>
        <w:spacing w:after="0" w:line="273"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Income Statement - Extraordinary and Unusual Items (Subtopic 225-20); Simplifying Income</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Presentation by Eliminating the Concept of Extraordinary Items (“ASU 2015-01”)</w:t>
      </w:r>
      <w:r>
        <w:rPr>
          <w:rFonts w:ascii="Arial" w:cs="Arial" w:eastAsia="Arial" w:hAnsi="Arial"/>
          <w:sz w:val="17"/>
          <w:szCs w:val="17"/>
          <w:color w:val="auto"/>
        </w:rPr>
        <w:t>, which eliminates from GAAP the concept of extraordinary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items, stating that the concept causes uncertainty because (1) it is unclear when an item should be considered both unusual and infrequent and (2) users do not find the classification and presentation necessary to identify those events and transactions. ASU 2015-01 is effective for fiscal years, and interim periods within those fiscal years, beginning after December 15, 2015, with early adoption permitted provided the guidance is applied from the beginning of the fiscal year of adoption. The Company does not expect this standard to have an impact on its financial statements upon adoption.</w:t>
      </w:r>
    </w:p>
    <w:p>
      <w:pPr>
        <w:spacing w:after="0" w:line="178" w:lineRule="exact"/>
        <w:rPr>
          <w:sz w:val="20"/>
          <w:szCs w:val="20"/>
          <w:color w:val="auto"/>
        </w:rPr>
      </w:pPr>
    </w:p>
    <w:p>
      <w:pPr>
        <w:jc w:val="both"/>
        <w:ind w:right="20" w:firstLine="380"/>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(“ASU 2015-03”), which requires the debt issuance costs related to a recognized debt liability be presented in the balance sheet as direct deduction from the carrying amount of that debt liability, consistent with the presentation of debt discounts. This guidance is effective for financial statements issued for fiscal years beginning after December 15, 2015, and interim periods within those fiscal years. Adoption of ASU 2015-03 will reduce assets and liabilities by the amount of the debt issuance costs, which are $1.1 million and $1.5 million at December 31, 2015 and 2014, respectively.</w:t>
      </w:r>
    </w:p>
    <w:p>
      <w:pPr>
        <w:spacing w:after="0" w:line="188" w:lineRule="exact"/>
        <w:rPr>
          <w:sz w:val="20"/>
          <w:szCs w:val="20"/>
          <w:color w:val="auto"/>
        </w:rPr>
      </w:pPr>
    </w:p>
    <w:p>
      <w:pPr>
        <w:jc w:val="both"/>
        <w:ind w:right="20" w:firstLine="380"/>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Balance Sheet Classification of Deferred Taxes (Topic 740)</w:t>
      </w:r>
      <w:r>
        <w:rPr>
          <w:rFonts w:ascii="Arial" w:cs="Arial" w:eastAsia="Arial" w:hAnsi="Arial"/>
          <w:sz w:val="18"/>
          <w:szCs w:val="18"/>
          <w:color w:val="auto"/>
        </w:rPr>
        <w:t xml:space="preserve"> (“ASU 2015-17”), which requires that deferred tax liabilities and assets be classified as noncurrent in a classified statement of financial position. This update applies to all entities that present a classified statement of financial position. This guidance is effective for financial statements issued for fiscal years beginning after December 15, 2016, and interim periods within those fiscal years. The Company does not expect this standard to have a material impact on its financial statements upon adoption.</w:t>
      </w:r>
    </w:p>
    <w:p>
      <w:pPr>
        <w:spacing w:after="0" w:line="188" w:lineRule="exact"/>
        <w:rPr>
          <w:sz w:val="20"/>
          <w:szCs w:val="20"/>
          <w:color w:val="auto"/>
        </w:rPr>
      </w:pPr>
    </w:p>
    <w:p>
      <w:pPr>
        <w:jc w:val="both"/>
        <w:ind w:right="20" w:firstLine="38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Overall – Recognition and Measurement of Financial Assets and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825-10) </w:t>
      </w:r>
      <w:r>
        <w:rPr>
          <w:rFonts w:ascii="Arial" w:cs="Arial" w:eastAsia="Arial" w:hAnsi="Arial"/>
          <w:sz w:val="17"/>
          <w:szCs w:val="17"/>
          <w:color w:val="auto"/>
        </w:rPr>
        <w:t>(“ASU 2016-01”), which provides several updates related to Topic 825-10. This update applies to all entities that hold financial assets or owe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This guidance is effective for financial statements issued for fiscal years beginning after December 15, 2017, and interim periods within those fiscal years. The Company does not expect this standard to have a material impact on its financial statements upon adoption.</w:t>
      </w:r>
    </w:p>
    <w:p>
      <w:pPr>
        <w:spacing w:after="0" w:line="171" w:lineRule="exact"/>
        <w:rPr>
          <w:sz w:val="20"/>
          <w:szCs w:val="20"/>
          <w:color w:val="auto"/>
        </w:rPr>
      </w:pPr>
    </w:p>
    <w:p>
      <w:pPr>
        <w:ind w:right="60" w:firstLine="38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recognize assets and liabilities for operating leases with lease terms greater than twelve months in the balance sheet. The update also requires improved disclosures to help users of financial statements better understand the amount, timing and uncertainty of cash flows arising from leases. ASU 2016-02 is effective for fiscal years beginning after December 15, 2018, including interim periods within those fiscal years, with early adoption permitted. The Company is currently evaluating the impact of the adoption of ASU 2016-02 on its financial statements and disclosures.</w:t>
      </w:r>
    </w:p>
    <w:p>
      <w:pPr>
        <w:spacing w:after="0" w:line="171"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19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Prepaid insurance</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w w:val="99"/>
              </w:rPr>
              <w:t>Other prepaid expenses and current assets</w:t>
            </w:r>
          </w:p>
        </w:tc>
        <w:tc>
          <w:tcPr>
            <w:tcW w:w="1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right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20" w:type="dxa"/>
            <w:vAlign w:val="bottom"/>
            <w:vMerge w:val="restart"/>
          </w:tcPr>
          <w:p>
            <w:pPr>
              <w:jc w:val="right"/>
              <w:ind w:right="115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D.</w:t>
        <w:tab/>
        <w:t>Property and Equipment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Computers and hardware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The Company leases various equipment under capital lease agreements. The assets under capital leases are included in property and equipment as follows (in thousands):</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The estimated useful lives of property and equipment are as follows: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9"/>
          </w:tcPr>
          <w:p>
            <w:pPr>
              <w:jc w:val="center"/>
              <w:ind w:right="66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340" w:type="dxa"/>
            <w:vAlign w:val="bottom"/>
            <w:gridSpan w:val="2"/>
          </w:tcPr>
          <w:p>
            <w:pPr>
              <w:ind w:left="58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9"/>
          </w:tcPr>
          <w:p>
            <w:pPr>
              <w:jc w:val="center"/>
              <w:ind w:right="6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Computers and hardware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3"/>
          </w:tcPr>
          <w:p>
            <w:pPr>
              <w:jc w:val="center"/>
              <w:spacing w:after="0"/>
              <w:rPr>
                <w:sz w:val="20"/>
                <w:szCs w:val="20"/>
                <w:color w:val="auto"/>
              </w:rPr>
            </w:pPr>
            <w:r>
              <w:rPr>
                <w:rFonts w:ascii="Arial" w:cs="Arial" w:eastAsia="Arial" w:hAnsi="Arial"/>
                <w:sz w:val="18"/>
                <w:szCs w:val="18"/>
                <w:color w:val="auto"/>
                <w:w w:val="92"/>
              </w:rPr>
              <w:t>3-7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4"/>
              </w:rPr>
              <w:t>5-10</w:t>
            </w: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gridSpan w:val="3"/>
          </w:tcPr>
          <w:p>
            <w:pPr>
              <w:jc w:val="center"/>
              <w:spacing w:after="0"/>
              <w:rPr>
                <w:sz w:val="20"/>
                <w:szCs w:val="20"/>
                <w:color w:val="auto"/>
              </w:rPr>
            </w:pPr>
            <w:r>
              <w:rPr>
                <w:rFonts w:ascii="Arial" w:cs="Arial" w:eastAsia="Arial" w:hAnsi="Arial"/>
                <w:sz w:val="18"/>
                <w:szCs w:val="18"/>
                <w:color w:val="auto"/>
                <w:w w:val="89"/>
              </w:rPr>
              <w:t>15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80"/>
        <w:spacing w:after="0" w:line="277" w:lineRule="auto"/>
        <w:rPr>
          <w:sz w:val="20"/>
          <w:szCs w:val="20"/>
          <w:color w:val="auto"/>
        </w:rPr>
      </w:pPr>
      <w:r>
        <w:rPr>
          <w:rFonts w:ascii="Arial" w:cs="Arial" w:eastAsia="Arial" w:hAnsi="Arial"/>
          <w:sz w:val="18"/>
          <w:szCs w:val="18"/>
          <w:color w:val="auto"/>
        </w:rPr>
        <w:t>Depreciation and amortization expense, including amounts pertaining to assets held under capital leases, was approximately $84,000, $75,000 and $68,000 for the years ended December 31, 2015, 2014 and 2013, respectively.</w:t>
      </w:r>
    </w:p>
    <w:p>
      <w:pPr>
        <w:spacing w:after="0" w:line="153"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consist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6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banking fees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On June 2, 2014, the Company entered into a $60.0 million facility agreement (the “Deerfield Facility Agreement”) with Deerfield Private Design Fund III, LP (“Deerfield”). The first payment to the Company under the terms of the Deerfield Facility Agreement consisted of a term loan of $15.0 million (the “Term Notes”) and a senior secured loan of $10.0 million (the “Deerfield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Convertible Notes”). All loans issued under the Deerfield Facility Agreement bear interest at 9.75% per annum. Deerfield may convert any portion of the outstanding principal and any accrued but unpaid interest on the Deerfield Convertible Notes into shares of the Company’s common stock at an initial conversion price of $5.85 per share.</w:t>
      </w:r>
    </w:p>
    <w:p>
      <w:pPr>
        <w:spacing w:after="0" w:line="18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6"/>
          <w:szCs w:val="16"/>
          <w:color w:val="auto"/>
        </w:rPr>
        <w:t>The Company also issued to Deerfield a warrant to purchase 14,423,076 shares of Series D redeemable convertible preferred stock (“Series D preferred stock”) at an exercise price of $0.78 per share, which is exercisable until June 2, 2024 (the “Deerfield Warrant”). Upon completion of the IPO, the Deerfield Warrant automatically converted into a warrant to purchase 1,923,077 shares of the Company’s common stock at an exercise price of $5.85 per share. In the event that a Major Transaction occurs, as defined below, Deerfield may require the Company redeem the Deerfield Warrant for a cash amount equal to the Black-Scholes value of the portion of the Deerfield Warrant to be redeemed (the “Put Option”). A Major Transaction is (i) a consolidation, merger, exchange of shares, recapitalization, reorganization, business combination or other similar event; (ii) the sale or transfer in one transaction or a series of related transactions of all or substantially all of the assets of the Company; (iii) a third-party purchase, tender or exchange offer made to the holders of outstanding shares, such that following such purchase, tender or exchange offer a change of control has occurred; (iv) the liquidation, bankruptcy, insolvency, dissolution or winding-up affecting the Company; (v) the shares of the Company’s common stock cease to be listed on any eligible market; and (vi) at any time, the shares of the Company’s common stock cease to be registered under Section 12 of the Securities Exchange Act of 1934, as amended (the “Exchange Act”).</w:t>
      </w:r>
    </w:p>
    <w:p>
      <w:pPr>
        <w:spacing w:after="0" w:line="169"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addition, the Company issued to Deerfield 1,923,077 shares of Series D preferred stock as consideration for the loans provided to the Company under the Deerfield Facility Agreement. Upon completion of the IPO, these shares automatically reclassified into 256,410 shares of the Company’s common stock. The Company recorded the fair value of the shares of Series D preferred stock of $1.5 million, to debt issuance costs on the date of issuance. The Company recorded the fair value of the Deerfield Warrant of $7.6 million and the fair value of the embedded Put Option of $0.2 million to debt discount on the date of issuance. The debt issuance costs and debt discount are amortized over the term of the related debt and the expense is recorded as interest expense in the statements of operations.</w:t>
      </w:r>
    </w:p>
    <w:p>
      <w:pPr>
        <w:spacing w:after="0" w:line="193"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must repay one-third of the outstanding principal amount of all debt issued under the Deerfield Facility Agreement on the fourth and fifth anniversaries of the Deerfield Facility Agreement. The Company is then obligated to repay the balance of the outstanding principal amount on February 14, 2020.</w:t>
      </w:r>
    </w:p>
    <w:p>
      <w:pPr>
        <w:spacing w:after="0" w:line="181"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Interest accrued on outstanding debt under the Deerfield facility is due quarterly in arrears. Upon notice to Deerfield, the Company may choose to have one or more of the first eight of such scheduled interest payments added to the outstanding principal amount of the debt issued under the Deerfield Facility Agreement, provided that all such interest will be due on July 1, 2016. The Company has elected this option on all six of the scheduled interest payments to date. The accrued interest added to outstanding principal is reflected in the balance sheets as current portion of convertible notes and current portion of term notes.</w:t>
      </w:r>
    </w:p>
    <w:p>
      <w:pPr>
        <w:spacing w:after="0" w:line="188" w:lineRule="exact"/>
        <w:rPr>
          <w:sz w:val="20"/>
          <w:szCs w:val="20"/>
          <w:color w:val="auto"/>
        </w:rPr>
      </w:pPr>
    </w:p>
    <w:p>
      <w:pPr>
        <w:jc w:val="both"/>
        <w:ind w:firstLine="380"/>
        <w:spacing w:after="0" w:line="342" w:lineRule="auto"/>
        <w:rPr>
          <w:sz w:val="20"/>
          <w:szCs w:val="20"/>
          <w:color w:val="auto"/>
        </w:rPr>
      </w:pPr>
      <w:r>
        <w:rPr>
          <w:rFonts w:ascii="Arial" w:cs="Arial" w:eastAsia="Arial" w:hAnsi="Arial"/>
          <w:sz w:val="16"/>
          <w:szCs w:val="16"/>
          <w:color w:val="auto"/>
        </w:rPr>
        <w:t>Deerfield is obligated to provide three additional tranches upon the Company’s request and after the satisfaction of specified conditions, including the FDA’s acceptance of a new drug application (“NDA”) for KP201/APAP and, for the final two tranches, the subsequent approval for commercial sale thereof.</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2015, borrowings available to the Company under the Deerfield Facility Agreement were $35.0 million. Under the terms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Deerfield Facility Agreement, future tranches to the Company are as follows:</w:t>
      </w:r>
    </w:p>
    <w:p>
      <w:pPr>
        <w:spacing w:after="0" w:line="211" w:lineRule="exact"/>
        <w:rPr>
          <w:sz w:val="20"/>
          <w:szCs w:val="20"/>
          <w:color w:val="auto"/>
        </w:rPr>
      </w:pPr>
    </w:p>
    <w:p>
      <w:pPr>
        <w:ind w:left="1040" w:hanging="519"/>
        <w:spacing w:after="0" w:line="277"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second tranche consists of a $10.0 million term loan that bears interest at 9.75% and a warrant to purchase 1,282,052 shares of the Company’s common stock at an exercise price of $5.85 per share.</w:t>
      </w:r>
    </w:p>
    <w:p>
      <w:pPr>
        <w:spacing w:after="0" w:line="170"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third and fourth tranches each consist of a $12.5 million term loan that bears interest at 9.75% and a warrant exercisable for the number of shares equal to 60% of the principal amount of such disbursement divided by 115% of the volume weighted average sales price of the Company’s common stock for the 20 consecutive trading days immediately prior to the date of such disbursement with an exercise price per share equal 115% of such weighted average sales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Amendment to Senior Secured Convertible Note and Warrant</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On January 6, 2016, the Company, entered into a Second Amendment (the “Second Amendment”) to the Deerfield Convertible Notes and Deerfield Warrant, by and between the Company and Deerfield. The Second Amendment, among other things, clarified the calculation of an anti-dilution adjustment of the conversion price and exercise price of the Deerfield Convertible Notes and Deerfield Warrant, respectively, in the event that the Company effects a firm commitment underwritten public offering of its securities. Except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modified by the Second Amendment and Third Amendment (as described below), all terms and conditions of the Deerfield Convertible Notes and Deerfield Warrant remain in full force and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5.50% Senior Convertible Notes and Third Amendment to Senior Secured Convertible Note and Warrant</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On February 9, 2016, the Company issued $86.25 million aggregate principal amount of its 5.50% Senior Convertible Notes due 2021 (the “2021 Notes”) to Cowen and Company, LLC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Notes, plus all accrued but unpaid interest on the Term Notes, a make whole interest payment on the term note and a prepayment premium on the term note.</w:t>
      </w:r>
    </w:p>
    <w:p>
      <w:pPr>
        <w:spacing w:after="0" w:line="18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Interest on the 2021 Notes will be payable semi-annually in cash in arrears on February 1 and August 1 of each year, beginning on August 1, 2016, at a rate of 5.50% per year. The 2021 Notes mature on February 1, 2021 unless earlier converted or repurchased. The 2021 Notes are not redeemable prior to the maturity date, and no sinking fund is provided for the 2021 Notes.</w:t>
      </w:r>
    </w:p>
    <w:p>
      <w:pPr>
        <w:spacing w:after="0" w:line="18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2021 Notes are convertible at an initial conversion rate of 58.4454 shares of the Company’s common stock per $1,000 principal amount of the 2021 Notes, subject to adjustment under the Indenture, which is equal to an initial conversion price of approximately $17.11 per share of common stock. Upon conversion, the 2021 Notes will be settled in shares of the Company’s common stock, together with a cash payment in lieu of delivering any fractional share. The conversion rate will be subject to adjustment in some events but will not be adjusted for any accrued and unpaid interest. In addition, following certain corporate events that occur prior to the maturity date, the Company will increase the conversion rate for a holder who elects to convert its 2021 Notes in connection with such a corporate event in certain circumstances.</w:t>
      </w:r>
    </w:p>
    <w:p>
      <w:pPr>
        <w:spacing w:after="0" w:line="193"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connection with the Note Offering, on February 3, 2016, the Company entered into a Third Amendment (the “Third Amendment”) to the Deerfield Facility Agreement, Deerfield Convertible Notes and Deerfield Warrant with Deerfield. The Third Amendment, among other things, eliminated the Company’s ability to require Deerfield to convert the Deerfield Convertible Notes into Company common stock. In addition, pursuant to the Third Amendment, Deerfield consented to the prepayment of the Term Notes and the issuance of the 2021 Notes. Except as modified by the Third Amendment, all terms and conditions of the Deerfield Facility Agreement remain in full force and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2013 Convertible Notes into Series D Preferred Stock</w:t>
      </w:r>
    </w:p>
    <w:p>
      <w:pPr>
        <w:spacing w:after="0" w:line="225"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color w:val="auto"/>
        </w:rPr>
        <w:t>From June 2013 through October 2013, the Company issued 10.0% unsecured convertible promissory notes (the “2013 Convertible Notes”) for gross proceeds of $3.8 million. The 2013 Convertible Notes accrued interest from the date of issuance through the maturity date, with such interest payable in cash upon maturity. The 2013 Convertible Notes did not have a stated maturity date and instead matured under various scenarios, such as the sale of substantially all of the assets of the Company, dissolution of the Company, failure to observe covenants, and voluntary or involuntary bankruptcy. In accordance with the terms of the 2013 Convertible Notes, and effected by the written consent of the holders of a majority of the outstanding principal of such notes, on June 2, 2014, the principal amount of the 2013 Convertible Notes of $3.8 million and all accrued interest of $0.3 million converted into 5,332,348 shares of Series D preferred stock at $0.78 per share. Upon the conversion of the 2013 Convertible Notes, the embedded conversion feature of the 2013 Convertible Notes and Put Option was marked to fair value and the balance of $1.9 million was recorded as a gain on extinguishment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Company has a $50,000 credit agreement with a financial institution (the “Line of Credit Agreement”). As of December 31, 2015 and 2014, the Company had $50,000 available under the Line of Credit Agreement. The Line of Credit Agreement is collateralized by all of the Company’s business assets. The Line of Credit Agreement contains no financial covenants. Borrowings under the Line of Credit Agreement carry interest at a rate equal to the prime rate plus 1.75% per annum. The Company is required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make interest only payments on any draws under the Line of Credit Agreement. The interest rate under the Line of Credit Agreement was 5% as of December 31, 2015 and 2014.</w:t>
      </w:r>
    </w:p>
    <w:p>
      <w:pPr>
        <w:spacing w:after="0" w:line="170"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During the fourth quarter of 2015, the Company entered into an additional $100,000 credit agreement with the same financial institution (the “Second Line of Credit Agreement”). As of December 31, 2015, the Company had $100,000 available under the Second Line of Credit Agreement. The Second Line of Credit Agreement is uncollateralized and contains no financial covenants. Borrowings under the Second Line of Credit Agreement carry interest at a rate equal to the prime rate plus 9.99% per annum. The Company is required to make interest only payments on any draws under the Second Line of Credit Agreement. The interest rate under the Second Line of Credit Agreement was 13.24% as of December 31, 2015.</w:t>
      </w:r>
    </w:p>
    <w:p>
      <w:pPr>
        <w:spacing w:after="0" w:line="155"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66"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In 2014, a former financial advisor of the Company filed a request with the Iowa District Court to declare valid a purported right of first refusal to serve as the Company’s exclusive financial advisor for specified strategic transactions and to receive fees for the specified strategic transactions irrespective of whether any such specified transaction occurred during or after the term of the financial advisor’s service agreement. This filing by the former financial advisor was made in response to an action initiated by the Company in 2013 seeking a declaratory judgement finding that such purported right was invalid and unenforceable. Two former members of the Company’s board of directors (the “Board”) joined the lawsuit as intervenors based on the former financial advisor’s purported assignment of its rights, or a portion thereof, under the agreement to the intervenors. In September 2015, the court granted summary judgement in favor of the Company with respect to the Company’s declaratory judgement action and the former financial advisor’s counterclaims and the Company separately entered into settlement agreements with each of the intervenors. The settlements reached with the intervenors did not differ from the accrual previously recorded by the Company by a material amount. The former financial advisor subsequently filed a notice of appeal of the court’s ruling with the Supreme Court of Iowa. On January 6, 2016, the Company entered into a Settlement Agreement and Mutual Release (the “Settlement Agreement”) with the former financial advisor and Donald DeWaay, Jr. pursuant to which, among other things, the former financial advisor agreed, in exchange for the consideration described therein, to dismiss with prejudice its pending appeal. DFN’s appeal was subsequently dismissed by the Supreme Court of Iowa on January 7, 2016. The settlement amount was commiserate with the contingency recorded in the books and records of the Company. The consideration in the settlement agreement did not differ from the accrual previously recorded by the Company by a material amount.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Iowa</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Company leases office and laboratory facilities in Iowa under a long-term non-cancelable operating lease. The Company’s lease for its Iowa facilities expires in September 2016 and includes a renewal option that could extend the lease for an additional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Florida</w:t>
      </w:r>
    </w:p>
    <w:p>
      <w:pPr>
        <w:spacing w:after="0" w:line="225"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The Company leases office space in Florida under a long-term non-cancelable operating lease. In April 2015, the Company signed a first amendment to the lease to expand the amount of office space in the current facility. In December 2015, the Company signed a second amendment to the lease to move from one facility to an adjacent facility with more office space. The adjacent facility requires build out and is anticipated to be ready by mid-2016. The expiration date on the Company’s lease for its Florida facility is dependent on the adjacent facility’s build out completion date. Currently the lease is expected to expire in mid-2025 and includes renewal options that could extend the lease for two additional five year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Virginia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leases office and laboratory facilities in Virginia under a short-term non-cancelable operating lease. The Company’s lease for its Virginia facilities expires in August 2016. The Company anticipates, based on historical experience, extending the lease term for a period of 12 months upon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Carolina</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Company leases office space in North Carolina under a long-term non-cancelable operating lease. The expiration date of the Company’s lease is May 2020 and includes renewal options that could extend the lease for an additional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leases various laboratory, computer and other office equipment that are accounted for as capital leases and that require ongoing payments including interest expense. The capital leases are financed through various financial institutions and are collateralized by the underlying assets. As of December 31, 2015, the interest rate for assets under remaining capital leases was 0.67%.</w:t>
      </w:r>
    </w:p>
    <w:p>
      <w:pPr>
        <w:spacing w:after="0" w:line="18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Rent expense for non-cancelable operating leases was $0.3 million, $0.2 million and $0.1 million for the years ended December 31, 2015, 2014 and 2013,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Future minimum lease payments under capital leases and non-cancelable operating leases as of December 31, 2015 were as follows (in thousands):</w:t>
      </w: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rPr>
              <w:t>Leases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5,354</w:t>
            </w:r>
          </w:p>
        </w:tc>
        <w:tc>
          <w:tcPr>
            <w:tcW w:w="6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8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Supply Arrangement</w:t>
      </w:r>
    </w:p>
    <w:p>
      <w:pPr>
        <w:spacing w:after="0" w:line="229"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As of December 31, 2015, the Company has one manufacturing arrangement that involves potential future expenditures related to research and development.</w:t>
      </w:r>
    </w:p>
    <w:p>
      <w:pPr>
        <w:spacing w:after="0" w:line="17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7"/>
          <w:szCs w:val="17"/>
          <w:color w:val="auto"/>
        </w:rPr>
        <w:t>In November 2009, the Company entered into a supply agreement (the “Supply Agreement”) with Johnson Matthey Inc. (“JMI”) whereby JMI has agreed to supply the Company with all of the KP201 necessary for clinical trials and commercial sale for a price equal to JMI’s manufacturing cost and to provide process optimization and development services for KP201. The Company’s most advanced product candidate, KP201/APAP, is a combination of KP201 and acetaminophen (“APAP”) and is under development to treat acute moderate to moderately severe pain. The Company submitted an NDA for KP201/APAP in the second half of 2015 under Section 505(b)(2) of the Federal Food, Drug and Cosmetic Act. No expense was recorded under this agreement for the years ended December 31, 2015 and 2014. The Company must purchase all of its U.S. KP201 needs from JMI and JMI cannot supply KP201 to other companies. The term of the Supply Agreement extends as long as the Company holds a valid and enforceable patent for KP201 or until the tenth anniversary of KP201’s commercial launch, whichever date is later. Upon the expiration of such term, the agreement will automatically renew for a period of two years unless either party provides 12 months prior notice of its intent not to renew. Under the agreement, JMI will receive a tiered-based royalty share on the net sales on the commercial sale of a FDA approved drug incorporating KP201. No reliable estimate of the future payments can be made at this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5"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April 2015, the Company amended and restated its Certificate of Incorporation to decrease the number of its authorized shares of preferred stock to 10,000,000 shares with a par value of $0.0001 per share. As described in Note A, in April 2015, the Company completed an IPO of its common stock. Upon completion of the IPO, all outstanding shares of the Company’s redeemable convertible preferred stock were automatically converted or reclassified into an aggregate of 5,980,564 shares of the Company’s common stock. As of December 31, 2015, the Company had 10,000,000 shares of authorized and undesignated preferred stock, and did not have any preferred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redeemable convertible preferred stock activity for the years ended December 31, 2015 and 2014: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620" w:type="dxa"/>
            <w:vAlign w:val="bottom"/>
          </w:tcPr>
          <w:p>
            <w:pPr>
              <w:spacing w:after="0"/>
              <w:rPr>
                <w:sz w:val="12"/>
                <w:szCs w:val="12"/>
                <w:color w:val="auto"/>
              </w:rPr>
            </w:pPr>
          </w:p>
        </w:tc>
        <w:tc>
          <w:tcPr>
            <w:tcW w:w="112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Series A</w:t>
            </w:r>
          </w:p>
        </w:tc>
        <w:tc>
          <w:tcPr>
            <w:tcW w:w="1120" w:type="dxa"/>
            <w:vAlign w:val="bottom"/>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rPr>
              <w:t>Series B</w:t>
            </w: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Series C</w:t>
            </w:r>
          </w:p>
        </w:tc>
        <w:tc>
          <w:tcPr>
            <w:tcW w:w="112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Series D</w:t>
            </w:r>
          </w:p>
        </w:tc>
        <w:tc>
          <w:tcPr>
            <w:tcW w:w="900" w:type="dxa"/>
            <w:vAlign w:val="bottom"/>
          </w:tcPr>
          <w:p>
            <w:pPr>
              <w:jc w:val="right"/>
              <w:ind w:right="53"/>
              <w:spacing w:after="0" w:line="147" w:lineRule="exact"/>
              <w:rPr>
                <w:sz w:val="20"/>
                <w:szCs w:val="20"/>
                <w:color w:val="auto"/>
              </w:rPr>
            </w:pPr>
            <w:r>
              <w:rPr>
                <w:rFonts w:ascii="Arial" w:cs="Arial" w:eastAsia="Arial" w:hAnsi="Arial"/>
                <w:sz w:val="14"/>
                <w:szCs w:val="14"/>
                <w:b w:val="1"/>
                <w:bCs w:val="1"/>
                <w:color w:val="auto"/>
              </w:rPr>
              <w:t>Series D-1</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6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2013</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9,704,215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18,557,408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34,481,623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900" w:type="dxa"/>
            <w:vAlign w:val="bottom"/>
          </w:tcPr>
          <w:p>
            <w:pPr>
              <w:jc w:val="right"/>
              <w:spacing w:after="0"/>
              <w:rPr>
                <w:sz w:val="20"/>
                <w:szCs w:val="20"/>
                <w:color w:val="auto"/>
              </w:rPr>
            </w:pPr>
            <w:r>
              <w:rPr>
                <w:rFonts w:ascii="Arial" w:cs="Arial" w:eastAsia="Arial" w:hAnsi="Arial"/>
                <w:sz w:val="18"/>
                <w:szCs w:val="18"/>
                <w:color w:val="auto"/>
              </w:rPr>
              <w:t>9,704,215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6,220,000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18,557,408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34,481,623</w:t>
            </w:r>
          </w:p>
        </w:tc>
        <w:tc>
          <w:tcPr>
            <w:tcW w:w="10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Shares issued upon conversion of 2013 Convertible Notes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5,332,348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5,332,348</w:t>
            </w: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Shares issued for financing fee to Deerfield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1,923,077</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1,923,077</w:t>
            </w:r>
          </w:p>
        </w:tc>
        <w:tc>
          <w:tcPr>
            <w:tcW w:w="100" w:type="dxa"/>
            <w:vAlign w:val="bottom"/>
          </w:tcPr>
          <w:p>
            <w:pPr>
              <w:spacing w:after="0"/>
              <w:rPr>
                <w:sz w:val="19"/>
                <w:szCs w:val="19"/>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2014</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9,704,215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18,557,408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7,255,425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41,737,048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620" w:type="dxa"/>
            <w:vAlign w:val="bottom"/>
          </w:tcPr>
          <w:p>
            <w:pPr>
              <w:ind w:left="260"/>
              <w:spacing w:after="0"/>
              <w:rPr>
                <w:sz w:val="20"/>
                <w:szCs w:val="20"/>
                <w:color w:val="auto"/>
              </w:rPr>
            </w:pPr>
            <w:r>
              <w:rPr>
                <w:rFonts w:ascii="Arial" w:cs="Arial" w:eastAsia="Arial" w:hAnsi="Arial"/>
                <w:sz w:val="18"/>
                <w:szCs w:val="18"/>
                <w:color w:val="auto"/>
              </w:rPr>
              <w:t>Issuance of Series D-1 preferred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3,200,000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3,200,000</w:t>
            </w:r>
          </w:p>
        </w:tc>
        <w:tc>
          <w:tcPr>
            <w:tcW w:w="10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Series D preferred warrants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Effect of reverse stock-split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(8,410,377)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(5,390,766)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(16,083,286)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(6,290,844)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(2,784,416)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(38,959,689)</w:t>
            </w:r>
          </w:p>
        </w:tc>
      </w:tr>
      <w:tr>
        <w:trPr>
          <w:trHeight w:val="215"/>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Less: Conversion of preferred stock into common stock</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upon IPO</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(1,293,838)</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(829,234)</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(2,474,122)</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(967,786)</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(415,584)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(5,980,564)</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D-1 Redeemable Convertible Preferred Stock</w:t>
      </w:r>
    </w:p>
    <w:p>
      <w:pPr>
        <w:spacing w:after="0" w:line="225" w:lineRule="exact"/>
        <w:rPr>
          <w:sz w:val="20"/>
          <w:szCs w:val="20"/>
          <w:color w:val="auto"/>
        </w:rPr>
      </w:pPr>
    </w:p>
    <w:p>
      <w:pPr>
        <w:jc w:val="both"/>
        <w:ind w:firstLine="380"/>
        <w:spacing w:after="0" w:line="312" w:lineRule="auto"/>
        <w:rPr>
          <w:sz w:val="20"/>
          <w:szCs w:val="20"/>
          <w:color w:val="auto"/>
        </w:rPr>
      </w:pPr>
      <w:r>
        <w:rPr>
          <w:rFonts w:ascii="Arial" w:cs="Arial" w:eastAsia="Arial" w:hAnsi="Arial"/>
          <w:sz w:val="16"/>
          <w:szCs w:val="16"/>
          <w:color w:val="auto"/>
        </w:rPr>
        <w:t>In February 2015, the Company entered into a stock purchase agreement with Cowen KP Investment LLC in which Cowen KP Investment LLC agreed to purchase and the Company agreed to sell 3,200,000 shares of the Company’s Series D-1 redeemable convertible preferred stock for $1.25 per share, or an aggregate of $4.0 million. Upon completion of the IPO, these shares automatically converted into 415,584 shares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As described in Note A, in April 2015, the Company completed an IPO of its common stock. Upon completion of the IPO, and as of December 31, 2015, warrants to purchase 15,499,324 shares of Series D preferred stock were reclassified into warrants to purchase 2,066,543 shares of the Company’s common stock. As of December 31, 2014, the Company had pre-split outstanding warrants to purchase 15,502,529 shares of Series D preferred stock at an exercise price of $0.78 per share. During the year ended December 31, 2015, warrants to purchase 3,205 shares of Series D preferred stock were exercised.</w:t>
      </w:r>
    </w:p>
    <w:p>
      <w:pPr>
        <w:spacing w:after="0" w:line="154"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During 2013, the Company issued $3.8 million of convertible notes and the warrants (the “2013 Warrants”) to purchase 1,079,453 shares of equity securities in a future financing meeting specified criteria (a “Qualified Financing”) (Note F). The 2013 Warrants allow the holders to purchase shares of the same class and series of equity securities issued in the Qualified Financing for an exercise price equal to the per share price paid by the purchasers of such equity securities in the Qualified Financing. When the Company entered into the Deerfield Facility Agreement, the 2013 Warrants became warrants to purchase 1,079,453 shares of Series D preferred stock. Upon completion of the IPO, the 2013 Warrants automatically converted into warrants to purchase 143,466 shares of the Company’s common stock at an exercise price of $5.85 per share. The 2013 Warrants, if unexercised, expire on the earlier of June 2, 2019, or upon a liquidation event.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On June 2, 2014, pursuant to the terms of the Deerfield Facility Agreement, the Company issued the Deerfield Warrant to purchase 14,423,076 shares of Series D preferred stock (Note F). The Company recorded the fair value of the Deerfield Warrant as a debt discount and a warrant liability. The Deerfield Warrant, if unexercised, expires on the earlier of June 2, 2024, or upon a liquidation event. Upon completion of the IPO, the Deerfield Warrant automatically converted into a warrant to purchase 1,923,077 shares of the Company’s common stock at an exercise price of $5.85 per share. The Company is amortizing the debt discount to interest expense over the term of the Term Notes and the Deerfield Convertible Notes.</w:t>
      </w:r>
    </w:p>
    <w:p>
      <w:pPr>
        <w:spacing w:after="0" w:line="173"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7"/>
          <w:szCs w:val="17"/>
          <w:color w:val="auto"/>
        </w:rPr>
        <w:t>The Company determined that the 2013 Warrants and Deerfield Warrant should be recorded as a liability and stated at fair value at each reporting period upon inception. As stated above, upon completion of the IPO, the 2013 Warrants and the Deerfield Warrant automatically converted into warrants to purchase the Company’s common stock. The Company marked the 2013 Warrants to fair value and reclassified them to equity upon closing of the IPO. The Deerfield Warrant remains classified as a liability and is recorded at fair value at each reporting period since it can be settled in cash. Changes to the fair value of the warrant liability are recorded through the statements of operations as a fair value adjustment (Note L).</w:t>
      </w:r>
    </w:p>
    <w:p>
      <w:pPr>
        <w:spacing w:after="0" w:line="155"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In April 2015, the Company amended its Certificate of Incorporation to increase the number of its authorized shares of common stock to 250,000,000 shares. Of the authorized shares, 14,490,954 and 2,381,041 shares of common stock were issued and outstanding at December 31, 2015 and 2014, respectively.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December 31, 2015 and 2014, the Company had reserved authorized shares of common stock for future issuance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Conversion of Series A redeemable convertible preferred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1,293,838</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w w:val="93"/>
              </w:rPr>
              <w:t>Conversion of Series B redeemable convertible preferred stock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829,234</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Conversion of Series C redeemable convertible preferred stock</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2,474,122</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w w:val="93"/>
              </w:rPr>
              <w:t>Conversion of Series D redeemable convertible preferred stock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967,359</w:t>
            </w:r>
          </w:p>
        </w:tc>
        <w:tc>
          <w:tcPr>
            <w:tcW w:w="80" w:type="dxa"/>
            <w:vAlign w:val="bottom"/>
          </w:tcPr>
          <w:p>
            <w:pPr>
              <w:spacing w:after="0"/>
              <w:rPr>
                <w:sz w:val="19"/>
                <w:szCs w:val="19"/>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Conversion of Series D-1 redeemable convertible preferred</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Conversion of Deerfield Convertible Notes</w:t>
            </w:r>
          </w:p>
        </w:tc>
        <w:tc>
          <w:tcPr>
            <w:tcW w:w="940" w:type="dxa"/>
            <w:vAlign w:val="bottom"/>
          </w:tcPr>
          <w:p>
            <w:pPr>
              <w:jc w:val="right"/>
              <w:spacing w:after="0"/>
              <w:rPr>
                <w:sz w:val="20"/>
                <w:szCs w:val="20"/>
                <w:color w:val="auto"/>
              </w:rPr>
            </w:pPr>
            <w:r>
              <w:rPr>
                <w:rFonts w:ascii="Arial" w:cs="Arial" w:eastAsia="Arial" w:hAnsi="Arial"/>
                <w:sz w:val="18"/>
                <w:szCs w:val="18"/>
                <w:color w:val="auto"/>
              </w:rPr>
              <w:t>1,991,219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1,808,353</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Outstanding awards under equity incentive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1,397,511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395,185</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2,325,383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595,920</w:t>
            </w:r>
          </w:p>
        </w:tc>
        <w:tc>
          <w:tcPr>
            <w:tcW w:w="80" w:type="dxa"/>
            <w:vAlign w:val="bottom"/>
          </w:tcPr>
          <w:p>
            <w:pPr>
              <w:spacing w:after="0"/>
              <w:rPr>
                <w:sz w:val="19"/>
                <w:szCs w:val="19"/>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Outstanding Series D redeemable convertible preferred stock</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2,066,970</w:t>
            </w:r>
          </w:p>
        </w:tc>
        <w:tc>
          <w:tcPr>
            <w:tcW w:w="80" w:type="dxa"/>
            <w:vAlign w:val="bottom"/>
            <w:shd w:val="clear" w:color="auto" w:fill="CFF0FC"/>
          </w:tcPr>
          <w:p>
            <w:pPr>
              <w:spacing w:after="0"/>
              <w:rPr>
                <w:sz w:val="20"/>
                <w:szCs w:val="20"/>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1,410,848</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365,706</w:t>
            </w:r>
          </w:p>
        </w:tc>
        <w:tc>
          <w:tcPr>
            <w:tcW w:w="8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common shares reserved for future issuance</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7,124,961</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10,796,687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Activity</w:t>
      </w:r>
    </w:p>
    <w:p>
      <w:pPr>
        <w:spacing w:after="0" w:line="225"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following table summarizes common stock activity during the year ended December 31, 2015 (there was no common stock activity during the years ended December 31, 2014 and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r>
      <w:tr>
        <w:trPr>
          <w:trHeight w:val="171"/>
        </w:trPr>
        <w:tc>
          <w:tcPr>
            <w:tcW w:w="66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2,381,041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Issuance of common stock in connection with the IPO</w:t>
            </w:r>
          </w:p>
        </w:tc>
        <w:tc>
          <w:tcPr>
            <w:tcW w:w="1320" w:type="dxa"/>
            <w:vAlign w:val="bottom"/>
          </w:tcPr>
          <w:p>
            <w:pPr>
              <w:jc w:val="right"/>
              <w:spacing w:after="0"/>
              <w:rPr>
                <w:sz w:val="20"/>
                <w:szCs w:val="20"/>
                <w:color w:val="auto"/>
              </w:rPr>
            </w:pPr>
            <w:r>
              <w:rPr>
                <w:rFonts w:ascii="Arial" w:cs="Arial" w:eastAsia="Arial" w:hAnsi="Arial"/>
                <w:sz w:val="18"/>
                <w:szCs w:val="18"/>
                <w:color w:val="auto"/>
              </w:rPr>
              <w:t>5,854,545</w:t>
            </w:r>
          </w:p>
        </w:tc>
        <w:tc>
          <w:tcPr>
            <w:tcW w:w="6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preferred stock to common stock in connection with the IPO</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5,980,564</w:t>
            </w:r>
          </w:p>
        </w:tc>
        <w:tc>
          <w:tcPr>
            <w:tcW w:w="6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Common stock warrants 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270,038</w:t>
            </w:r>
          </w:p>
        </w:tc>
        <w:tc>
          <w:tcPr>
            <w:tcW w:w="6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exercised</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6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14,490,954</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The Company calculates the fair value of common stock warrants using a Monte Carlo simulation. There were warrants exercised for an aggregate of 270,038 shares of common stock during the year ended December 31, 2015 and there were no warrants exercised during the year ended December 31, 2014. From 2008 through 2012, the Company issued warrants to purchase 595,920 shares of common stock in its private placement offerings of Series A redeemable convertible preferred stock, Series B redeemable convertible preferred stock and Series C redeemable convertible preferred stock (the “Underwriter Warrants”) and for leasing laboratory space. The Company accounts for the Underwriter Warrants as a derivative liability, which is adjusted to fair value at each reporting period, with the change in fair value recorded within other expenses in the statements of operations.</w:t>
      </w:r>
    </w:p>
    <w:p>
      <w:pPr>
        <w:spacing w:after="0" w:line="161"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November 2014, the Board, and in April 2015, the Company’s stockholders, approved the Company’s 2014 Equity Incentive Plan (the “2014 Plan”) which became effective in April 2015. The 2014 Plan provides for the grant of stock options, other forms of equity compensation, and performance cash awards. The maximum number of shares of common stock that may be issued under the 2014 Plan is 2,266,666, as of December 31, 2015. In addition, the number of shares of common stock reserved for issuance under the 2014 Plan will automatically increase on January 1 of each year, beginning on January 1, 2016 and ending on and including January 1, 2024, by 4% of the total number of shares of the Company’s capital stock outstanding on December 31 of the preceding calendar year, or a lesser number of shares determined by the Board. Pursuant to the terms of the 2014 Plan, on January 1, 2016, the common stock reserved for issuance under the 2014 Plan automatically increased by 579,638 shares.</w:t>
      </w:r>
    </w:p>
    <w:p>
      <w:pPr>
        <w:spacing w:after="0" w:line="17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During the year ended December 31, 2015, stock options to acquire 4,766 shares of common stock were exercised with an intrinsic value of $54,000. No stock options were exercised during the years ended December 31, 2014 and 2013.</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Stock-based compensation expense recorded under the Incentive Stock Plan and the 2014 Plan is included in the following line items in the accompanying statements of operations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FF0FC"/>
            </w:tcBorders>
          </w:tcPr>
          <w:p>
            <w:pPr>
              <w:spacing w:after="0"/>
              <w:rPr>
                <w:sz w:val="14"/>
                <w:szCs w:val="14"/>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1,759</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2,369</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7"/>
          <w:szCs w:val="17"/>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historical volatilities for publicly traded stock of comparable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companies over the estimated expected term of the stock options. The Company assumes no dividend yield because dividends are not expected to be paid in the near future, which is consistent with the Company’s history of not paying dividends.</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81" w:lineRule="exact"/>
        <w:rPr>
          <w:sz w:val="20"/>
          <w:szCs w:val="20"/>
          <w:color w:val="auto"/>
        </w:rPr>
      </w:pPr>
    </w:p>
    <w:p>
      <w:pPr>
        <w:ind w:right="20" w:firstLine="380"/>
        <w:spacing w:after="0" w:line="308" w:lineRule="auto"/>
        <w:rPr>
          <w:sz w:val="20"/>
          <w:szCs w:val="20"/>
          <w:color w:val="auto"/>
        </w:rPr>
      </w:pPr>
      <w:r>
        <w:rPr>
          <w:rFonts w:ascii="Arial" w:cs="Arial" w:eastAsia="Arial" w:hAnsi="Arial"/>
          <w:sz w:val="17"/>
          <w:szCs w:val="17"/>
          <w:color w:val="auto"/>
        </w:rPr>
        <w:t>Using the Black-Scholes option-pricing model, the weighted-average fair value of awards granted during the years ended December 31, 2015, 2014 and 2013 fair value was $10.63, $4.50 and $3.00 per share, respectively. The assumptions used to estimate fair value are as follows:</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9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- 1.99%</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0.91% - 2.70%</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0.52% - 2.80%</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4.33</w:t>
            </w:r>
          </w:p>
        </w:tc>
        <w:tc>
          <w:tcPr>
            <w:tcW w:w="840" w:type="dxa"/>
            <w:vAlign w:val="bottom"/>
          </w:tcPr>
          <w:p>
            <w:pPr>
              <w:ind w:left="20"/>
              <w:spacing w:after="0"/>
              <w:rPr>
                <w:sz w:val="20"/>
                <w:szCs w:val="20"/>
                <w:color w:val="auto"/>
              </w:rPr>
            </w:pPr>
            <w:r>
              <w:rPr>
                <w:rFonts w:ascii="Arial" w:cs="Arial" w:eastAsia="Arial" w:hAnsi="Arial"/>
                <w:sz w:val="18"/>
                <w:szCs w:val="18"/>
                <w:color w:val="auto"/>
              </w:rPr>
              <w:t>- 6.25</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7.00 - 10.00</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4.04 - 10.00</w:t>
            </w: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68.79%</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- 86.84%</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86.00% - 95.00%</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58.55% - 92.00%</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right"/>
              <w:ind w:right="57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activity under the Incentive Stock Plan and the 2014 Plan for the year ended December 31, 2015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balance at January 1, 2015</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395,185</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1,275,980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1,010,457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16.30</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(4,766)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balance at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1,397,511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9,204,403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580"/>
              <w:spacing w:after="0"/>
              <w:rPr>
                <w:sz w:val="20"/>
                <w:szCs w:val="20"/>
                <w:color w:val="auto"/>
              </w:rPr>
            </w:pPr>
            <w:r>
              <w:rPr>
                <w:rFonts w:ascii="Arial" w:cs="Arial" w:eastAsia="Arial" w:hAnsi="Arial"/>
                <w:sz w:val="18"/>
                <w:szCs w:val="18"/>
                <w:color w:val="auto"/>
              </w:rPr>
              <w:t>Exercisable at December 31, 2015</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5,057,062</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384,087</w:t>
            </w:r>
          </w:p>
        </w:tc>
        <w:tc>
          <w:tcPr>
            <w:tcW w:w="1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1,254,325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8,614,743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00" w:type="dxa"/>
            <w:vAlign w:val="bottom"/>
          </w:tcPr>
          <w:p>
            <w:pPr>
              <w:jc w:val="right"/>
              <w:ind w:right="37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regarding currently outstanding and exercisable options as of December 31, 2015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gridSpan w:val="4"/>
          </w:tcPr>
          <w:p>
            <w:pPr>
              <w:ind w:left="800"/>
              <w:spacing w:after="0"/>
              <w:rPr>
                <w:sz w:val="20"/>
                <w:szCs w:val="20"/>
                <w:color w:val="auto"/>
              </w:rPr>
            </w:pPr>
            <w:r>
              <w:rPr>
                <w:rFonts w:ascii="Arial" w:cs="Arial" w:eastAsia="Arial" w:hAnsi="Arial"/>
                <w:sz w:val="14"/>
                <w:szCs w:val="14"/>
                <w:b w:val="1"/>
                <w:bCs w:val="1"/>
                <w:color w:val="auto"/>
              </w:rPr>
              <w:t>Options Outstanding</w:t>
            </w:r>
          </w:p>
        </w:tc>
        <w:tc>
          <w:tcPr>
            <w:tcW w:w="26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Options Exercisable</w:t>
            </w:r>
          </w:p>
        </w:tc>
      </w:tr>
      <w:tr>
        <w:trPr>
          <w:trHeight w:val="146"/>
        </w:trPr>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Weighted</w:t>
            </w:r>
          </w:p>
        </w:tc>
        <w:tc>
          <w:tcPr>
            <w:tcW w:w="3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r>
      <w:tr>
        <w:trPr>
          <w:trHeight w:val="162"/>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Remaining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Contractual</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r>
      <w:tr>
        <w:trPr>
          <w:trHeight w:val="162"/>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Term</w:t>
            </w: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w:t>
            </w: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132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$0.75</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49,327</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$5.85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305,061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154,639</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$11.00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$11.41</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170,035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$16.61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$18.29</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$18.61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$19.02</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62,000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$22.12</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6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1,397,511</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3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384,087</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The total fair value of stock options vested during the years ended December 31, 2015, 2014 and 2013, was $1.1 million, $0.2 million and $0.2 million,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Unvested stock options as of December 31, 2015 and 2014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gridSpan w:val="4"/>
          </w:tcPr>
          <w:p>
            <w:pPr>
              <w:ind w:left="720"/>
              <w:spacing w:after="0"/>
              <w:rPr>
                <w:sz w:val="20"/>
                <w:szCs w:val="20"/>
                <w:color w:val="auto"/>
              </w:rPr>
            </w:pPr>
            <w:r>
              <w:rPr>
                <w:rFonts w:ascii="Arial" w:cs="Arial" w:eastAsia="Arial" w:hAnsi="Arial"/>
                <w:sz w:val="14"/>
                <w:szCs w:val="14"/>
                <w:b w:val="1"/>
                <w:bCs w:val="1"/>
                <w:color w:val="auto"/>
              </w:rPr>
              <w:t>Number of Unvested Shares</w:t>
            </w:r>
          </w:p>
        </w:tc>
      </w:tr>
      <w:tr>
        <w:trPr>
          <w:trHeight w:val="146"/>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Borders>
              <w:top w:val="single" w:sz="8" w:color="auto"/>
            </w:tcBorders>
            <w:gridSpan w:val="2"/>
          </w:tcPr>
          <w:p>
            <w:pPr>
              <w:ind w:left="300"/>
              <w:spacing w:after="0" w:line="147" w:lineRule="exact"/>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right"/>
              <w:ind w:right="213"/>
              <w:spacing w:after="0" w:line="14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$5.85</w:t>
            </w:r>
          </w:p>
        </w:tc>
        <w:tc>
          <w:tcPr>
            <w:tcW w:w="3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97,633</w:t>
            </w:r>
          </w:p>
        </w:tc>
        <w:tc>
          <w:tcPr>
            <w:tcW w:w="3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225,018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$ 8.63</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147,973</w:t>
            </w: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$ 11.00</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21,333</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$ 11.41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82,035</w:t>
            </w: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$ 16.61</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$ 18.29</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205,000</w:t>
            </w: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$ 18.61</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38,400</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$ 19.02</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62,000</w:t>
            </w: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$ 20.45</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$ 21.37</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6,400</w:t>
            </w: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$ 22.12</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1,013,424</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225,018</w:t>
            </w:r>
          </w:p>
        </w:tc>
        <w:tc>
          <w:tcPr>
            <w:tcW w:w="6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2015, there was $9.0 million of total unrecognized compensation cost related to unvested share-based compensation arrangements granted under the 2014 Plan and the Company’s 2007 stock incentive plan. That compensation cost is expected to be recognized over a weighted-average period of 2.77 years.</w:t>
      </w:r>
    </w:p>
    <w:p>
      <w:pPr>
        <w:spacing w:after="0" w:line="181" w:lineRule="exact"/>
        <w:rPr>
          <w:sz w:val="20"/>
          <w:szCs w:val="20"/>
          <w:color w:val="auto"/>
        </w:rPr>
      </w:pPr>
    </w:p>
    <w:p>
      <w:pPr>
        <w:ind w:right="60" w:firstLine="380"/>
        <w:spacing w:after="0" w:line="257" w:lineRule="auto"/>
        <w:rPr>
          <w:sz w:val="20"/>
          <w:szCs w:val="20"/>
          <w:color w:val="auto"/>
        </w:rPr>
      </w:pPr>
      <w:r>
        <w:rPr>
          <w:rFonts w:ascii="Arial" w:cs="Arial" w:eastAsia="Arial" w:hAnsi="Arial"/>
          <w:sz w:val="18"/>
          <w:szCs w:val="18"/>
          <w:color w:val="auto"/>
        </w:rPr>
        <w:t>During the year ended December 31, 2015, the Company recognized $0.7 million of stock-based compensation expense related to performance-based awards included in general and administrative expenses and $0.2 million of stock-based compensation expense related to performance-based awards included in research and development expenses. These awards were in connection with the grant of fully vested stock options exercisable for an aggregate of 163,998 shares of common stock during the year ended December 31, 2015. The Company did not recognize any stock-based compensation expense related to performance-based incentive awards during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December 31, 2014 or 2013, since the strategic initiatives set for the awards were not achieved or probable of achievement.</w:t>
      </w:r>
    </w:p>
    <w:p>
      <w:pPr>
        <w:spacing w:after="0" w:line="208"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and accounts payable, approximate their respective fair values due to the short-term nature of such instruments.</w:t>
      </w:r>
    </w:p>
    <w:p>
      <w:pPr>
        <w:spacing w:after="0" w:line="170"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fair value of the Deerfield Convertible Notes and the Term Notes was $42.0 million and $14.1 million, respectively, at December 31, 2015. Both the Deerfield Convertible Notes and Term Notes fall within Level 3 of the fair value hierarchy as their value is based on the credit worthiness of the Company, which is an unobservable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2015 and 2014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Underwriter warrant liability</w:t>
            </w: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Deerfield warrant liability</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Embedded put option</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37,839</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bonds</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8"/>
                <w:szCs w:val="18"/>
                <w:color w:val="auto"/>
              </w:rPr>
              <w:t>Underwriter warrant liability</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2013 warrant liability</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Deerfield warrant liability</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Embedded put option</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liabilities</w:t>
            </w: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The Company’s Underwriter Warrant liability, Deerfield Warrant liability and the embedded Put Option on the Deerfield Warrant are measured at fair value on a recurring basis. The 2013 Warrant liability was recorded at fair value on a recurring basis through the completion of the IPO. As of December 31, 2015 and 2014, the Underwriter Warrant liability, the Deerfield Warrant liability and the embedded Put Option are reported on the balance sheet in derivative and warrant liability. Upon closing of the IPO in April 2015, the 2013 Warrant liability was marked to fair value and then reclassified to equity. The Company used a Monte Carlo simulation to value the Underwriter Warrant liability and the embedded Put Option at December 31, 2015 and 2014. The Company used a Monte Carlo simulation to value the 2013 Warrant liability as of December 31, 2014, and the closing date of the IPO. Significant unobservable inputs used in measuring the fair value of these financial instruments included the Company’s estimated enterprise value, an estimate of the timing of a liquidity event, a present value discount rate and an estimate of the Company’s stock volatility using the volatilities of guideline peer companies. Changes in the fair value of the Underwriter Warrant liability, the 2013 Warrant liability, the Deerfield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Warrant liability and the embedded Put Option are reflected in the statements of operations as a fair value adjustment. A 10% increase in the enterprise value would result in an increase of $0.4 million in the estimated fair value of the Underwriter Warrant liability, an increase of $1.9 million in the estimated fair value of the Deerfield Warrant liability, and no change in the estimated fair value of the embedded Put Option at December 31, 2015.</w:t>
      </w:r>
    </w:p>
    <w:p>
      <w:pPr>
        <w:spacing w:after="0" w:line="166" w:lineRule="exact"/>
        <w:rPr>
          <w:sz w:val="20"/>
          <w:szCs w:val="20"/>
          <w:color w:val="auto"/>
        </w:rPr>
      </w:pPr>
    </w:p>
    <w:p>
      <w:pPr>
        <w:jc w:val="both"/>
        <w:ind w:right="40" w:firstLine="380"/>
        <w:spacing w:after="0" w:line="277"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Issuance of Deerfield warrant</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7,610</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Embedded put option</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Conversion of 2013 Convertible Notes</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2013 warrants to equity</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Exercise of warrants</w:t>
            </w: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to fair value</w:t>
            </w: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7,223</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right="20" w:firstLine="380"/>
        <w:spacing w:after="0" w:line="264" w:lineRule="auto"/>
        <w:rPr>
          <w:sz w:val="20"/>
          <w:szCs w:val="20"/>
          <w:color w:val="auto"/>
        </w:rPr>
      </w:pPr>
      <w:r>
        <w:rPr>
          <w:rFonts w:ascii="Arial" w:cs="Arial" w:eastAsia="Arial" w:hAnsi="Arial"/>
          <w:sz w:val="18"/>
          <w:szCs w:val="18"/>
          <w:color w:val="auto"/>
        </w:rPr>
        <w:t>The Company’s financial statements include a total state tax benefit of $15,000, $22,000 and $20,000 on a loss before income taxes of $54.6 million, $24.5 million and $5.2 million for the years ended December 31, 2015, 2014 and 2013, respectively. A reconciliation of the difference between the benefit for income taxes and income taxes at the statutory U.S. federal income tax rate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0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Effect of:</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valuation allowance</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(38.38)</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State tax benefit (net of federal)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 liability</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(15.28)</w:t>
            </w: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State research and development credit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research and development credit</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4"/>
              </w:rPr>
              <w:t>Conversion feature and put option on 2013 convertible notes</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580"/>
              <w:spacing w:after="0"/>
              <w:rPr>
                <w:sz w:val="20"/>
                <w:szCs w:val="20"/>
                <w:color w:val="auto"/>
              </w:rPr>
            </w:pPr>
            <w:r>
              <w:rPr>
                <w:rFonts w:ascii="Arial" w:cs="Arial" w:eastAsia="Arial" w:hAnsi="Arial"/>
                <w:sz w:val="18"/>
                <w:szCs w:val="18"/>
                <w:color w:val="auto"/>
              </w:rPr>
              <w:t>Federal income tax provision effective rate</w:t>
            </w:r>
          </w:p>
        </w:tc>
        <w:tc>
          <w:tcPr>
            <w:tcW w:w="10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8"/>
                <w:szCs w:val="18"/>
                <w:color w:val="auto"/>
              </w:rPr>
              <w:t>122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deferred tax assets and liabilities are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r>
      <w:tr>
        <w:trPr>
          <w:trHeight w:val="215"/>
        </w:trPr>
        <w:tc>
          <w:tcPr>
            <w:tcW w:w="4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8"/>
                <w:szCs w:val="18"/>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relating to:</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26,617</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16,390</w:t>
            </w:r>
          </w:p>
        </w:tc>
        <w:tc>
          <w:tcPr>
            <w:tcW w:w="24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9,606</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carryforward</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deferred tax assets</w:t>
            </w: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29,103</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8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liabilities relating to:</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r>
      <w:tr>
        <w:trPr>
          <w:trHeight w:val="22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gross deferred tax liabilities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less liabilities</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10,405</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(29,023)</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(18,096)</w:t>
            </w: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(10,405)</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not realize the benefits of these deductible differences in the future.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had the following federal net operating loss carryforward and research activities credits as of December 31, 2015 (in thousands):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center"/>
              <w:ind w:right="394"/>
              <w:spacing w:after="0"/>
              <w:rPr>
                <w:sz w:val="20"/>
                <w:szCs w:val="20"/>
                <w:color w:val="auto"/>
              </w:rPr>
            </w:pPr>
            <w:r>
              <w:rPr>
                <w:rFonts w:ascii="Arial" w:cs="Arial" w:eastAsia="Arial" w:hAnsi="Arial"/>
                <w:sz w:val="14"/>
                <w:szCs w:val="14"/>
                <w:b w:val="1"/>
                <w:bCs w:val="1"/>
                <w:color w:val="auto"/>
                <w:w w:val="88"/>
              </w:rPr>
              <w:t>Research</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Net Operating</w:t>
            </w:r>
          </w:p>
        </w:tc>
        <w:tc>
          <w:tcPr>
            <w:tcW w:w="440" w:type="dxa"/>
            <w:vAlign w:val="bottom"/>
          </w:tcPr>
          <w:p>
            <w:pPr>
              <w:spacing w:after="0"/>
              <w:rPr>
                <w:sz w:val="14"/>
                <w:szCs w:val="14"/>
                <w:color w:val="auto"/>
              </w:rPr>
            </w:pPr>
          </w:p>
        </w:tc>
        <w:tc>
          <w:tcPr>
            <w:tcW w:w="1560" w:type="dxa"/>
            <w:vAlign w:val="bottom"/>
          </w:tcPr>
          <w:p>
            <w:pPr>
              <w:jc w:val="center"/>
              <w:ind w:right="394"/>
              <w:spacing w:after="0"/>
              <w:rPr>
                <w:sz w:val="20"/>
                <w:szCs w:val="20"/>
                <w:color w:val="auto"/>
              </w:rPr>
            </w:pPr>
            <w:r>
              <w:rPr>
                <w:rFonts w:ascii="Arial" w:cs="Arial" w:eastAsia="Arial" w:hAnsi="Arial"/>
                <w:sz w:val="14"/>
                <w:szCs w:val="14"/>
                <w:b w:val="1"/>
                <w:bCs w:val="1"/>
                <w:color w:val="auto"/>
                <w:w w:val="89"/>
              </w:rPr>
              <w:t>Activities</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Year Incurred</w:t>
            </w:r>
          </w:p>
        </w:tc>
        <w:tc>
          <w:tcPr>
            <w:tcW w:w="280" w:type="dxa"/>
            <w:vAlign w:val="bottom"/>
          </w:tcPr>
          <w:p>
            <w:pPr>
              <w:spacing w:after="0"/>
              <w:rPr>
                <w:sz w:val="14"/>
                <w:szCs w:val="1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Loss Carryforwards</w:t>
            </w:r>
          </w:p>
        </w:tc>
        <w:tc>
          <w:tcPr>
            <w:tcW w:w="440" w:type="dxa"/>
            <w:vAlign w:val="bottom"/>
          </w:tcPr>
          <w:p>
            <w:pPr>
              <w:spacing w:after="0"/>
              <w:rPr>
                <w:sz w:val="14"/>
                <w:szCs w:val="14"/>
                <w:color w:val="auto"/>
              </w:rPr>
            </w:pPr>
          </w:p>
        </w:tc>
        <w:tc>
          <w:tcPr>
            <w:tcW w:w="1560" w:type="dxa"/>
            <w:vAlign w:val="bottom"/>
          </w:tcPr>
          <w:p>
            <w:pPr>
              <w:jc w:val="center"/>
              <w:ind w:right="394"/>
              <w:spacing w:after="0"/>
              <w:rPr>
                <w:sz w:val="20"/>
                <w:szCs w:val="20"/>
                <w:color w:val="auto"/>
              </w:rPr>
            </w:pPr>
            <w:r>
              <w:rPr>
                <w:rFonts w:ascii="Arial" w:cs="Arial" w:eastAsia="Arial" w:hAnsi="Arial"/>
                <w:sz w:val="14"/>
                <w:szCs w:val="14"/>
                <w:b w:val="1"/>
                <w:bCs w:val="1"/>
                <w:color w:val="auto"/>
                <w:w w:val="98"/>
              </w:rPr>
              <w:t>Credit</w:t>
            </w:r>
          </w:p>
        </w:tc>
        <w:tc>
          <w:tcPr>
            <w:tcW w:w="280" w:type="dxa"/>
            <w:vAlign w:val="bottom"/>
          </w:tcPr>
          <w:p>
            <w:pPr>
              <w:spacing w:after="0"/>
              <w:rPr>
                <w:sz w:val="14"/>
                <w:szCs w:val="14"/>
                <w:color w:val="auto"/>
              </w:rPr>
            </w:pPr>
          </w:p>
        </w:tc>
        <w:tc>
          <w:tcPr>
            <w:tcW w:w="1880" w:type="dxa"/>
            <w:vAlign w:val="bottom"/>
            <w:gridSpan w:val="2"/>
          </w:tcPr>
          <w:p>
            <w:pPr>
              <w:ind w:left="540"/>
              <w:spacing w:after="0"/>
              <w:rPr>
                <w:sz w:val="20"/>
                <w:szCs w:val="20"/>
                <w:color w:val="auto"/>
              </w:rPr>
            </w:pPr>
            <w:r>
              <w:rPr>
                <w:rFonts w:ascii="Arial" w:cs="Arial" w:eastAsia="Arial" w:hAnsi="Arial"/>
                <w:sz w:val="14"/>
                <w:szCs w:val="14"/>
                <w:b w:val="1"/>
                <w:bCs w:val="1"/>
                <w:color w:val="auto"/>
              </w:rPr>
              <w:t>Expiration</w:t>
            </w:r>
          </w:p>
        </w:tc>
      </w:tr>
      <w:tr>
        <w:trPr>
          <w:trHeight w:val="223"/>
        </w:trPr>
        <w:tc>
          <w:tcPr>
            <w:tcW w:w="20" w:type="dxa"/>
            <w:vAlign w:val="bottom"/>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15,819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24,189</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62,405</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also has certain state net operating loss carryforwards totaling $59.7 million that expire between 2027 and 2035. Due to potential ownership changes that may have occurred or would occur in the future, IRC Section 382 may place additional limitations on the Company’s ability to utilize the net operating loss carryforward.</w:t>
      </w:r>
    </w:p>
    <w:p>
      <w:pPr>
        <w:spacing w:after="0" w:line="181" w:lineRule="exact"/>
        <w:rPr>
          <w:sz w:val="20"/>
          <w:szCs w:val="20"/>
          <w:color w:val="auto"/>
        </w:rPr>
      </w:pPr>
    </w:p>
    <w:p>
      <w:pPr>
        <w:jc w:val="both"/>
        <w:ind w:firstLine="380"/>
        <w:spacing w:after="0" w:line="342" w:lineRule="auto"/>
        <w:rPr>
          <w:sz w:val="20"/>
          <w:szCs w:val="20"/>
          <w:color w:val="auto"/>
        </w:rPr>
      </w:pPr>
      <w:r>
        <w:rPr>
          <w:rFonts w:ascii="Arial" w:cs="Arial" w:eastAsia="Arial" w:hAnsi="Arial"/>
          <w:sz w:val="16"/>
          <w:szCs w:val="16"/>
          <w:color w:val="auto"/>
        </w:rPr>
        <w:t xml:space="preserve">Financial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uses the term “more likely than not” to evaluate whether or not a tax position will be sustained upon examination. The Company has not identified any tax positions that do not meet the more likely than not threshold.</w:t>
      </w:r>
    </w:p>
    <w:p>
      <w:pPr>
        <w:spacing w:after="0" w:line="106"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earnings that participating securities would have been entitled to receive pursuant to their dividend rights had all of the year’s earnings been distributed. No such adjustment to earnings is made during periods with a net loss as the holders of the participating securities have no obligation to fund losses. Diluted net loss per common share is computed under the two-class method by using the weighted average number of shares of common stock outstanding plus, for periods with net income attributable to common stockholders, the potential dilutive effects of stock options and warrants. In addition, the Company analyzes the potential dilutive effect of the outstanding participating securities under the if-converted method when calculating diluted earnings per share in which it is assumed that the outstanding participating securities convert into common stock at the beginning of the period. The Company reports the more dilutive of the approaches (two-class or if-converted) as its diluted net income per share during the period.</w:t>
      </w:r>
    </w:p>
    <w:p>
      <w:pPr>
        <w:spacing w:after="0" w:line="17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and net loss per share of the Company (in thousands, except share and per share amounts):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loss -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80" w:type="dxa"/>
            <w:vAlign w:val="bottom"/>
            <w:shd w:val="clear" w:color="auto" w:fill="CFF0FC"/>
          </w:tcPr>
          <w:p>
            <w:pPr>
              <w:spacing w:after="0"/>
              <w:rPr>
                <w:sz w:val="19"/>
                <w:szCs w:val="19"/>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w w:val="98"/>
              </w:rPr>
              <w:t>Weighted-average number of common shares - basic and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7,368,681</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2,381,041</w:t>
            </w: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2,381,041</w:t>
            </w:r>
          </w:p>
        </w:tc>
        <w:tc>
          <w:tcPr>
            <w:tcW w:w="80" w:type="dxa"/>
            <w:vAlign w:val="bottom"/>
            <w:tcBorders>
              <w:bottom w:val="single" w:sz="8" w:color="CFF0FC"/>
            </w:tcBorders>
          </w:tcPr>
          <w:p>
            <w:pPr>
              <w:spacing w:after="0"/>
              <w:rPr>
                <w:sz w:val="20"/>
                <w:szCs w:val="20"/>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Diluted net loss per share is the same as basic net loss per share for all periods presented because the effects of potentially dilutive items were anti-dilutive given the Company’s net loss. The following securities, presented on a common stock equivalent basis, have been excluded from the calculation of weighted average common shares outstanding because their effect is anti-dilutive:</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Series 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1,293,838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1,293,838</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B</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829,234</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829,234</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Series C</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2,474,122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2,474,122</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967,359</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Pr>
          <w:p>
            <w:pPr>
              <w:ind w:left="240"/>
              <w:spacing w:after="0"/>
              <w:rPr>
                <w:sz w:val="20"/>
                <w:szCs w:val="20"/>
                <w:color w:val="auto"/>
              </w:rPr>
            </w:pPr>
            <w:r>
              <w:rPr>
                <w:rFonts w:ascii="Arial" w:cs="Arial" w:eastAsia="Arial" w:hAnsi="Arial"/>
                <w:sz w:val="18"/>
                <w:szCs w:val="18"/>
                <w:color w:val="auto"/>
              </w:rPr>
              <w:t>Total redeemable convertible preferred stock</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5,564,553</w:t>
            </w:r>
          </w:p>
        </w:tc>
        <w:tc>
          <w:tcPr>
            <w:tcW w:w="2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4,597,194</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2,325,383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595,920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595,920</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Warrants to purchase Series D preferred stock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2,066,970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143,893</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Awards under equity incentive plans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1,397,511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395,185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296,255</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2013 Convertible Notes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683,417</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Deerfield Convertible Notes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1,991,219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1,808,353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has a 401(k) retirement plan (the “401(k) Plan”) that covers all employees. The Company may provide a discretionary match with a maximum amount of 4% of the participant’s compensation, which vests immediately. The Company made matching contributions under the 401(k) Plan of $113,000, $69,000 and $50,000 for the years ended December 31, 2015, 2014 and 2013, respectively.</w:t>
      </w:r>
    </w:p>
    <w:p>
      <w:pPr>
        <w:spacing w:after="0" w:line="181"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The Company has a discretionary profit sharing plan (the “Profit Sharing Plan”) that covers all employees. Employees become eligible participants in the Profit Sharing Plan once they have provided three years of service to the Company. The Company made no contributions to the Profit Sharing Plan in 2015, 2014 or 2013.</w:t>
      </w:r>
    </w:p>
    <w:p>
      <w:pPr>
        <w:spacing w:after="0" w:line="164"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Amendment to Senior Secured Convertible Note and Warrant</w:t>
      </w:r>
    </w:p>
    <w:p>
      <w:pPr>
        <w:spacing w:after="0" w:line="225" w:lineRule="exact"/>
        <w:rPr>
          <w:sz w:val="20"/>
          <w:szCs w:val="20"/>
          <w:color w:val="auto"/>
        </w:rPr>
      </w:pPr>
    </w:p>
    <w:p>
      <w:pPr>
        <w:jc w:val="both"/>
        <w:ind w:firstLine="380"/>
        <w:spacing w:after="0" w:line="264" w:lineRule="auto"/>
        <w:rPr>
          <w:sz w:val="20"/>
          <w:szCs w:val="20"/>
          <w:color w:val="auto"/>
        </w:rPr>
      </w:pPr>
      <w:r>
        <w:rPr>
          <w:rFonts w:ascii="Arial" w:cs="Arial" w:eastAsia="Arial" w:hAnsi="Arial"/>
          <w:sz w:val="18"/>
          <w:szCs w:val="18"/>
          <w:color w:val="auto"/>
        </w:rPr>
        <w:t>On January 6, 2016, the Company, entered into a Second Amendment (the “Second Amendment”) to the Deerfield Convertible Notes and Deerfield Warrant, by and between the Company and Deerfield. The Second Amendment, among other things, clarified the calculation of an anti-dilution adjustment of the conversion price and exercise price of the Deerfield Convertible Notes and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Deerfield Warrant, respectively, in the event that the Company effects a firm commitment underwritten public offering of its securities. Except as modified by the Second Amendment and Third Amendment (as described below), all terms and conditions of the Deerfield Convertible Notes and Deerfield Warrant remain in full force and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Registration Statement on Form S-1</w:t>
      </w:r>
    </w:p>
    <w:p>
      <w:pPr>
        <w:spacing w:after="0" w:line="22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8"/>
          <w:szCs w:val="18"/>
          <w:color w:val="auto"/>
        </w:rPr>
        <w:t>On February 3, 2016, the Company requested that the Securities and Exchange Commission (the “Commission”) consent to the withdrawal of the Company’s Registration Statement on Form S-1 filed with the Commission on December 18,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5.50% Senior Convertible Notes and Third Amendment to Senior Secured Convertible Note and Warrant</w:t>
      </w:r>
    </w:p>
    <w:p>
      <w:pPr>
        <w:spacing w:after="0" w:line="225" w:lineRule="exact"/>
        <w:rPr>
          <w:sz w:val="20"/>
          <w:szCs w:val="20"/>
          <w:color w:val="auto"/>
        </w:rPr>
      </w:pPr>
    </w:p>
    <w:p>
      <w:pPr>
        <w:jc w:val="both"/>
        <w:ind w:firstLine="380"/>
        <w:spacing w:after="0" w:line="308" w:lineRule="auto"/>
        <w:rPr>
          <w:sz w:val="20"/>
          <w:szCs w:val="20"/>
          <w:color w:val="auto"/>
        </w:rPr>
      </w:pPr>
      <w:r>
        <w:rPr>
          <w:rFonts w:ascii="Arial" w:cs="Arial" w:eastAsia="Arial" w:hAnsi="Arial"/>
          <w:sz w:val="17"/>
          <w:szCs w:val="17"/>
          <w:color w:val="auto"/>
        </w:rPr>
        <w:t>On February 9, 2016, the Company issued $86.25 million aggregate principal amount of the 2021 Notes to Initial Purchasers, who subsequently resold the 2021 Notes to qualified institutional buyers in reliance on the exemption from registration provided by Rule 144A under the Securities Act.</w:t>
      </w:r>
    </w:p>
    <w:p>
      <w:pPr>
        <w:spacing w:after="0" w:line="14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Notes, plus all accrued but unpaid interest on the Term Notes, a make whole interest payment on the term note and a prepayment premium on the Term Notes.</w:t>
      </w:r>
    </w:p>
    <w:p>
      <w:pPr>
        <w:spacing w:after="0" w:line="187"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7"/>
          <w:szCs w:val="17"/>
          <w:color w:val="auto"/>
        </w:rPr>
        <w:t>The 2021 Notes were issued pursuant to the Indenture. Interest on the 2021 Notes will be payable semi-annually in cash in arrears on February 1 and August 1 of each year, beginning on August 1, 2016, at a rate of 5.50% per year. The 2021 Notes mature on February 1, 2021 unless earlier converted or repurchased. The 2021 Notes are not redeemable prior to the maturity date, and no sinking fund is provided for the 2021 Notes.</w:t>
      </w:r>
    </w:p>
    <w:p>
      <w:pPr>
        <w:spacing w:after="0" w:line="16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2021 Notes are convertible at an initial conversion rate of 58.4454 shares of the Company’s common stock per $1,000 principal amount of the 2021 Notes, subject to adjustment under the Indenture, which is equal to an initial conversion price of approximately $17.11 per share of common stock. Upon conversion, the 2021 Notes will be settled in shares of the Company’s common stock, together with a cash payment in lieu of delivering any fractional share. The conversion rate will be subject to adjustment in some events but will not be adjusted for any accrued and unpaid interest. In addition, following certain corporate events that occur prior to the maturity date, the Company will increase the conversion rate for a holder who elects to convert its 2021 Notes in connection with such a corporate event in certain circumstances. The 2021 Notes contain an embedded derivative that will be bifurcated and marked to market each period.</w:t>
      </w:r>
    </w:p>
    <w:p>
      <w:pPr>
        <w:spacing w:after="0" w:line="18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In connection with the Note Offering, on February 3, 2016, the Company entered into the Third Amendment to the Deerfield Facility Agreement, Deerfield Convertible Notes and Deerfield Warrant with Deerfield. The Third Amendment, among other things, eliminated the Company’s ability to require Deerfield to convert the Deerfield Convertible Notes into Company common stock. In addition, pursuant to the Third Amendment, Deerfield consented to the prepayment of the Term Notes and the issuance of the 2021 Notes. Except as modified by the Third Amendment, all terms and conditions of the Deerfield Facility Agreement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231F20"/>
        </w:rPr>
        <w:t>Quarterly Results of Operations (unaudited)</w:t>
      </w:r>
    </w:p>
    <w:p>
      <w:pPr>
        <w:spacing w:after="0" w:line="229"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8"/>
          <w:szCs w:val="18"/>
          <w:color w:val="auto"/>
        </w:rPr>
        <w:t>The following tables set forth unaudited quarterly statements of operations data for each of the quarters indicated. The financial statements for each of these quarters have been prepared on the same basis as the audited financial statements included herein and, in the opinion of management, include all adjustments, consisting only of normal recurring adjustments, necessary for the fair statement of the results of operations for these periods. You should read this information together with our financial statements and related notes included herein. These quarterly operating results are not necessarily indicative of the results for any future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69" w:lineRule="exact"/>
        <w:rPr>
          <w:sz w:val="20"/>
          <w:szCs w:val="20"/>
          <w:color w:val="auto"/>
        </w:rPr>
      </w:pPr>
    </w:p>
    <w:p>
      <w:pPr>
        <w:ind w:left="300" w:right="260"/>
        <w:spacing w:after="0" w:line="399" w:lineRule="auto"/>
        <w:rPr>
          <w:sz w:val="20"/>
          <w:szCs w:val="20"/>
          <w:color w:val="auto"/>
        </w:rPr>
      </w:pPr>
      <w:r>
        <w:rPr>
          <w:rFonts w:ascii="Arial" w:cs="Arial" w:eastAsia="Arial" w:hAnsi="Arial"/>
          <w:sz w:val="12"/>
          <w:szCs w:val="12"/>
          <w:color w:val="auto"/>
        </w:rPr>
        <w:t>Research and development General and administrative</w:t>
      </w:r>
    </w:p>
    <w:p>
      <w:pPr>
        <w:ind w:right="100" w:firstLine="576"/>
        <w:spacing w:after="0" w:line="352" w:lineRule="auto"/>
        <w:rPr>
          <w:sz w:val="20"/>
          <w:szCs w:val="20"/>
          <w:color w:val="auto"/>
        </w:rPr>
      </w:pPr>
      <w:r>
        <w:rPr>
          <w:rFonts w:ascii="Arial" w:cs="Arial" w:eastAsia="Arial" w:hAnsi="Arial"/>
          <w:sz w:val="14"/>
          <w:szCs w:val="14"/>
          <w:color w:val="auto"/>
        </w:rPr>
        <w:t>Total operating expenses Loss from operations</w:t>
      </w:r>
    </w:p>
    <w:p>
      <w:pPr>
        <w:spacing w:after="0"/>
        <w:rPr>
          <w:sz w:val="20"/>
          <w:szCs w:val="20"/>
          <w:color w:val="auto"/>
        </w:rPr>
      </w:pPr>
      <w:r>
        <w:rPr>
          <w:rFonts w:ascii="Arial" w:cs="Arial" w:eastAsia="Arial" w:hAnsi="Arial"/>
          <w:sz w:val="14"/>
          <w:szCs w:val="14"/>
          <w:color w:val="auto"/>
        </w:rPr>
        <w:t>Other income (expenses):</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Gain on extinguishment of debt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Amortization of debt discount</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Interest expense</w:t>
      </w:r>
    </w:p>
    <w:p>
      <w:pPr>
        <w:spacing w:after="0" w:line="69" w:lineRule="exact"/>
        <w:rPr>
          <w:sz w:val="20"/>
          <w:szCs w:val="20"/>
          <w:color w:val="auto"/>
        </w:rPr>
      </w:pPr>
    </w:p>
    <w:p>
      <w:pPr>
        <w:ind w:left="300" w:right="360"/>
        <w:spacing w:after="0" w:line="399" w:lineRule="auto"/>
        <w:rPr>
          <w:sz w:val="20"/>
          <w:szCs w:val="20"/>
          <w:color w:val="auto"/>
        </w:rPr>
      </w:pPr>
      <w:r>
        <w:rPr>
          <w:rFonts w:ascii="Arial" w:cs="Arial" w:eastAsia="Arial" w:hAnsi="Arial"/>
          <w:sz w:val="12"/>
          <w:szCs w:val="12"/>
          <w:color w:val="auto"/>
        </w:rPr>
        <w:t>Fair value adjustment Interest and other income</w:t>
      </w:r>
    </w:p>
    <w:p>
      <w:pPr>
        <w:ind w:left="580"/>
        <w:spacing w:after="0"/>
        <w:rPr>
          <w:sz w:val="20"/>
          <w:szCs w:val="20"/>
          <w:color w:val="auto"/>
        </w:rPr>
      </w:pPr>
      <w:r>
        <w:rPr>
          <w:rFonts w:ascii="Arial" w:cs="Arial" w:eastAsia="Arial" w:hAnsi="Arial"/>
          <w:sz w:val="14"/>
          <w:szCs w:val="14"/>
          <w:color w:val="auto"/>
        </w:rPr>
        <w:t>Total other expenses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Loss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Net loss per share:</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Basic and diluted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Three-Months Ended</w:t>
            </w: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11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 31,</w:t>
            </w: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Sep 30,</w:t>
            </w: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Jun 30,</w:t>
            </w:r>
          </w:p>
        </w:tc>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Mar 31,</w:t>
            </w:r>
          </w:p>
        </w:tc>
        <w:tc>
          <w:tcPr>
            <w:tcW w:w="11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9"/>
              </w:rPr>
              <w:t>Dec 31,</w:t>
            </w:r>
          </w:p>
        </w:tc>
        <w:tc>
          <w:tcPr>
            <w:tcW w:w="1020" w:type="dxa"/>
            <w:vAlign w:val="bottom"/>
          </w:tcPr>
          <w:p>
            <w:pPr>
              <w:jc w:val="right"/>
              <w:ind w:right="368"/>
              <w:spacing w:after="0"/>
              <w:rPr>
                <w:sz w:val="20"/>
                <w:szCs w:val="20"/>
                <w:color w:val="auto"/>
              </w:rPr>
            </w:pPr>
            <w:r>
              <w:rPr>
                <w:rFonts w:ascii="Arial" w:cs="Arial" w:eastAsia="Arial" w:hAnsi="Arial"/>
                <w:sz w:val="14"/>
                <w:szCs w:val="14"/>
                <w:b w:val="1"/>
                <w:bCs w:val="1"/>
                <w:color w:val="auto"/>
              </w:rPr>
              <w:t>Sep 30,</w:t>
            </w: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Jun 30,</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 31,</w:t>
            </w:r>
          </w:p>
        </w:tc>
      </w:tr>
      <w:tr>
        <w:trPr>
          <w:trHeight w:val="215"/>
        </w:trPr>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r>
      <w:tr>
        <w:trPr>
          <w:trHeight w:val="22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    —</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    —</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459"/>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4,716</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4,328</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2,768</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2,119</w:t>
            </w:r>
          </w:p>
        </w:tc>
        <w:tc>
          <w:tcPr>
            <w:tcW w:w="56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5,911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3,253</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1,715</w:t>
            </w:r>
          </w:p>
        </w:tc>
        <w:tc>
          <w:tcPr>
            <w:tcW w:w="920" w:type="dxa"/>
            <w:vAlign w:val="bottom"/>
          </w:tcPr>
          <w:p>
            <w:pPr>
              <w:jc w:val="right"/>
              <w:spacing w:after="0"/>
              <w:rPr>
                <w:sz w:val="20"/>
                <w:szCs w:val="20"/>
                <w:color w:val="auto"/>
              </w:rPr>
            </w:pPr>
            <w:r>
              <w:rPr>
                <w:rFonts w:ascii="Arial" w:cs="Arial" w:eastAsia="Arial" w:hAnsi="Arial"/>
                <w:sz w:val="14"/>
                <w:szCs w:val="14"/>
                <w:color w:val="auto"/>
              </w:rPr>
              <w:t>1,038</w:t>
            </w:r>
          </w:p>
        </w:tc>
      </w:tr>
      <w:tr>
        <w:trPr>
          <w:trHeight w:val="215"/>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2,566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2,152</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3,188</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977</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1,577</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1,086</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r>
      <w:tr>
        <w:trPr>
          <w:trHeight w:val="210"/>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7,282</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6,480</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5,956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3,096</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7,488</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4,339</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w:t>
            </w:r>
          </w:p>
        </w:tc>
      </w:tr>
      <w:tr>
        <w:trPr>
          <w:trHeight w:val="210"/>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(7,282)</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(6,480)</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(5,956)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(3,096)</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(7,488)</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(4,339)</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w:t>
            </w:r>
          </w:p>
        </w:tc>
      </w:tr>
      <w:tr>
        <w:trPr>
          <w:trHeight w:val="454"/>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1,900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(475)</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(479)</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(477)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(477)</w:t>
            </w:r>
          </w:p>
        </w:tc>
        <w:tc>
          <w:tcPr>
            <w:tcW w:w="56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(478)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(477)</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(698)</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(687)</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(654)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(632)</w:t>
            </w:r>
          </w:p>
        </w:tc>
        <w:tc>
          <w:tcPr>
            <w:tcW w:w="56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(631)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9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30"/>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(764)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(2,089)</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(22,661)</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(1,762)</w:t>
            </w:r>
          </w:p>
        </w:tc>
        <w:tc>
          <w:tcPr>
            <w:tcW w:w="56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w w:val="90"/>
              </w:rPr>
              <w:t>(3,221)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(2,189)</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(1,570)</w:t>
            </w:r>
          </w:p>
        </w:tc>
        <w:tc>
          <w:tcPr>
            <w:tcW w:w="92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15"/>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(1,922)</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(3,244)</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(23,787)</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(2,871)</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(4,326)</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(2,836)</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r>
      <w:tr>
        <w:trPr>
          <w:trHeight w:val="22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(9,204)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(9,724)</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(29,743)</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(5,967)</w:t>
            </w: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(11,814)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(7,175)</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(3,578)</w:t>
            </w:r>
          </w:p>
        </w:tc>
        <w:tc>
          <w:tcPr>
            <w:tcW w:w="920" w:type="dxa"/>
            <w:vAlign w:val="bottom"/>
          </w:tcPr>
          <w:p>
            <w:pPr>
              <w:jc w:val="right"/>
              <w:spacing w:after="0"/>
              <w:rPr>
                <w:sz w:val="20"/>
                <w:szCs w:val="20"/>
                <w:color w:val="auto"/>
              </w:rPr>
            </w:pPr>
            <w:r>
              <w:rPr>
                <w:rFonts w:ascii="Arial" w:cs="Arial" w:eastAsia="Arial" w:hAnsi="Arial"/>
                <w:sz w:val="14"/>
                <w:szCs w:val="14"/>
                <w:color w:val="auto"/>
              </w:rPr>
              <w:t>(1,910)</w:t>
            </w:r>
          </w:p>
        </w:tc>
      </w:tr>
      <w:tr>
        <w:trPr>
          <w:trHeight w:val="215"/>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$(9,203)</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$(9,744)</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$(29,743)</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$(5,974)</w:t>
            </w:r>
          </w:p>
        </w:tc>
        <w:tc>
          <w:tcPr>
            <w:tcW w:w="11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$(11,841)</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$(7,137)</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$(3,572)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(0.64)</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(0.68)</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  (2.45)</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(2.50)</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(4.97)</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(3.00)</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(0.80)</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-2494915</wp:posOffset>
            </wp:positionV>
            <wp:extent cx="72466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-2203450</wp:posOffset>
            </wp:positionV>
            <wp:extent cx="72466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-1911985</wp:posOffset>
            </wp:positionV>
            <wp:extent cx="72466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-1619885</wp:posOffset>
            </wp:positionV>
            <wp:extent cx="72466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-1328420</wp:posOffset>
            </wp:positionV>
            <wp:extent cx="72466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-1036955</wp:posOffset>
            </wp:positionV>
            <wp:extent cx="72466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-745490</wp:posOffset>
            </wp:positionV>
            <wp:extent cx="72466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-454025</wp:posOffset>
            </wp:positionV>
            <wp:extent cx="72466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-162560</wp:posOffset>
            </wp:positionV>
            <wp:extent cx="72466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5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6920" w:type="dxa"/>
            <w:vAlign w:val="bottom"/>
            <w:gridSpan w:val="2"/>
          </w:tcPr>
          <w:p>
            <w:pPr>
              <w:ind w:left="2360"/>
              <w:spacing w:after="0"/>
              <w:rPr>
                <w:sz w:val="20"/>
                <w:szCs w:val="20"/>
                <w:color w:val="auto"/>
              </w:rPr>
            </w:pPr>
            <w:r>
              <w:rPr>
                <w:rFonts w:ascii="Arial" w:cs="Arial" w:eastAsia="Arial" w:hAnsi="Arial"/>
                <w:sz w:val="18"/>
                <w:szCs w:val="18"/>
                <w:color w:val="auto"/>
              </w:rPr>
              <w:t>KEMPHARM, INC.</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Dated: March 15, 2016</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40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6"/>
        </w:trPr>
        <w:tc>
          <w:tcPr>
            <w:tcW w:w="40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Dated: March 15, 2016</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211"/>
        </w:trPr>
        <w:tc>
          <w:tcPr>
            <w:tcW w:w="40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 LaDuane Clifton</w:t>
            </w:r>
          </w:p>
        </w:tc>
      </w:tr>
    </w:tbl>
    <w:p>
      <w:pPr>
        <w:ind w:left="7320"/>
        <w:spacing w:after="0"/>
        <w:rPr>
          <w:sz w:val="20"/>
          <w:szCs w:val="20"/>
          <w:color w:val="auto"/>
        </w:rPr>
      </w:pPr>
      <w:r>
        <w:rPr>
          <w:rFonts w:ascii="Arial" w:cs="Arial" w:eastAsia="Arial" w:hAnsi="Arial"/>
          <w:sz w:val="18"/>
          <w:szCs w:val="18"/>
          <w:color w:val="auto"/>
        </w:rPr>
        <w:t>Chief Financial Officer and Secretary</w:t>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20" w:firstLine="380"/>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hereby constitute and appoint Travis C. Mickle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8"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r>
      <w:tr>
        <w:trPr>
          <w:trHeight w:val="195"/>
        </w:trPr>
        <w:tc>
          <w:tcPr>
            <w:tcW w:w="4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President, Chief Executive Officer and</w:t>
            </w:r>
          </w:p>
        </w:tc>
        <w:tc>
          <w:tcPr>
            <w:tcW w:w="1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c>
          <w:tcPr>
            <w:tcW w:w="120" w:type="dxa"/>
            <w:vAlign w:val="bottom"/>
          </w:tcPr>
          <w:p>
            <w:pPr>
              <w:spacing w:after="0"/>
              <w:rPr>
                <w:sz w:val="20"/>
                <w:szCs w:val="20"/>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0"/>
                <w:szCs w:val="20"/>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Travis C. Mickle, Ph.D.</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Financial Officer and Secretary</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c>
          <w:tcPr>
            <w:tcW w:w="120" w:type="dxa"/>
            <w:vAlign w:val="bottom"/>
          </w:tcPr>
          <w:p>
            <w:pPr>
              <w:spacing w:after="0"/>
              <w:rPr>
                <w:sz w:val="20"/>
                <w:szCs w:val="20"/>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0"/>
                <w:szCs w:val="20"/>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 LaDuane Clifton</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Danny L. Thompson</w:t>
            </w: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Danny L. Thompson</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R. Plooster</w:t>
            </w: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Matthew R. Plooster</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 Pascoe</w:t>
            </w: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Richard W. Pascoe</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Saluri</w:t>
            </w: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Joseph B. Saluri</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Tierney</w:t>
            </w:r>
          </w:p>
        </w:tc>
        <w:tc>
          <w:tcPr>
            <w:tcW w:w="12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15, 2016</w:t>
            </w: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David S. Tierney</w:t>
            </w:r>
          </w:p>
        </w:tc>
        <w:tc>
          <w:tcPr>
            <w:tcW w:w="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23"/>
        </w:trPr>
        <w:tc>
          <w:tcPr>
            <w:tcW w:w="4580" w:type="dxa"/>
            <w:vAlign w:val="bottom"/>
          </w:tcPr>
          <w:p>
            <w:pPr>
              <w:spacing w:after="0"/>
              <w:rPr>
                <w:sz w:val="24"/>
                <w:szCs w:val="24"/>
                <w:color w:val="auto"/>
              </w:rPr>
            </w:pPr>
          </w:p>
        </w:tc>
        <w:tc>
          <w:tcPr>
            <w:tcW w:w="4440" w:type="dxa"/>
            <w:vAlign w:val="bottom"/>
            <w:gridSpan w:val="2"/>
          </w:tcPr>
          <w:p>
            <w:pPr>
              <w:jc w:val="right"/>
              <w:ind w:right="309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8" w:name="page129"/>
    <w:bookmarkEnd w:id="128"/>
    <w:p>
      <w:pPr>
        <w:jc w:val="center"/>
        <w:ind w:right="1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980" w:right="220" w:hanging="790"/>
        <w:spacing w:after="0" w:line="249" w:lineRule="auto"/>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by and between Shire LLC and Travis C. Mickle, Ph.D. and the Registrant, dated as of March 21, 2012 (incorporated herein by reference to the Registrant’s Amendment No. 1 to Registration Statement on Form S-1/A (File No. 333-202660) as filed with the SEC on April 3, 2015).</w:t>
      </w:r>
    </w:p>
    <w:p>
      <w:pPr>
        <w:spacing w:after="0" w:line="3" w:lineRule="exact"/>
        <w:rPr>
          <w:sz w:val="20"/>
          <w:szCs w:val="20"/>
          <w:color w:val="auto"/>
        </w:rPr>
      </w:pPr>
    </w:p>
    <w:p>
      <w:pPr>
        <w:ind w:left="980" w:right="180" w:hanging="739"/>
        <w:spacing w:after="0" w:line="250" w:lineRule="auto"/>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KemPharm, Inc. (incorporated herein by reference to the Registrant’s Current Report on Form 8-K as filed with the SEC on April 21, 2015).</w:t>
      </w:r>
    </w:p>
    <w:p>
      <w:pPr>
        <w:spacing w:after="0" w:line="1" w:lineRule="exact"/>
        <w:rPr>
          <w:sz w:val="20"/>
          <w:szCs w:val="20"/>
          <w:color w:val="auto"/>
        </w:rPr>
      </w:pPr>
    </w:p>
    <w:p>
      <w:pPr>
        <w:ind w:left="980" w:hanging="739"/>
        <w:spacing w:after="0" w:line="250" w:lineRule="auto"/>
        <w:tabs>
          <w:tab w:leader="none" w:pos="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as currently in effect, of KemPharm, Inc. (incorporated herein by reference to the Registrant’s Current Report on Form 8-K as filed with the SEC on April 21, 2015).</w:t>
      </w:r>
    </w:p>
    <w:p>
      <w:pPr>
        <w:spacing w:after="0" w:line="1" w:lineRule="exact"/>
        <w:rPr>
          <w:sz w:val="20"/>
          <w:szCs w:val="20"/>
          <w:color w:val="auto"/>
        </w:rPr>
      </w:pPr>
    </w:p>
    <w:p>
      <w:pPr>
        <w:ind w:left="24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Reference is made to Exhibits 3.1 and 3.2 hereof.</w:t>
      </w:r>
    </w:p>
    <w:p>
      <w:pPr>
        <w:spacing w:after="0" w:line="9" w:lineRule="exact"/>
        <w:rPr>
          <w:sz w:val="20"/>
          <w:szCs w:val="20"/>
          <w:color w:val="auto"/>
        </w:rPr>
      </w:pPr>
    </w:p>
    <w:p>
      <w:pPr>
        <w:ind w:left="980" w:right="260" w:hanging="739"/>
        <w:spacing w:after="0" w:line="250" w:lineRule="auto"/>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stock certificate evidencing shares of Common Stock (incorporated herein by reference to the Registrant’s Amendment No. 2 to Registration Statement on Form S-1/A (File No. 333-202660) as filed with the SEC on April 9, 2015).</w:t>
      </w:r>
    </w:p>
    <w:p>
      <w:pPr>
        <w:spacing w:after="0" w:line="1" w:lineRule="exact"/>
        <w:rPr>
          <w:sz w:val="20"/>
          <w:szCs w:val="20"/>
          <w:color w:val="auto"/>
        </w:rPr>
      </w:pPr>
    </w:p>
    <w:p>
      <w:pPr>
        <w:ind w:left="980" w:right="20" w:hanging="739"/>
        <w:spacing w:after="0" w:line="250" w:lineRule="auto"/>
        <w:tabs>
          <w:tab w:leader="none" w:pos="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by and between the Registrant and U.S. Bank National Association, dated as of February 9, 2016 (incorporated herein by reference to the Registrant’s Current Report on Form 8-K filed with the SEC on February 9, 2016).</w:t>
      </w:r>
    </w:p>
    <w:p>
      <w:pPr>
        <w:spacing w:after="0" w:line="1" w:lineRule="exact"/>
        <w:rPr>
          <w:sz w:val="20"/>
          <w:szCs w:val="20"/>
          <w:color w:val="auto"/>
        </w:rPr>
      </w:pPr>
    </w:p>
    <w:p>
      <w:pPr>
        <w:ind w:left="980" w:right="160" w:hanging="739"/>
        <w:spacing w:after="0" w:line="281" w:lineRule="auto"/>
        <w:tabs>
          <w:tab w:leader="none" w:pos="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Note representing the Company’s 5.50% Senior Convertible Notes due 2021 (included as Exhibit A to the Indenture filed hereto as Exhibit 4.3) (incorporated herein by reference to the Registrant’s Current Report on Form 8-K as filed with the SEC on February 9, 2016).</w:t>
      </w:r>
    </w:p>
    <w:p>
      <w:pPr>
        <w:spacing w:after="0" w:line="1" w:lineRule="exact"/>
        <w:rPr>
          <w:sz w:val="20"/>
          <w:szCs w:val="20"/>
          <w:color w:val="auto"/>
        </w:rPr>
      </w:pPr>
    </w:p>
    <w:p>
      <w:pPr>
        <w:ind w:left="980" w:right="180" w:hanging="835"/>
        <w:spacing w:after="0" w:line="250" w:lineRule="auto"/>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Material Supply Agreement, by and between the Registrant and Johnson Matthey, Inc., dated as of November 2, 2009 (incorporated by reference Registrant’s Amendment No. 1 to Registration Statement on Form S-1/A (File No. 333-202660) as filed with the SEC on April 3, 2015).</w:t>
      </w:r>
    </w:p>
    <w:p>
      <w:pPr>
        <w:spacing w:after="0" w:line="1" w:lineRule="exact"/>
        <w:rPr>
          <w:sz w:val="20"/>
          <w:szCs w:val="20"/>
          <w:color w:val="auto"/>
        </w:rPr>
      </w:pPr>
    </w:p>
    <w:p>
      <w:pPr>
        <w:ind w:left="980" w:right="340" w:hanging="784"/>
        <w:spacing w:after="0" w:line="281" w:lineRule="auto"/>
        <w:tabs>
          <w:tab w:leader="none" w:pos="9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Facility Agreement, by and between the Registrant and Deerfield Private Design Fund III, L.P., dated as of June 2, 2014 (incorporated by reference to the Registrant’s Registration Statement on Form S-1 (File No. 333-202660) as filed with the SEC on March 11, 2015).</w:t>
      </w:r>
    </w:p>
    <w:p>
      <w:pPr>
        <w:spacing w:after="0" w:line="1" w:lineRule="exact"/>
        <w:rPr>
          <w:sz w:val="20"/>
          <w:szCs w:val="20"/>
          <w:color w:val="auto"/>
        </w:rPr>
      </w:pPr>
    </w:p>
    <w:p>
      <w:pPr>
        <w:ind w:left="980" w:right="100" w:hanging="852"/>
        <w:spacing w:after="0" w:line="250" w:lineRule="auto"/>
        <w:tabs>
          <w:tab w:leader="none" w:pos="9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First Amendment to Facility Agreement, Senior Secured Convertible Note and Warrant, by and between Registrant and Deerfield Private Design Fund III, L.P., dated March 6, 2015 (incorporated by reference to the Registrant’s Registration Statement on Form S-1 (File No. 333-202660) as filed with the SEC on March 11, 2015).</w:t>
      </w:r>
    </w:p>
    <w:p>
      <w:pPr>
        <w:spacing w:after="0" w:line="1" w:lineRule="exact"/>
        <w:rPr>
          <w:sz w:val="20"/>
          <w:szCs w:val="20"/>
          <w:color w:val="auto"/>
        </w:rPr>
      </w:pPr>
    </w:p>
    <w:p>
      <w:pPr>
        <w:jc w:val="both"/>
        <w:ind w:left="980" w:right="60" w:hanging="852"/>
        <w:spacing w:after="0" w:line="250" w:lineRule="auto"/>
        <w:tabs>
          <w:tab w:leader="none" w:pos="9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Second Amendment to Facility Agreement by and between Registrant and Deerfield Private Design Fund III, L.P., dated December 17, 2015 (incorporated by reference to the Registrant’s Registration Statement on Form S-1 (File No. 333-208633) as filed with the SEC on December 18, 2015).</w:t>
      </w:r>
    </w:p>
    <w:p>
      <w:pPr>
        <w:spacing w:after="0" w:line="1" w:lineRule="exact"/>
        <w:rPr>
          <w:sz w:val="20"/>
          <w:szCs w:val="20"/>
          <w:color w:val="auto"/>
        </w:rPr>
      </w:pPr>
    </w:p>
    <w:p>
      <w:pPr>
        <w:ind w:left="980" w:right="100" w:hanging="852"/>
        <w:spacing w:after="0" w:line="250" w:lineRule="auto"/>
        <w:tabs>
          <w:tab w:leader="none" w:pos="9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Third Amendment to Facility Agreement, Senior Secured Convertible Note and Warrant, by and between Registrant and Deerfield Private Design Fund III, L.P., dated February 3, 2016 (incorporated herein by reference to the Registrant’s Current Report on Form 8-K as filed with the SEC on February 9, 2016).</w:t>
      </w:r>
    </w:p>
    <w:p>
      <w:pPr>
        <w:spacing w:after="0" w:line="1" w:lineRule="exact"/>
        <w:rPr>
          <w:sz w:val="20"/>
          <w:szCs w:val="20"/>
          <w:color w:val="auto"/>
        </w:rPr>
      </w:pPr>
    </w:p>
    <w:p>
      <w:pPr>
        <w:ind w:left="980" w:right="80" w:hanging="784"/>
        <w:spacing w:after="0" w:line="265" w:lineRule="auto"/>
        <w:tabs>
          <w:tab w:leader="none" w:pos="9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Senior Secured Convertible Note issued to Deerfield Private Design Fund III, L.P., dated as of June 2, 2014 (incorporated by reference to the Registrant’s Registration Statement on Form S-1 (File No. 333-202660) as filed with the SEC on March 11, 2015).</w:t>
      </w:r>
    </w:p>
    <w:p>
      <w:pPr>
        <w:jc w:val="right"/>
        <w:ind w:left="120" w:right="20"/>
        <w:spacing w:after="0" w:line="265" w:lineRule="auto"/>
        <w:rPr>
          <w:sz w:val="20"/>
          <w:szCs w:val="20"/>
          <w:color w:val="auto"/>
        </w:rPr>
      </w:pPr>
      <w:r>
        <w:rPr>
          <w:rFonts w:ascii="Arial" w:cs="Arial" w:eastAsia="Arial" w:hAnsi="Arial"/>
          <w:sz w:val="17"/>
          <w:szCs w:val="17"/>
          <w:color w:val="auto"/>
        </w:rPr>
        <w:t>10.3.1     Second Amendment to Senior Secured Convertible Note and Warrant, by and between Registrant and Deerfield Private Design Fund III, L.P., dated January 6, 2016 (incorporated by reference to the Registrant’s Current Report on Form 8-K as filed with the SEC on January 11, 2016).</w:t>
      </w:r>
    </w:p>
    <w:p>
      <w:pPr>
        <w:ind w:left="980" w:hanging="784"/>
        <w:spacing w:after="0" w:line="250" w:lineRule="auto"/>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Investors’ Rights Agreement, dated as of February 19, 2015, by and among the Registrant and certain of its stockholders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360" w:hanging="784"/>
        <w:spacing w:after="0" w:line="250" w:lineRule="auto"/>
        <w:tabs>
          <w:tab w:leader="none" w:pos="9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Warrant to Purchase Shares of Series D Preferred Stock issued to Deerfield Private Design Fund III, L.P., dated as of June 2, 2014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20" w:hanging="784"/>
        <w:spacing w:after="0" w:line="250" w:lineRule="auto"/>
        <w:tabs>
          <w:tab w:leader="none" w:pos="9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Stock Purchase Warrant to purchase shares of Series D Convertible Preferred Stock issued in bridge financing, along with a schedule of warrantholders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360" w:hanging="852"/>
        <w:spacing w:after="0" w:line="250" w:lineRule="auto"/>
        <w:tabs>
          <w:tab w:leader="none" w:pos="9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Form of Common Stock Purchase Warrants issued by KemPharm, Inc., an Iowa corporation, along with a schedule of warrantholders (incorporated herein by reference to the Registrant’s Registration Statement on Form S-1 (File No. 333-202660) as filed with the SEC on March 11, 2015).</w:t>
      </w:r>
    </w:p>
    <w:p>
      <w:pPr>
        <w:spacing w:after="0" w:line="1" w:lineRule="exact"/>
        <w:rPr>
          <w:sz w:val="20"/>
          <w:szCs w:val="20"/>
          <w:color w:val="auto"/>
        </w:rPr>
      </w:pPr>
    </w:p>
    <w:p>
      <w:pPr>
        <w:jc w:val="both"/>
        <w:ind w:left="980" w:right="360" w:hanging="852"/>
        <w:spacing w:after="0" w:line="255" w:lineRule="auto"/>
        <w:tabs>
          <w:tab w:leader="none" w:pos="9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Form of Common Stock Purchase Warrants issued by KemPharm, Inc., a Delaware corporation, along with a schedule of warrantholders (incorporated herein by reference to the Registrant’s Registration Statement on Form S-1 (File No. 333-202660) as filed with the SEC on March 11, 2015).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20" w:top="553" w:right="279" w:bottom="1440" w:gutter="0" w:footer="0" w:header="0"/>
        </w:sectPr>
      </w:pPr>
    </w:p>
    <w:bookmarkStart w:id="129" w:name="page130"/>
    <w:bookmarkEnd w:id="129"/>
    <w:p>
      <w:pPr>
        <w:spacing w:after="0"/>
        <w:tabs>
          <w:tab w:leader="none" w:pos="5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980" w:right="160" w:hanging="784"/>
        <w:spacing w:after="0" w:line="249" w:lineRule="auto"/>
        <w:tabs>
          <w:tab w:leader="none" w:pos="9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Lease Agreement, by and between the Registrant and the Board of Regents, State of Iowa for the Use and Benefit of the University of Iowa, dated as of September 6, 2013 (incorporated herein by reference to the Registrant’s Registration Statement on Form S-1 (File No. 333-202660) as filed with the SEC on March 11, 2015).</w:t>
      </w:r>
    </w:p>
    <w:p>
      <w:pPr>
        <w:spacing w:after="0" w:line="3" w:lineRule="exact"/>
        <w:rPr>
          <w:sz w:val="20"/>
          <w:szCs w:val="20"/>
          <w:color w:val="auto"/>
        </w:rPr>
      </w:pPr>
    </w:p>
    <w:p>
      <w:pPr>
        <w:jc w:val="both"/>
        <w:ind w:left="980" w:right="320" w:hanging="835"/>
        <w:spacing w:after="0" w:line="250" w:lineRule="auto"/>
        <w:tabs>
          <w:tab w:leader="none" w:pos="9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Agreement to Terminate CLA, by and between MonoSol Rx, LLC and the Registrant, dated as of March 20, 2012 (incorporated herein by reference to the Registrant’s Amendment No. 1 to Registration Statement on Form S-1/A (File No. 333-202660) as filed with the SEC on April 3, 2015).</w:t>
      </w:r>
    </w:p>
    <w:p>
      <w:pPr>
        <w:spacing w:after="0" w:line="1"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Incentive Stock Plan, as amended to date (incorporated herein by reference to the Registrant’s Registration Statement on Form S-1 (File No.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333-202660) as filed with the SEC on March 11, 2015).</w:t>
      </w:r>
    </w:p>
    <w:p>
      <w:pPr>
        <w:spacing w:after="0" w:line="9" w:lineRule="exact"/>
        <w:rPr>
          <w:sz w:val="20"/>
          <w:szCs w:val="20"/>
          <w:color w:val="auto"/>
        </w:rPr>
      </w:pPr>
    </w:p>
    <w:p>
      <w:pPr>
        <w:ind w:left="980" w:right="380" w:hanging="871"/>
        <w:spacing w:after="0" w:line="250" w:lineRule="auto"/>
        <w:tabs>
          <w:tab w:leader="none" w:pos="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Incentive Stock Option Agreement under Incentive Stock Plan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100" w:hanging="875"/>
        <w:spacing w:after="0" w:line="250" w:lineRule="auto"/>
        <w:tabs>
          <w:tab w:leader="none" w:pos="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Nonqualified Stock Option Agreement under Incentive Stock Plan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hanging="875"/>
        <w:spacing w:after="0" w:line="250" w:lineRule="auto"/>
        <w:tabs>
          <w:tab w:leader="none" w:pos="9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2014 Equity Incentive Plan (incorporated herein by reference to Registrant’s Amendment No. 1 to Registration Statement on Form S-1/A (File No. 333-202660) as filed with the SEC on April 3, 2015).</w:t>
      </w:r>
    </w:p>
    <w:p>
      <w:pPr>
        <w:spacing w:after="0" w:line="1" w:lineRule="exact"/>
        <w:rPr>
          <w:sz w:val="20"/>
          <w:szCs w:val="20"/>
          <w:color w:val="auto"/>
        </w:rPr>
      </w:pPr>
    </w:p>
    <w:p>
      <w:pPr>
        <w:ind w:left="980" w:right="160" w:hanging="875"/>
        <w:spacing w:after="0" w:line="265" w:lineRule="auto"/>
        <w:tabs>
          <w:tab w:leader="none" w:pos="9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Form of Stock Option Grant Notice and Stock Option Agreement under 2014 Equity Incentive Plan (incorporated herein by reference to the Registrant’s Registration Statement on Form S-1 File No. 333-202660) as filed with the SEC on March 11, 2015).</w:t>
      </w:r>
    </w:p>
    <w:p>
      <w:pPr>
        <w:ind w:left="980" w:right="140" w:hanging="875"/>
        <w:spacing w:after="0" w:line="281" w:lineRule="auto"/>
        <w:tabs>
          <w:tab w:leader="none" w:pos="9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Restricted Stock Unit Grant Notice and Restricted Stock Unit Agreement under 2014 Equity Incentive Plan (incorporated herein by reference to the Registrant’s Registration Statement on Form S-1 File No. 333-202660) as filed with the SEC on March 11, 2015).</w:t>
      </w:r>
    </w:p>
    <w:p>
      <w:pPr>
        <w:spacing w:after="0" w:line="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Non-Employee Director Compensation Policy.</w:t>
      </w:r>
    </w:p>
    <w:p>
      <w:pPr>
        <w:spacing w:after="0" w:line="9" w:lineRule="exact"/>
        <w:rPr>
          <w:sz w:val="20"/>
          <w:szCs w:val="20"/>
          <w:color w:val="auto"/>
        </w:rPr>
      </w:pPr>
    </w:p>
    <w:p>
      <w:pPr>
        <w:ind w:left="980" w:right="880" w:hanging="875"/>
        <w:spacing w:after="0" w:line="265" w:lineRule="auto"/>
        <w:tabs>
          <w:tab w:leader="none" w:pos="9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Form of Indemnification Agreement with the Registrant’s directors and executive officers (incorporated herein by reference to the Registrant’s Registration Statement on Form S-1 (File No. 333-202660) as filed with the SEC on March 11, 2015).</w:t>
      </w:r>
    </w:p>
    <w:p>
      <w:pPr>
        <w:ind w:left="980" w:right="840" w:hanging="875"/>
        <w:spacing w:after="0" w:line="281" w:lineRule="auto"/>
        <w:tabs>
          <w:tab w:leader="none" w:pos="9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Amended and Restated Employment Agreement by and between the Registrant and R. LaDuane Clifton, dated as of June 25, 2015 (incorporated herein by reference to the Registrant’s Quarterly Report on Form 10-Q as filed with the SEC on August 14, 2015).</w:t>
      </w:r>
    </w:p>
    <w:p>
      <w:pPr>
        <w:spacing w:after="0" w:line="1" w:lineRule="exact"/>
        <w:rPr>
          <w:sz w:val="20"/>
          <w:szCs w:val="20"/>
          <w:color w:val="auto"/>
        </w:rPr>
      </w:pPr>
    </w:p>
    <w:p>
      <w:pPr>
        <w:jc w:val="right"/>
        <w:ind w:right="140"/>
        <w:spacing w:after="0"/>
        <w:tabs>
          <w:tab w:leader="none" w:pos="10220" w:val="left"/>
        </w:tabs>
        <w:rPr>
          <w:sz w:val="20"/>
          <w:szCs w:val="20"/>
          <w:color w:val="auto"/>
        </w:rPr>
      </w:pPr>
      <w:r>
        <w:rPr>
          <w:rFonts w:ascii="Arial" w:cs="Arial" w:eastAsia="Arial" w:hAnsi="Arial"/>
          <w:sz w:val="18"/>
          <w:szCs w:val="18"/>
          <w:color w:val="auto"/>
        </w:rPr>
        <w:t>10.18.1#</w:t>
      </w:r>
      <w:r>
        <w:rPr>
          <w:sz w:val="20"/>
          <w:szCs w:val="20"/>
          <w:color w:val="auto"/>
        </w:rPr>
        <w:tab/>
      </w:r>
      <w:r>
        <w:rPr>
          <w:rFonts w:ascii="Arial" w:cs="Arial" w:eastAsia="Arial" w:hAnsi="Arial"/>
          <w:sz w:val="16"/>
          <w:szCs w:val="16"/>
          <w:color w:val="auto"/>
        </w:rPr>
        <w:t>Amendment to Amended and Restated Employment Agreement by and between the Registrant and R. LaDuane Clifton, dated as of October</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13, 2015 (incorporated herein by reference to the Registrant’s Quarterly Report on Form 10-Q as filed with the SEC on November 13, 2015).</w:t>
      </w:r>
    </w:p>
    <w:p>
      <w:pPr>
        <w:spacing w:after="0" w:line="21" w:lineRule="exact"/>
        <w:rPr>
          <w:sz w:val="20"/>
          <w:szCs w:val="20"/>
          <w:color w:val="auto"/>
        </w:rPr>
      </w:pPr>
    </w:p>
    <w:p>
      <w:pPr>
        <w:ind w:left="980" w:right="660" w:hanging="875"/>
        <w:spacing w:after="0" w:line="281" w:lineRule="auto"/>
        <w:tabs>
          <w:tab w:leader="none" w:pos="9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by and between the Registrant and Christal M.M. Mickle, dated as of May 30, 2014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20" w:hanging="942"/>
        <w:spacing w:after="0" w:line="281" w:lineRule="auto"/>
        <w:tabs>
          <w:tab w:leader="none" w:pos="96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6"/>
          <w:szCs w:val="16"/>
          <w:color w:val="auto"/>
        </w:rPr>
        <w:t>Amendment to Employment Agreement by and between the Registrant and Christal M.M. Mickle, dated as of October 13, 2015 (incorporated herein by reference to Exhibit 10.1 to the Registrant’s Quarterly Report on Form 10-Q filed with the SEC on November 13, 2015).</w:t>
      </w:r>
    </w:p>
    <w:p>
      <w:pPr>
        <w:spacing w:after="0" w:line="1" w:lineRule="exact"/>
        <w:rPr>
          <w:sz w:val="20"/>
          <w:szCs w:val="20"/>
          <w:color w:val="auto"/>
        </w:rPr>
      </w:pPr>
    </w:p>
    <w:p>
      <w:pPr>
        <w:ind w:left="980" w:right="860" w:hanging="875"/>
        <w:spacing w:after="0" w:line="281" w:lineRule="auto"/>
        <w:tabs>
          <w:tab w:leader="none" w:pos="9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Amended and Restated Employment Agreement by and between the Registrant and Gordon K. Johnson, dated as of June 25, 2015 (incorporated herein by reference to the Registrant’s Quarterly Report on Form 10-Q as filed with the SEC on August 14, 2015).</w:t>
      </w:r>
    </w:p>
    <w:p>
      <w:pPr>
        <w:spacing w:after="0" w:line="1"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10.20.1#</w:t>
      </w:r>
      <w:r>
        <w:rPr>
          <w:sz w:val="20"/>
          <w:szCs w:val="20"/>
          <w:color w:val="auto"/>
        </w:rPr>
        <w:tab/>
      </w:r>
      <w:r>
        <w:rPr>
          <w:rFonts w:ascii="Arial" w:cs="Arial" w:eastAsia="Arial" w:hAnsi="Arial"/>
          <w:sz w:val="16"/>
          <w:szCs w:val="16"/>
          <w:color w:val="auto"/>
        </w:rPr>
        <w:t>Amendment to Amended and Restated Employment Agreement by and between the Registrant and Gordon K. Johnson, dated as of October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13, 2015 (incorporated herein by reference to the Registrant’s Quarterly Report on Form 10-Q as filed with the SEC on November 13, 2015).</w:t>
      </w:r>
    </w:p>
    <w:p>
      <w:pPr>
        <w:spacing w:after="0" w:line="32" w:lineRule="exact"/>
        <w:rPr>
          <w:sz w:val="20"/>
          <w:szCs w:val="20"/>
          <w:color w:val="auto"/>
        </w:rPr>
      </w:pPr>
    </w:p>
    <w:p>
      <w:pPr>
        <w:ind w:left="980" w:right="520" w:hanging="875"/>
        <w:spacing w:after="0" w:line="281" w:lineRule="auto"/>
        <w:tabs>
          <w:tab w:leader="none" w:pos="9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Employment Agreement by and between the Registrant and Travis C. Mickle, Ph.D., dated as of May 30, 2014 (incorporated herein by reference to the Registrant’s Registration Statement on Form S-1 (File No. 333-202660) as filed with the SEC on March 11, 2015).</w:t>
      </w:r>
    </w:p>
    <w:p>
      <w:pPr>
        <w:spacing w:after="0" w:line="1" w:lineRule="exact"/>
        <w:rPr>
          <w:sz w:val="20"/>
          <w:szCs w:val="20"/>
          <w:color w:val="auto"/>
        </w:rPr>
      </w:pPr>
    </w:p>
    <w:p>
      <w:pPr>
        <w:ind w:left="980" w:right="880" w:hanging="942"/>
        <w:spacing w:after="0" w:line="281" w:lineRule="auto"/>
        <w:tabs>
          <w:tab w:leader="none" w:pos="960"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6"/>
          <w:szCs w:val="16"/>
          <w:color w:val="auto"/>
        </w:rPr>
        <w:t>Amendment to Employment Agreement by and between the Registrant and Travis C. Mickle, Ph.D., dated as of October 13, 2015 (incorporated herein by reference to the Registrant’s Quarterly Report on Form 10-Q filed with the SEC on November 13, 2015).</w:t>
      </w:r>
    </w:p>
    <w:p>
      <w:pPr>
        <w:spacing w:after="0" w:line="1" w:lineRule="exact"/>
        <w:rPr>
          <w:sz w:val="20"/>
          <w:szCs w:val="20"/>
          <w:color w:val="auto"/>
        </w:rPr>
      </w:pPr>
    </w:p>
    <w:p>
      <w:pPr>
        <w:ind w:left="980" w:right="240" w:hanging="875"/>
        <w:spacing w:after="0" w:line="250" w:lineRule="auto"/>
        <w:tabs>
          <w:tab w:leader="none" w:pos="9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Employment Agreement by and between the Registrant and Tracy Woody, dated as of March 30, 2015 (incorporated herein by reference to the Registrant’s Quarterly Report on Form 10-Q as filed with the SEC on May 29, 2015).</w:t>
      </w:r>
    </w:p>
    <w:p>
      <w:pPr>
        <w:spacing w:after="0" w:line="1" w:lineRule="exact"/>
        <w:rPr>
          <w:sz w:val="20"/>
          <w:szCs w:val="20"/>
          <w:color w:val="auto"/>
        </w:rPr>
      </w:pPr>
    </w:p>
    <w:p>
      <w:pPr>
        <w:ind w:left="980" w:right="280" w:hanging="942"/>
        <w:spacing w:after="0" w:line="265" w:lineRule="auto"/>
        <w:tabs>
          <w:tab w:leader="none" w:pos="960" w:val="left"/>
        </w:tabs>
        <w:rPr>
          <w:sz w:val="20"/>
          <w:szCs w:val="20"/>
          <w:color w:val="auto"/>
        </w:rPr>
      </w:pPr>
      <w:r>
        <w:rPr>
          <w:rFonts w:ascii="Arial" w:cs="Arial" w:eastAsia="Arial" w:hAnsi="Arial"/>
          <w:sz w:val="18"/>
          <w:szCs w:val="18"/>
          <w:color w:val="auto"/>
        </w:rPr>
        <w:t>10.22.1#</w:t>
      </w:r>
      <w:r>
        <w:rPr>
          <w:sz w:val="20"/>
          <w:szCs w:val="20"/>
          <w:color w:val="auto"/>
        </w:rPr>
        <w:tab/>
      </w:r>
      <w:r>
        <w:rPr>
          <w:rFonts w:ascii="Arial" w:cs="Arial" w:eastAsia="Arial" w:hAnsi="Arial"/>
          <w:sz w:val="17"/>
          <w:szCs w:val="17"/>
          <w:color w:val="auto"/>
        </w:rPr>
        <w:t>Amendment to Employment Agreement by and between the Registrant and Tracy M. Woody, dated as of September 4, 2015 (incorporated herein by reference to the Registrant’s Quarterly Report on Form 10-Q as filed with the SEC on November 13, 2015).</w:t>
      </w:r>
    </w:p>
    <w:p>
      <w:pPr>
        <w:ind w:left="980" w:right="460" w:hanging="875"/>
        <w:spacing w:after="0" w:line="323" w:lineRule="auto"/>
        <w:tabs>
          <w:tab w:leader="none" w:pos="9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Acceleration Provisions of Stock Options Letter by and between the Registrant and Sven Guenther, Ph.D., dated as of October 13, 2015 (incorporated herein by reference to the Registrant’s Quarterly Report on Form 10-Q filed with the SEC on November 13, 2015).</w:t>
      </w:r>
    </w:p>
    <w:p>
      <w:pPr>
        <w:spacing w:after="0" w:line="35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420" w:top="549" w:right="2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Board of Directors Services Agreement by and between Registrant and Richard W. Pascoe, dated as of January 1, 2014 (incorporated herein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by reference to the Registrant’s Registration Statement on Form S-1 (File No. 333-202660) as filed with the SEC on March 11, 2015).</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Board of Directors Services Agreement by and between Registrant and Joseph B. Saluri, dated as of January 1, 2014 (incorporated herein by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reference to the Registrant’s Registration Statement on Form S-1 (File No. 333-202660) as filed with the SEC on March 11, 2015).</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the Principal Executive Officer pursuant to Rule 13a-14(a) or Rule 15d-14(a) of the Securities Exchange Act of 1934, as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of the Principal Financial Officer pursuant to Rule 13a-14(a) or Rule 15d-14(a) of the Securities Exchange Act of 1934, as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the Principal Executive Officer pursuant to Rule 13a-14(b) of the Securities Exchange Act of 1934, as amended, and 18</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U.S.C. Section 1350, as adopted pursuant to Section 906 of the Sarbanes-Oxley Act of 2002. (1)</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the Principal Financial Officer pursuant to Rule 13a-14(b) of the Securities Exchange Act of 1934, as amended, and 18 U.S.C.</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as adopted pursuant to Section 906 of the Sarbanes-Oxley Act of 2002. (1)</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ind w:left="1160" w:hanging="67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160" w:hanging="722"/>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Attached as Exhibit 101 to this Annual Report on Form 10-K for the year ended December 31, 2015, formatted in XBRL (Extensible</w:t>
      </w:r>
    </w:p>
    <w:p>
      <w:pPr>
        <w:spacing w:after="0" w:line="21" w:lineRule="exact"/>
        <w:rPr>
          <w:sz w:val="20"/>
          <w:szCs w:val="20"/>
          <w:color w:val="auto"/>
        </w:rPr>
      </w:pPr>
    </w:p>
    <w:p>
      <w:pPr>
        <w:ind w:left="1160" w:right="80"/>
        <w:spacing w:after="0" w:line="250" w:lineRule="auto"/>
        <w:rPr>
          <w:sz w:val="20"/>
          <w:szCs w:val="20"/>
          <w:color w:val="auto"/>
        </w:rPr>
      </w:pPr>
      <w:r>
        <w:rPr>
          <w:rFonts w:ascii="Arial" w:cs="Arial" w:eastAsia="Arial" w:hAnsi="Arial"/>
          <w:sz w:val="18"/>
          <w:szCs w:val="18"/>
          <w:color w:val="auto"/>
        </w:rPr>
        <w:t>Business Reporting Language): (i) Balance Sheets, (ii) Statements of Operations, (iii) Statements of Changes in Redeemable Convertible Preferred Stock and Stockholders’ Deficit, (iv) Statements of Cash Flows, and (v) Notes to Financial Statements, tagged as blocks of text and including detailed tags.</w:t>
      </w:r>
    </w:p>
    <w:p>
      <w:pPr>
        <w:spacing w:after="0" w:line="1" w:lineRule="exact"/>
        <w:rPr>
          <w:sz w:val="20"/>
          <w:szCs w:val="20"/>
          <w:color w:val="auto"/>
        </w:rPr>
      </w:pPr>
    </w:p>
    <w:p>
      <w:pPr>
        <w:ind w:left="1160" w:hanging="67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1160" w:right="40" w:hanging="683"/>
        <w:spacing w:after="0" w:line="250"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grant for confidential treatment and have been separately filed with the Securities and Exchange Commission.</w:t>
      </w:r>
    </w:p>
    <w:p>
      <w:pPr>
        <w:spacing w:after="0" w:line="1" w:lineRule="exact"/>
        <w:rPr>
          <w:sz w:val="20"/>
          <w:szCs w:val="20"/>
          <w:color w:val="auto"/>
        </w:rPr>
      </w:pPr>
    </w:p>
    <w:p>
      <w:pPr>
        <w:ind w:left="1160" w:hanging="737"/>
        <w:spacing w:after="0" w:line="255" w:lineRule="auto"/>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 and is not to be incorporated by reference into any filing of the Registrant under the Securities Act or the Exchange Act (whether made before or after the date of the Annual Report on Form 10-K), irrespective of any general incorporation language contained in such filing.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49"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00" w:lineRule="exact"/>
        <w:rPr>
          <w:sz w:val="20"/>
          <w:szCs w:val="20"/>
          <w:color w:val="auto"/>
        </w:rPr>
      </w:pPr>
    </w:p>
    <w:p>
      <w:pPr>
        <w:spacing w:after="0" w:line="227" w:lineRule="exact"/>
        <w:rPr>
          <w:sz w:val="20"/>
          <w:szCs w:val="20"/>
          <w:color w:val="auto"/>
        </w:rPr>
      </w:pPr>
    </w:p>
    <w:p>
      <w:pPr>
        <w:ind w:right="260" w:firstLine="877"/>
        <w:spacing w:after="0" w:line="277" w:lineRule="auto"/>
        <w:rPr>
          <w:sz w:val="20"/>
          <w:szCs w:val="20"/>
          <w:color w:val="auto"/>
        </w:rPr>
      </w:pPr>
      <w:r>
        <w:rPr>
          <w:rFonts w:ascii="Arial" w:cs="Arial" w:eastAsia="Arial" w:hAnsi="Arial"/>
          <w:sz w:val="18"/>
          <w:szCs w:val="18"/>
          <w:color w:val="auto"/>
        </w:rPr>
        <w:t>Each member of the board of director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KemPharm,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who is not also an employee of the Company or any subsidiary of the Company shall be entitled to the following compensation for service on the Board and its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right="140" w:firstLine="877"/>
        <w:spacing w:after="0" w:line="308" w:lineRule="auto"/>
        <w:rPr>
          <w:sz w:val="20"/>
          <w:szCs w:val="20"/>
          <w:color w:val="auto"/>
        </w:rPr>
      </w:pPr>
      <w:r>
        <w:rPr>
          <w:rFonts w:ascii="Arial" w:cs="Arial" w:eastAsia="Arial" w:hAnsi="Arial"/>
          <w:sz w:val="17"/>
          <w:szCs w:val="17"/>
          <w:color w:val="auto"/>
        </w:rPr>
        <w:t xml:space="preserve">Cash compensation shall be paid in the following annual amounts. Payments shall be made in quarterly installments in arrears on the last day of each calendar quarter in which service occurred, and shall be </w:t>
      </w:r>
      <w:r>
        <w:rPr>
          <w:rFonts w:ascii="Arial" w:cs="Arial" w:eastAsia="Arial" w:hAnsi="Arial"/>
          <w:sz w:val="17"/>
          <w:szCs w:val="17"/>
          <w:i w:val="1"/>
          <w:iCs w:val="1"/>
          <w:color w:val="auto"/>
        </w:rPr>
        <w:t>prorated</w:t>
      </w:r>
      <w:r>
        <w:rPr>
          <w:rFonts w:ascii="Arial" w:cs="Arial" w:eastAsia="Arial" w:hAnsi="Arial"/>
          <w:sz w:val="17"/>
          <w:szCs w:val="17"/>
          <w:color w:val="auto"/>
        </w:rPr>
        <w:t xml:space="preserve"> as appropriated for a director who does not serve for the full quarter.</w:t>
      </w:r>
    </w:p>
    <w:p>
      <w:pPr>
        <w:spacing w:after="0" w:line="147" w:lineRule="exact"/>
        <w:rPr>
          <w:sz w:val="20"/>
          <w:szCs w:val="20"/>
          <w:color w:val="auto"/>
        </w:rPr>
      </w:pPr>
    </w:p>
    <w:p>
      <w:pPr>
        <w:ind w:left="880" w:hanging="872"/>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non-employee directors: $35,000</w:t>
      </w:r>
    </w:p>
    <w:p>
      <w:pPr>
        <w:spacing w:after="0" w:line="23" w:lineRule="exact"/>
        <w:rPr>
          <w:rFonts w:ascii="Arial" w:cs="Arial" w:eastAsia="Arial" w:hAnsi="Arial"/>
          <w:sz w:val="18"/>
          <w:szCs w:val="18"/>
          <w:color w:val="auto"/>
        </w:rPr>
      </w:pPr>
    </w:p>
    <w:p>
      <w:pPr>
        <w:ind w:left="1740" w:hanging="868"/>
        <w:spacing w:after="0" w:line="261" w:lineRule="auto"/>
        <w:tabs>
          <w:tab w:leader="none" w:pos="1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Chairman of the Board, if not an employee, or lead independent director, if any (in addition to the retainer for all non-employee directors): $15,000</w:t>
      </w:r>
    </w:p>
    <w:p>
      <w:pPr>
        <w:spacing w:after="0" w:line="183" w:lineRule="exact"/>
        <w:rPr>
          <w:rFonts w:ascii="Arial" w:cs="Arial" w:eastAsia="Arial" w:hAnsi="Arial"/>
          <w:sz w:val="18"/>
          <w:szCs w:val="18"/>
          <w:color w:val="auto"/>
        </w:rPr>
      </w:pPr>
    </w:p>
    <w:p>
      <w:pPr>
        <w:ind w:left="800" w:hanging="79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Annual Committee Member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Member of the Audit Committee: $7,500</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Member of the Compensation Committee: $5,000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80" w:hanging="872"/>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Retainer (in addition to Committee Member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Chairman of the Audit Committee: $15,000</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Chairman of the Compensation Committee: $10,000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$7,500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225"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The equity compensation set forth below will be granted under the Company’s 2014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Capital Market on the date of grant or, if such grant date is not a trading date, on the last trading date prior to the grant date, and with a term of ten years from the date of grant (subject to earlier termination in connection with a termination of service as provided in the Plan).</w:t>
      </w:r>
    </w:p>
    <w:p>
      <w:pPr>
        <w:spacing w:after="0" w:line="188"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u w:val="single" w:color="auto"/>
          <w:color w:val="auto"/>
        </w:rPr>
        <w:t>Annual Grant</w:t>
      </w:r>
      <w:r>
        <w:rPr>
          <w:rFonts w:ascii="Arial" w:cs="Arial" w:eastAsia="Arial" w:hAnsi="Arial"/>
          <w:sz w:val="17"/>
          <w:szCs w:val="17"/>
          <w:color w:val="auto"/>
        </w:rPr>
        <w:t>: On the date of each annual stockholders meeting of the Company, each director who continues to serve as a non-employee member of the Board following such stockholders meeting will be automatically, and without further action by the Board or the Compensation Committee of the Board, be granted a stock option for 10,000 shares of common stock.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w:t>
      </w:r>
    </w:p>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333-203703) pertaining to the Incentive Stock Plan, as amended, and the 2014 Equity Incentive Plan of KemPharm, Inc. of our report dated March 15, 2016, with respect to the financial statements of KemPharm, Inc. included in this Annual Report (Form 10-K) for the year ended December 31, 2015.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117" w:lineRule="exact"/>
        <w:rPr>
          <w:sz w:val="20"/>
          <w:szCs w:val="20"/>
          <w:color w:val="auto"/>
        </w:rPr>
      </w:pPr>
    </w:p>
    <w:p>
      <w:pPr>
        <w:ind w:left="1040" w:hanging="519"/>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2016</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1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Travis C. Mickle, Ph.D.</w:t>
            </w:r>
          </w:p>
        </w:tc>
      </w:tr>
      <w:tr>
        <w:trPr>
          <w:trHeight w:val="216"/>
        </w:trPr>
        <w:tc>
          <w:tcPr>
            <w:tcW w:w="6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117" w:lineRule="exact"/>
        <w:rPr>
          <w:sz w:val="20"/>
          <w:szCs w:val="20"/>
          <w:color w:val="auto"/>
        </w:rPr>
      </w:pPr>
    </w:p>
    <w:p>
      <w:pPr>
        <w:ind w:left="1040" w:hanging="519"/>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2016</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1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R. LaDuane Clifton</w:t>
            </w:r>
          </w:p>
        </w:tc>
      </w:tr>
      <w:tr>
        <w:trPr>
          <w:trHeight w:val="216"/>
        </w:trPr>
        <w:tc>
          <w:tcPr>
            <w:tcW w:w="6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2015,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1040" w:hanging="519"/>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2016</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1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Travis C. Mickle, Ph.D.</w:t>
            </w:r>
          </w:p>
        </w:tc>
      </w:tr>
      <w:tr>
        <w:trPr>
          <w:trHeight w:val="216"/>
        </w:trPr>
        <w:tc>
          <w:tcPr>
            <w:tcW w:w="6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ind w:right="160"/>
        <w:spacing w:after="0" w:line="254"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2015,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March 15, 2016</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1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R. LaDuane Clifton</w:t>
            </w:r>
          </w:p>
        </w:tc>
      </w:tr>
      <w:tr>
        <w:trPr>
          <w:trHeight w:val="216"/>
        </w:trPr>
        <w:tc>
          <w:tcPr>
            <w:tcW w:w="6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w w:val="95"/>
              </w:rPr>
              <w:t>(Principal Financial Officer and Principle Accounting Officer)</w:t>
            </w:r>
          </w:p>
        </w:tc>
      </w:tr>
    </w:tbl>
    <w:p>
      <w:pPr>
        <w:ind w:right="160"/>
        <w:spacing w:after="0" w:line="254"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lvl w:ilvl="1">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decimal"/>
      <w:start w:val="2"/>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2"/>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lowerLetter"/>
      <w:start w:val="1"/>
    </w:lvl>
    <w:lvl w:ilvl="1">
      <w:lvlJc w:val="left"/>
      <w:lvlText w:val="(%2)"/>
      <w:numFmt w:val="decimal"/>
      <w:start w:val="1"/>
    </w:lvl>
  </w:abstractNum>
  <w:abstractNum w:abstractNumId="66">
    <w:nsid w:val="60B6DF70"/>
    <w:multiLevelType w:val="hybridMultilevel"/>
    <w:lvl w:ilvl="0">
      <w:lvlJc w:val="left"/>
      <w:lvlText w:val="(%1)"/>
      <w:numFmt w:val="decimal"/>
      <w:start w:val="2"/>
    </w:lvl>
  </w:abstractNum>
  <w:abstractNum w:abstractNumId="67">
    <w:nsid w:val="6A5EE64"/>
    <w:multiLevelType w:val="hybridMultilevel"/>
    <w:lvl w:ilvl="0">
      <w:lvlJc w:val="left"/>
      <w:lvlText w:val="(%1)"/>
      <w:numFmt w:val="decimal"/>
      <w:start w:val="3"/>
    </w:lvl>
  </w:abstractNum>
  <w:abstractNum w:abstractNumId="68">
    <w:nsid w:val="14330624"/>
    <w:multiLevelType w:val="hybridMultilevel"/>
    <w:lvl w:ilvl="0">
      <w:lvlJc w:val="left"/>
      <w:lvlText w:val="%1."/>
      <w:numFmt w:val="upperLetter"/>
      <w:start w:val="1"/>
    </w:lvl>
  </w:abstractNum>
  <w:abstractNum w:abstractNumId="69">
    <w:nsid w:val="7FFFCA11"/>
    <w:multiLevelType w:val="hybridMultilevel"/>
    <w:lvl w:ilvl="0">
      <w:lvlJc w:val="left"/>
      <w:lvlText w:val="%1."/>
      <w:numFmt w:val="upperLetter"/>
      <w:start w:val="2"/>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upperLetter"/>
      <w:start w:val="3"/>
    </w:lvl>
  </w:abstractNum>
  <w:abstractNum w:abstractNumId="72">
    <w:nsid w:val="100F59DC"/>
    <w:multiLevelType w:val="hybridMultilevel"/>
    <w:lvl w:ilvl="0">
      <w:lvlJc w:val="left"/>
      <w:lvlText w:val="%1."/>
      <w:numFmt w:val="upperLetter"/>
      <w:start w:val="5"/>
    </w:lvl>
  </w:abstractNum>
  <w:abstractNum w:abstractNumId="73">
    <w:nsid w:val="7FB7E0AA"/>
    <w:multiLevelType w:val="hybridMultilevel"/>
    <w:lvl w:ilvl="0">
      <w:lvlJc w:val="left"/>
      <w:lvlText w:val="%1."/>
      <w:numFmt w:val="upperLetter"/>
      <w:start w:val="6"/>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upperLetter"/>
      <w:start w:val="7"/>
    </w:lvl>
  </w:abstractNum>
  <w:abstractNum w:abstractNumId="76">
    <w:nsid w:val="94211F2"/>
    <w:multiLevelType w:val="hybridMultilevel"/>
    <w:lvl w:ilvl="0">
      <w:lvlJc w:val="left"/>
      <w:lvlText w:val="%1."/>
      <w:numFmt w:val="upperLetter"/>
      <w:start w:val="8"/>
    </w:lvl>
  </w:abstractNum>
  <w:abstractNum w:abstractNumId="77">
    <w:nsid w:val="885E1B"/>
    <w:multiLevelType w:val="hybridMultilevel"/>
    <w:lvl w:ilvl="0">
      <w:lvlJc w:val="left"/>
      <w:lvlText w:val="%1."/>
      <w:numFmt w:val="upperLetter"/>
      <w:start w:val="9"/>
    </w:lvl>
  </w:abstractNum>
  <w:abstractNum w:abstractNumId="78">
    <w:nsid w:val="76272110"/>
    <w:multiLevelType w:val="hybridMultilevel"/>
    <w:lvl w:ilvl="0">
      <w:lvlJc w:val="left"/>
      <w:lvlText w:val="%1."/>
      <w:numFmt w:val="upperLetter"/>
      <w:start w:val="10"/>
    </w:lvl>
  </w:abstractNum>
  <w:abstractNum w:abstractNumId="79">
    <w:nsid w:val="4C04A8AF"/>
    <w:multiLevelType w:val="hybridMultilevel"/>
    <w:lvl w:ilvl="0">
      <w:lvlJc w:val="left"/>
      <w:lvlText w:val="%1."/>
      <w:numFmt w:val="upperLetter"/>
      <w:start w:val="11"/>
    </w:lvl>
  </w:abstractNum>
  <w:abstractNum w:abstractNumId="80">
    <w:nsid w:val="1716703B"/>
    <w:multiLevelType w:val="hybridMultilevel"/>
    <w:lvl w:ilvl="0">
      <w:lvlJc w:val="left"/>
      <w:lvlText w:val="%1."/>
      <w:numFmt w:val="upperLetter"/>
      <w:start w:val="12"/>
    </w:lvl>
  </w:abstractNum>
  <w:abstractNum w:abstractNumId="81">
    <w:nsid w:val="14E17E33"/>
    <w:multiLevelType w:val="hybridMultilevel"/>
    <w:lvl w:ilvl="0">
      <w:lvlJc w:val="left"/>
      <w:lvlText w:val="%1."/>
      <w:numFmt w:val="upperLetter"/>
      <w:start w:val="14"/>
    </w:lvl>
  </w:abstractNum>
  <w:abstractNum w:abstractNumId="82">
    <w:nsid w:val="3222E7CD"/>
    <w:multiLevelType w:val="hybridMultilevel"/>
    <w:lvl w:ilvl="0">
      <w:lvlJc w:val="left"/>
      <w:lvlText w:val="%1."/>
      <w:numFmt w:val="upperLetter"/>
      <w:start w:val="15"/>
    </w:lvl>
  </w:abstractNum>
  <w:abstractNum w:abstractNumId="83">
    <w:nsid w:val="74DE0EE3"/>
    <w:multiLevelType w:val="hybridMultilevel"/>
    <w:lvl w:ilvl="0">
      <w:lvlJc w:val="left"/>
      <w:lvlText w:val="%1."/>
      <w:numFmt w:val="upperLetter"/>
      <w:start w:val="16"/>
    </w:lvl>
  </w:abstractNum>
  <w:abstractNum w:abstractNumId="84">
    <w:nsid w:val="68EBC550"/>
    <w:multiLevelType w:val="hybridMultilevel"/>
    <w:lvl w:ilvl="0">
      <w:lvlJc w:val="left"/>
      <w:lvlText w:val="%1."/>
      <w:numFmt w:val="upperLetter"/>
      <w:start w:val="17"/>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lvl w:ilvl="1">
      <w:lvlJc w:val="left"/>
      <w:lvlText w:val="%2."/>
      <w:numFmt w:val="lowerLetter"/>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2019-12-29T13:08:24Z</dcterms:created>
  <dcterms:modified xsi:type="dcterms:W3CDTF">2019-12-29T13:08:24Z</dcterms:modified>
</cp:coreProperties>
</file>