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998758.xml.htm"/>
      <w:bookmarkStart w:id="1" w:name="kswkform4_17869987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Thompson Rahsaan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ZEVRA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FEDERAL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ZEVRA THERAPEUTICS, INC.</w:t>
              </w:r>
            </w:hyperlink>
            <w:r>
              <w:rPr/>
              <w:t xml:space="preserve"> [ </w:t>
            </w:r>
            <w:r>
              <w:rPr>
                <w:rFonts w:ascii="Times;serif" w:hAnsi="Times;serif"/>
                <w:color w:val="0000FF"/>
                <w:sz w:val="24"/>
                <w:shd w:fill="FFFFFF" w:val="clear"/>
              </w:rPr>
              <w:t>ZVRA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&amp; Compliance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42,666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11.1277</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37,569</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Adoption date of referenced 10b5-1(c) plan is: 05-15-2026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$10.86 to $11.36. The price reported reflects the weighted average sale price. The Reporting Person undertakes to provide upon request to the SEC staff, the Issuer or any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J. Sangiovanni, Attorney-in-Fact for Rahsaan W. Thompson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8524" TargetMode="External"/><Relationship Id="rId5" Type="http://schemas.openxmlformats.org/officeDocument/2006/relationships/hyperlink" Target="http://www.sec.gov/cgi-bin/browse-edgar?action=getcompany&amp;CIK=0001434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3507</Characters>
  <CharactersWithSpaces>4078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