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156845</wp:posOffset>
            </wp:positionV>
            <wp:extent cx="7134225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215900</wp:posOffset>
            </wp:positionV>
            <wp:extent cx="713422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2681605</wp:posOffset>
            </wp:positionH>
            <wp:positionV relativeFrom="paragraph">
              <wp:posOffset>172720</wp:posOffset>
            </wp:positionV>
            <wp:extent cx="17792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SCHEDULE 14A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REQUIRED IN PROXY STATEMENT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2681605</wp:posOffset>
            </wp:positionH>
            <wp:positionV relativeFrom="paragraph">
              <wp:posOffset>37465</wp:posOffset>
            </wp:positionV>
            <wp:extent cx="17792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Zevra Therapeutics, Inc.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1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185420</wp:posOffset>
            </wp:positionV>
            <wp:extent cx="71342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227330</wp:posOffset>
            </wp:positionV>
            <wp:extent cx="7134225" cy="25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642620</wp:posOffset>
            </wp:positionV>
            <wp:extent cx="7134225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9760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76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97605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76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97605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76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93878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2023-03-29T15:36:48Z</dcterms:created>
  <dcterms:modified xsi:type="dcterms:W3CDTF">2023-03-29T15:36:48Z</dcterms:modified>
</cp:coreProperties>
</file>