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481330</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677545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174625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197485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3940" w:right="2140" w:hanging="3933"/>
        <w:spacing w:after="0" w:line="477" w:lineRule="auto"/>
        <w:tabs>
          <w:tab w:leader="none" w:pos="36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37" w:lineRule="exact"/>
        <w:rPr>
          <w:sz w:val="24"/>
          <w:szCs w:val="24"/>
          <w:color w:val="auto"/>
        </w:rPr>
      </w:pPr>
    </w:p>
    <w:p>
      <w:pPr>
        <w:ind w:left="3920" w:right="1760" w:hanging="3913"/>
        <w:spacing w:after="0" w:line="498" w:lineRule="auto"/>
        <w:tabs>
          <w:tab w:leader="none" w:pos="35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 to _____</w:t>
      </w:r>
    </w:p>
    <w:p>
      <w:pPr>
        <w:ind w:left="44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No. 001-36913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189865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Zevra Therapeutics, Inc.</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174625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tbl>
      <w:tblPr>
        <w:tblLayout w:type="fixed"/>
        <w:tblInd w:w="440" w:type="dxa"/>
        <w:tblCellMar>
          <w:top w:w="0" w:type="dxa"/>
          <w:left w:w="0" w:type="dxa"/>
          <w:bottom w:w="0" w:type="dxa"/>
          <w:right w:w="0" w:type="dxa"/>
        </w:tblCellMar>
      </w:tblPr>
      <w:tr>
        <w:trPr>
          <w:trHeight w:val="215"/>
        </w:trPr>
        <w:tc>
          <w:tcPr>
            <w:tcW w:w="53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80" w:type="dxa"/>
            <w:vAlign w:val="bottom"/>
          </w:tcPr>
          <w:p>
            <w:pPr>
              <w:jc w:val="right"/>
              <w:ind w:right="1590"/>
              <w:spacing w:after="0"/>
              <w:rPr>
                <w:sz w:val="20"/>
                <w:szCs w:val="20"/>
                <w:color w:val="auto"/>
              </w:rPr>
            </w:pPr>
            <w:r>
              <w:rPr>
                <w:rFonts w:ascii="Times New Roman" w:cs="Times New Roman" w:eastAsia="Times New Roman" w:hAnsi="Times New Roman"/>
                <w:sz w:val="18"/>
                <w:szCs w:val="18"/>
                <w:b w:val="1"/>
                <w:bCs w:val="1"/>
                <w:color w:val="auto"/>
              </w:rPr>
              <w:t>20-5894398</w:t>
            </w:r>
          </w:p>
        </w:tc>
      </w:tr>
      <w:tr>
        <w:trPr>
          <w:trHeight w:val="238"/>
        </w:trPr>
        <w:tc>
          <w:tcPr>
            <w:tcW w:w="53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478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07"/>
        </w:trPr>
        <w:tc>
          <w:tcPr>
            <w:tcW w:w="532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1180 Celebration Boulevard, Suite 103, Celebration, FL 34747</w:t>
            </w:r>
          </w:p>
        </w:tc>
        <w:tc>
          <w:tcPr>
            <w:tcW w:w="4780" w:type="dxa"/>
            <w:vAlign w:val="bottom"/>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(321) 939-3416</w:t>
            </w:r>
          </w:p>
        </w:tc>
      </w:tr>
      <w:tr>
        <w:trPr>
          <w:trHeight w:val="238"/>
        </w:trPr>
        <w:tc>
          <w:tcPr>
            <w:tcW w:w="53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478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r>
    </w:tbl>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580" w:type="dxa"/>
            <w:vAlign w:val="bottom"/>
          </w:tcPr>
          <w:p>
            <w:pPr>
              <w:spacing w:after="0"/>
              <w:rPr>
                <w:sz w:val="18"/>
                <w:szCs w:val="18"/>
                <w:color w:val="auto"/>
              </w:rPr>
            </w:pPr>
          </w:p>
        </w:tc>
        <w:tc>
          <w:tcPr>
            <w:tcW w:w="36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1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3"/>
        </w:trPr>
        <w:tc>
          <w:tcPr>
            <w:tcW w:w="320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w:t>
            </w: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ZVRA</w:t>
            </w:r>
          </w:p>
        </w:tc>
        <w:tc>
          <w:tcPr>
            <w:tcW w:w="580" w:type="dxa"/>
            <w:vAlign w:val="bottom"/>
          </w:tcPr>
          <w:p>
            <w:pPr>
              <w:spacing w:after="0"/>
              <w:rPr>
                <w:sz w:val="18"/>
                <w:szCs w:val="18"/>
                <w:color w:val="auto"/>
              </w:rPr>
            </w:pPr>
          </w:p>
        </w:tc>
        <w:tc>
          <w:tcPr>
            <w:tcW w:w="36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1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430"/>
        </w:trPr>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940" w:type="dxa"/>
            <w:vAlign w:val="bottom"/>
            <w:gridSpan w:val="6"/>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8"/>
        </w:trPr>
        <w:tc>
          <w:tcPr>
            <w:tcW w:w="1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620" w:type="dxa"/>
            <w:vAlign w:val="bottom"/>
            <w:gridSpan w:val="2"/>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05"/>
        </w:trPr>
        <w:tc>
          <w:tcPr>
            <w:tcW w:w="9140" w:type="dxa"/>
            <w:vAlign w:val="bottom"/>
            <w:gridSpan w:val="9"/>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2100" w:type="dxa"/>
            <w:vAlign w:val="bottom"/>
            <w:gridSpan w:val="2"/>
          </w:tcPr>
          <w:p>
            <w:pPr>
              <w:jc w:val="center"/>
              <w:ind w:right="1640"/>
              <w:spacing w:after="0" w:line="207" w:lineRule="exact"/>
              <w:rPr>
                <w:sz w:val="20"/>
                <w:szCs w:val="20"/>
                <w:color w:val="auto"/>
              </w:rPr>
            </w:pPr>
            <w:r>
              <w:rPr>
                <w:rFonts w:ascii="Times New Roman" w:cs="Times New Roman" w:eastAsia="Times New Roman" w:hAnsi="Times New Roman"/>
                <w:sz w:val="18"/>
                <w:szCs w:val="18"/>
                <w:color w:val="auto"/>
                <w:w w:val="94"/>
              </w:rPr>
              <w:t xml:space="preserve">No </w:t>
            </w:r>
            <w:r>
              <w:rPr>
                <w:rFonts w:ascii="MS PGothic" w:cs="MS PGothic" w:eastAsia="MS PGothic" w:hAnsi="MS PGothic"/>
                <w:sz w:val="18"/>
                <w:szCs w:val="18"/>
                <w:color w:val="auto"/>
                <w:w w:val="94"/>
              </w:rPr>
              <w:t>☒</w:t>
            </w:r>
          </w:p>
        </w:tc>
      </w:tr>
      <w:tr>
        <w:trPr>
          <w:trHeight w:val="430"/>
        </w:trPr>
        <w:tc>
          <w:tcPr>
            <w:tcW w:w="9140" w:type="dxa"/>
            <w:vAlign w:val="bottom"/>
            <w:gridSpan w:val="9"/>
          </w:tcPr>
          <w:p>
            <w:pPr>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9"/>
              </w:rPr>
              <w:t>☐</w:t>
            </w:r>
          </w:p>
        </w:tc>
        <w:tc>
          <w:tcPr>
            <w:tcW w:w="21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543"/>
        </w:trPr>
        <w:tc>
          <w:tcPr>
            <w:tcW w:w="1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0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9"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264"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9"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69"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69"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2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349885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as of June 28, 2024, the last business day of the registrant’s most recently completed second fiscal quarter, was approximately $204.8 million, based upon the closing sales price for the registrant’s common stock, as reported on the Nasdaq Global Select Market on June 28, 2024. The calculation of the aggregate market value of voting and non-voting common equity excludes shares of common stock the registrant held by executive officers, directors and stockholders that the registrant concluded were affiliates of the registrant on that date. Exclusion of such shares should not be construed to indicate that any such person possesses the power, direct or indirect, to direct or cause the direction of management or policies of the registrant or that such person is controlled by or under common control with the registrant.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7, 2025, the registrant had 54,115,869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187325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2025 annual meeting of stockholders are incorporated by reference into Part III of this Annual Report on Form 10-K where indicated. Such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7132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200660</wp:posOffset>
            </wp:positionV>
            <wp:extent cx="713295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627380</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670"/>
        </w:trPr>
        <w:tc>
          <w:tcPr>
            <w:tcW w:w="7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60" w:type="dxa"/>
            <w:vAlign w:val="bottom"/>
            <w:gridSpan w:val="17"/>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ZEVRA THERAPEUTICS, INC.</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8"/>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40" w:type="dxa"/>
            <w:vAlign w:val="bottom"/>
            <w:gridSpan w:val="15"/>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8"/>
              </w:rPr>
              <w:t>FORM 10-K</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0"/>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3"/>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20" w:type="dxa"/>
            <w:vAlign w:val="bottom"/>
            <w:gridSpan w:val="11"/>
          </w:tcPr>
          <w:p>
            <w:pPr>
              <w:jc w:val="center"/>
              <w:ind w:right="464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6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Business</w:t>
            </w:r>
          </w:p>
        </w:tc>
        <w:tc>
          <w:tcPr>
            <w:tcW w:w="580" w:type="dxa"/>
            <w:vAlign w:val="bottom"/>
            <w:tcBorders>
              <w:top w:val="single" w:sz="8" w:color="0000EE"/>
            </w:tcBorders>
            <w:gridSpan w:val="2"/>
          </w:tcPr>
          <w:p>
            <w:pPr>
              <w:spacing w:after="0"/>
              <w:rPr>
                <w:sz w:val="24"/>
                <w:szCs w:val="24"/>
                <w:color w:val="auto"/>
              </w:rPr>
            </w:pPr>
          </w:p>
        </w:tc>
        <w:tc>
          <w:tcPr>
            <w:tcW w:w="4640" w:type="dxa"/>
            <w:vAlign w:val="bottom"/>
            <w:gridSpan w:val="9"/>
          </w:tcPr>
          <w:p>
            <w:pPr>
              <w:spacing w:after="0"/>
              <w:rPr>
                <w:sz w:val="24"/>
                <w:szCs w:val="24"/>
                <w:color w:val="auto"/>
              </w:rPr>
            </w:pPr>
          </w:p>
        </w:tc>
        <w:tc>
          <w:tcPr>
            <w:tcW w:w="3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EE"/>
                <w:w w:val="88"/>
              </w:rPr>
              <w:t>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7"/>
              </w:rPr>
              <w:t>Risk Factors</w:t>
            </w:r>
          </w:p>
        </w:tc>
        <w:tc>
          <w:tcPr>
            <w:tcW w:w="8960" w:type="dxa"/>
            <w:vAlign w:val="bottom"/>
            <w:gridSpan w:val="26"/>
          </w:tcPr>
          <w:p>
            <w:pPr>
              <w:spacing w:after="0"/>
              <w:rPr>
                <w:sz w:val="16"/>
                <w:szCs w:val="16"/>
                <w:color w:val="auto"/>
              </w:rPr>
            </w:pPr>
          </w:p>
        </w:tc>
        <w:tc>
          <w:tcPr>
            <w:tcW w:w="380" w:type="dxa"/>
            <w:vAlign w:val="bottom"/>
            <w:gridSpan w:val="3"/>
          </w:tcPr>
          <w:p>
            <w:pPr>
              <w:jc w:val="center"/>
              <w:ind w:left="110"/>
              <w:spacing w:after="0" w:line="195" w:lineRule="exact"/>
              <w:rPr>
                <w:sz w:val="20"/>
                <w:szCs w:val="20"/>
                <w:color w:val="auto"/>
              </w:rPr>
            </w:pPr>
            <w:r>
              <w:rPr>
                <w:rFonts w:ascii="Times New Roman" w:cs="Times New Roman" w:eastAsia="Times New Roman" w:hAnsi="Times New Roman"/>
                <w:sz w:val="18"/>
                <w:szCs w:val="18"/>
                <w:color w:val="0000EE"/>
                <w:w w:val="99"/>
              </w:rPr>
              <w:t>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1B.</w:t>
            </w:r>
          </w:p>
        </w:tc>
        <w:tc>
          <w:tcPr>
            <w:tcW w:w="9860" w:type="dxa"/>
            <w:vAlign w:val="bottom"/>
            <w:gridSpan w:val="31"/>
          </w:tcPr>
          <w:p>
            <w:pPr>
              <w:spacing w:after="0" w:line="195" w:lineRule="exact"/>
              <w:rPr>
                <w:sz w:val="20"/>
                <w:szCs w:val="20"/>
                <w:color w:val="auto"/>
              </w:rPr>
            </w:pPr>
            <w:r>
              <w:rPr>
                <w:rFonts w:ascii="Times New Roman" w:cs="Times New Roman" w:eastAsia="Times New Roman" w:hAnsi="Times New Roman"/>
                <w:sz w:val="18"/>
                <w:szCs w:val="18"/>
                <w:color w:val="0000EE"/>
              </w:rPr>
              <w:t>Unresolved Staff Comments</w:t>
            </w:r>
          </w:p>
        </w:tc>
        <w:tc>
          <w:tcPr>
            <w:tcW w:w="380" w:type="dxa"/>
            <w:vAlign w:val="bottom"/>
            <w:gridSpan w:val="3"/>
          </w:tcPr>
          <w:p>
            <w:pPr>
              <w:jc w:val="center"/>
              <w:ind w:left="110"/>
              <w:spacing w:after="0" w:line="195" w:lineRule="exact"/>
              <w:rPr>
                <w:sz w:val="20"/>
                <w:szCs w:val="20"/>
                <w:color w:val="auto"/>
              </w:rPr>
            </w:pPr>
            <w:r>
              <w:rPr>
                <w:rFonts w:ascii="Times New Roman" w:cs="Times New Roman" w:eastAsia="Times New Roman" w:hAnsi="Times New Roman"/>
                <w:sz w:val="18"/>
                <w:szCs w:val="18"/>
                <w:color w:val="0000EE"/>
                <w:w w:val="99"/>
              </w:rPr>
              <w:t>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1C.</w:t>
            </w:r>
          </w:p>
        </w:tc>
        <w:tc>
          <w:tcPr>
            <w:tcW w:w="1000" w:type="dxa"/>
            <w:vAlign w:val="bottom"/>
            <w:tcBorders>
              <w:top w:val="single" w:sz="8" w:color="0000EE"/>
              <w:bottom w:val="single" w:sz="8" w:color="0000EE"/>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EE"/>
                <w:w w:val="96"/>
              </w:rPr>
              <w:t>Cybersecurity</w:t>
            </w:r>
          </w:p>
        </w:tc>
        <w:tc>
          <w:tcPr>
            <w:tcW w:w="1020" w:type="dxa"/>
            <w:vAlign w:val="bottom"/>
            <w:tcBorders>
              <w:top w:val="single" w:sz="8" w:color="0000EE"/>
            </w:tcBorders>
            <w:gridSpan w:val="5"/>
          </w:tcPr>
          <w:p>
            <w:pPr>
              <w:spacing w:after="0"/>
              <w:rPr>
                <w:sz w:val="16"/>
                <w:szCs w:val="16"/>
                <w:color w:val="auto"/>
              </w:rPr>
            </w:pPr>
          </w:p>
        </w:tc>
        <w:tc>
          <w:tcPr>
            <w:tcW w:w="7840" w:type="dxa"/>
            <w:vAlign w:val="bottom"/>
            <w:gridSpan w:val="20"/>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2.</w:t>
            </w:r>
          </w:p>
        </w:tc>
        <w:tc>
          <w:tcPr>
            <w:tcW w:w="72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EE"/>
                <w:w w:val="95"/>
              </w:rPr>
              <w:t>Properties</w:t>
            </w:r>
          </w:p>
        </w:tc>
        <w:tc>
          <w:tcPr>
            <w:tcW w:w="9140" w:type="dxa"/>
            <w:vAlign w:val="bottom"/>
            <w:gridSpan w:val="28"/>
          </w:tcPr>
          <w:p>
            <w:pPr>
              <w:spacing w:after="0"/>
              <w:rPr>
                <w:sz w:val="16"/>
                <w:szCs w:val="16"/>
                <w:color w:val="auto"/>
              </w:rPr>
            </w:pPr>
          </w:p>
        </w:tc>
        <w:tc>
          <w:tcPr>
            <w:tcW w:w="380" w:type="dxa"/>
            <w:vAlign w:val="bottom"/>
            <w:gridSpan w:val="3"/>
          </w:tcPr>
          <w:p>
            <w:pPr>
              <w:jc w:val="center"/>
              <w:ind w:left="110"/>
              <w:spacing w:after="0" w:line="195" w:lineRule="exact"/>
              <w:rPr>
                <w:sz w:val="20"/>
                <w:szCs w:val="20"/>
                <w:color w:val="auto"/>
              </w:rPr>
            </w:pPr>
            <w:r>
              <w:rPr>
                <w:rFonts w:ascii="Times New Roman" w:cs="Times New Roman" w:eastAsia="Times New Roman" w:hAnsi="Times New Roman"/>
                <w:sz w:val="18"/>
                <w:szCs w:val="18"/>
                <w:color w:val="0000EE"/>
                <w:w w:val="99"/>
              </w:rPr>
              <w:t>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9860" w:type="dxa"/>
            <w:vAlign w:val="bottom"/>
            <w:gridSpan w:val="31"/>
          </w:tcPr>
          <w:p>
            <w:pPr>
              <w:spacing w:after="0" w:line="195" w:lineRule="exact"/>
              <w:rPr>
                <w:sz w:val="20"/>
                <w:szCs w:val="20"/>
                <w:color w:val="auto"/>
              </w:rPr>
            </w:pPr>
            <w:r>
              <w:rPr>
                <w:rFonts w:ascii="Times New Roman" w:cs="Times New Roman" w:eastAsia="Times New Roman" w:hAnsi="Times New Roman"/>
                <w:sz w:val="18"/>
                <w:szCs w:val="18"/>
                <w:color w:val="0000EE"/>
              </w:rPr>
              <w:t>Legal Proceedings</w:t>
            </w:r>
          </w:p>
        </w:tc>
        <w:tc>
          <w:tcPr>
            <w:tcW w:w="380" w:type="dxa"/>
            <w:vAlign w:val="bottom"/>
            <w:gridSpan w:val="3"/>
          </w:tcPr>
          <w:p>
            <w:pPr>
              <w:jc w:val="center"/>
              <w:ind w:left="110"/>
              <w:spacing w:after="0" w:line="195" w:lineRule="exact"/>
              <w:rPr>
                <w:sz w:val="20"/>
                <w:szCs w:val="20"/>
                <w:color w:val="auto"/>
              </w:rPr>
            </w:pPr>
            <w:r>
              <w:rPr>
                <w:rFonts w:ascii="Times New Roman" w:cs="Times New Roman" w:eastAsia="Times New Roman" w:hAnsi="Times New Roman"/>
                <w:sz w:val="18"/>
                <w:szCs w:val="18"/>
                <w:color w:val="0000EE"/>
                <w:w w:val="99"/>
              </w:rPr>
              <w:t>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9860" w:type="dxa"/>
            <w:vAlign w:val="bottom"/>
            <w:gridSpan w:val="31"/>
          </w:tcPr>
          <w:p>
            <w:pPr>
              <w:spacing w:after="0" w:line="195" w:lineRule="exact"/>
              <w:rPr>
                <w:sz w:val="20"/>
                <w:szCs w:val="20"/>
                <w:color w:val="auto"/>
              </w:rPr>
            </w:pPr>
            <w:r>
              <w:rPr>
                <w:rFonts w:ascii="Times New Roman" w:cs="Times New Roman" w:eastAsia="Times New Roman" w:hAnsi="Times New Roman"/>
                <w:sz w:val="18"/>
                <w:szCs w:val="18"/>
                <w:color w:val="0000EE"/>
              </w:rPr>
              <w:t>Mine Safety Disclosures</w:t>
            </w:r>
          </w:p>
        </w:tc>
        <w:tc>
          <w:tcPr>
            <w:tcW w:w="380" w:type="dxa"/>
            <w:vAlign w:val="bottom"/>
            <w:gridSpan w:val="3"/>
          </w:tcPr>
          <w:p>
            <w:pPr>
              <w:jc w:val="center"/>
              <w:ind w:left="110"/>
              <w:spacing w:after="0" w:line="195" w:lineRule="exact"/>
              <w:rPr>
                <w:sz w:val="20"/>
                <w:szCs w:val="20"/>
                <w:color w:val="auto"/>
              </w:rPr>
            </w:pPr>
            <w:r>
              <w:rPr>
                <w:rFonts w:ascii="Times New Roman" w:cs="Times New Roman" w:eastAsia="Times New Roman" w:hAnsi="Times New Roman"/>
                <w:sz w:val="18"/>
                <w:szCs w:val="18"/>
                <w:color w:val="0000EE"/>
                <w:w w:val="99"/>
              </w:rPr>
              <w:t>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10"/>
        </w:trPr>
        <w:tc>
          <w:tcPr>
            <w:tcW w:w="7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4600" w:type="dxa"/>
            <w:vAlign w:val="bottom"/>
            <w:gridSpan w:val="8"/>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800" w:type="dxa"/>
            <w:vAlign w:val="bottom"/>
          </w:tcPr>
          <w:p>
            <w:pPr>
              <w:spacing w:after="0"/>
              <w:rPr>
                <w:sz w:val="24"/>
                <w:szCs w:val="24"/>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EE"/>
                <w:w w:val="99"/>
              </w:rPr>
              <w:t>81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6.</w:t>
            </w:r>
          </w:p>
        </w:tc>
        <w:tc>
          <w:tcPr>
            <w:tcW w:w="78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93"/>
              </w:rPr>
              <w:t>[Reserved]</w:t>
            </w:r>
          </w:p>
        </w:tc>
        <w:tc>
          <w:tcPr>
            <w:tcW w:w="7280" w:type="dxa"/>
            <w:vAlign w:val="bottom"/>
            <w:gridSpan w:val="26"/>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gridSpan w:val="3"/>
          </w:tcPr>
          <w:p>
            <w:pPr>
              <w:jc w:val="center"/>
              <w:ind w:left="110"/>
              <w:spacing w:after="0" w:line="195" w:lineRule="exact"/>
              <w:rPr>
                <w:sz w:val="20"/>
                <w:szCs w:val="20"/>
                <w:color w:val="auto"/>
              </w:rPr>
            </w:pPr>
            <w:r>
              <w:rPr>
                <w:rFonts w:ascii="Times New Roman" w:cs="Times New Roman" w:eastAsia="Times New Roman" w:hAnsi="Times New Roman"/>
                <w:sz w:val="18"/>
                <w:szCs w:val="18"/>
                <w:color w:val="0000EE"/>
                <w:w w:val="99"/>
              </w:rPr>
              <w:t>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7.</w:t>
            </w:r>
          </w:p>
        </w:tc>
        <w:tc>
          <w:tcPr>
            <w:tcW w:w="9860" w:type="dxa"/>
            <w:vAlign w:val="bottom"/>
            <w:gridSpan w:val="31"/>
          </w:tcPr>
          <w:p>
            <w:pPr>
              <w:spacing w:after="0" w:line="195"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gridSpan w:val="3"/>
          </w:tcPr>
          <w:p>
            <w:pPr>
              <w:jc w:val="center"/>
              <w:ind w:left="110"/>
              <w:spacing w:after="0" w:line="195" w:lineRule="exact"/>
              <w:rPr>
                <w:sz w:val="20"/>
                <w:szCs w:val="20"/>
                <w:color w:val="auto"/>
              </w:rPr>
            </w:pPr>
            <w:r>
              <w:rPr>
                <w:rFonts w:ascii="Times New Roman" w:cs="Times New Roman" w:eastAsia="Times New Roman" w:hAnsi="Times New Roman"/>
                <w:sz w:val="18"/>
                <w:szCs w:val="18"/>
                <w:color w:val="0000EE"/>
                <w:w w:val="99"/>
              </w:rPr>
              <w:t>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7A.</w:t>
            </w:r>
          </w:p>
        </w:tc>
        <w:tc>
          <w:tcPr>
            <w:tcW w:w="6400" w:type="dxa"/>
            <w:vAlign w:val="bottom"/>
            <w:gridSpan w:val="27"/>
          </w:tcPr>
          <w:p>
            <w:pPr>
              <w:spacing w:after="0" w:line="195"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460" w:type="dxa"/>
            <w:vAlign w:val="bottom"/>
            <w:gridSpan w:val="4"/>
          </w:tcPr>
          <w:p>
            <w:pPr>
              <w:spacing w:after="0"/>
              <w:rPr>
                <w:sz w:val="16"/>
                <w:szCs w:val="16"/>
                <w:color w:val="auto"/>
              </w:rPr>
            </w:pPr>
          </w:p>
        </w:tc>
        <w:tc>
          <w:tcPr>
            <w:tcW w:w="380" w:type="dxa"/>
            <w:vAlign w:val="bottom"/>
            <w:gridSpan w:val="3"/>
          </w:tcPr>
          <w:p>
            <w:pPr>
              <w:jc w:val="center"/>
              <w:ind w:left="110"/>
              <w:spacing w:after="0" w:line="195" w:lineRule="exact"/>
              <w:rPr>
                <w:sz w:val="20"/>
                <w:szCs w:val="20"/>
                <w:color w:val="auto"/>
              </w:rPr>
            </w:pPr>
            <w:r>
              <w:rPr>
                <w:rFonts w:ascii="Times New Roman" w:cs="Times New Roman" w:eastAsia="Times New Roman" w:hAnsi="Times New Roman"/>
                <w:sz w:val="18"/>
                <w:szCs w:val="18"/>
                <w:color w:val="0000EE"/>
                <w:w w:val="99"/>
              </w:rPr>
              <w:t>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8.</w:t>
            </w:r>
          </w:p>
        </w:tc>
        <w:tc>
          <w:tcPr>
            <w:tcW w:w="432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540" w:type="dxa"/>
            <w:vAlign w:val="bottom"/>
            <w:gridSpan w:val="15"/>
          </w:tcPr>
          <w:p>
            <w:pPr>
              <w:spacing w:after="0"/>
              <w:rPr>
                <w:sz w:val="16"/>
                <w:szCs w:val="16"/>
                <w:color w:val="auto"/>
              </w:rPr>
            </w:pPr>
          </w:p>
        </w:tc>
        <w:tc>
          <w:tcPr>
            <w:tcW w:w="380" w:type="dxa"/>
            <w:vAlign w:val="bottom"/>
            <w:gridSpan w:val="3"/>
          </w:tcPr>
          <w:p>
            <w:pPr>
              <w:jc w:val="center"/>
              <w:ind w:left="110"/>
              <w:spacing w:after="0" w:line="195" w:lineRule="exact"/>
              <w:rPr>
                <w:sz w:val="20"/>
                <w:szCs w:val="20"/>
                <w:color w:val="auto"/>
              </w:rPr>
            </w:pPr>
            <w:r>
              <w:rPr>
                <w:rFonts w:ascii="Times New Roman" w:cs="Times New Roman" w:eastAsia="Times New Roman" w:hAnsi="Times New Roman"/>
                <w:sz w:val="18"/>
                <w:szCs w:val="18"/>
                <w:color w:val="0000EE"/>
                <w:w w:val="99"/>
              </w:rPr>
              <w:t>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9.</w:t>
            </w:r>
          </w:p>
        </w:tc>
        <w:tc>
          <w:tcPr>
            <w:tcW w:w="9860" w:type="dxa"/>
            <w:vAlign w:val="bottom"/>
            <w:gridSpan w:val="31"/>
          </w:tcPr>
          <w:p>
            <w:pPr>
              <w:spacing w:after="0" w:line="195"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Disclosures</w:t>
            </w:r>
          </w:p>
        </w:tc>
        <w:tc>
          <w:tcPr>
            <w:tcW w:w="380" w:type="dxa"/>
            <w:vAlign w:val="bottom"/>
            <w:gridSpan w:val="3"/>
          </w:tcPr>
          <w:p>
            <w:pPr>
              <w:jc w:val="center"/>
              <w:ind w:left="110"/>
              <w:spacing w:after="0" w:line="195" w:lineRule="exact"/>
              <w:rPr>
                <w:sz w:val="20"/>
                <w:szCs w:val="20"/>
                <w:color w:val="auto"/>
              </w:rPr>
            </w:pPr>
            <w:r>
              <w:rPr>
                <w:rFonts w:ascii="Times New Roman" w:cs="Times New Roman" w:eastAsia="Times New Roman" w:hAnsi="Times New Roman"/>
                <w:sz w:val="18"/>
                <w:szCs w:val="18"/>
                <w:color w:val="0000EE"/>
                <w:w w:val="99"/>
              </w:rPr>
              <w:t>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9A.</w:t>
            </w:r>
          </w:p>
        </w:tc>
        <w:tc>
          <w:tcPr>
            <w:tcW w:w="176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EE"/>
                <w:w w:val="98"/>
              </w:rPr>
              <w:t>Controls and Procedures</w:t>
            </w:r>
          </w:p>
        </w:tc>
        <w:tc>
          <w:tcPr>
            <w:tcW w:w="4780" w:type="dxa"/>
            <w:vAlign w:val="bottom"/>
            <w:gridSpan w:val="19"/>
          </w:tcPr>
          <w:p>
            <w:pPr>
              <w:spacing w:after="0"/>
              <w:rPr>
                <w:sz w:val="16"/>
                <w:szCs w:val="16"/>
                <w:color w:val="auto"/>
              </w:rPr>
            </w:pPr>
          </w:p>
        </w:tc>
        <w:tc>
          <w:tcPr>
            <w:tcW w:w="3320" w:type="dxa"/>
            <w:vAlign w:val="bottom"/>
            <w:gridSpan w:val="3"/>
          </w:tcPr>
          <w:p>
            <w:pPr>
              <w:spacing w:after="0"/>
              <w:rPr>
                <w:sz w:val="16"/>
                <w:szCs w:val="16"/>
                <w:color w:val="auto"/>
              </w:rPr>
            </w:pPr>
          </w:p>
        </w:tc>
        <w:tc>
          <w:tcPr>
            <w:tcW w:w="380" w:type="dxa"/>
            <w:vAlign w:val="bottom"/>
            <w:gridSpan w:val="3"/>
          </w:tcPr>
          <w:p>
            <w:pPr>
              <w:jc w:val="center"/>
              <w:ind w:left="110"/>
              <w:spacing w:after="0" w:line="195" w:lineRule="exact"/>
              <w:rPr>
                <w:sz w:val="20"/>
                <w:szCs w:val="20"/>
                <w:color w:val="auto"/>
              </w:rPr>
            </w:pPr>
            <w:r>
              <w:rPr>
                <w:rFonts w:ascii="Times New Roman" w:cs="Times New Roman" w:eastAsia="Times New Roman" w:hAnsi="Times New Roman"/>
                <w:sz w:val="18"/>
                <w:szCs w:val="18"/>
                <w:color w:val="0000EE"/>
                <w:w w:val="99"/>
              </w:rPr>
              <w:t>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EE"/>
              </w:rPr>
              <w:t>Other Information</w:t>
            </w:r>
          </w:p>
        </w:tc>
        <w:tc>
          <w:tcPr>
            <w:tcW w:w="8100" w:type="dxa"/>
            <w:vAlign w:val="bottom"/>
            <w:gridSpan w:val="22"/>
          </w:tcPr>
          <w:p>
            <w:pPr>
              <w:spacing w:after="0"/>
              <w:rPr>
                <w:sz w:val="16"/>
                <w:szCs w:val="16"/>
                <w:color w:val="auto"/>
              </w:rPr>
            </w:pPr>
          </w:p>
        </w:tc>
        <w:tc>
          <w:tcPr>
            <w:tcW w:w="380" w:type="dxa"/>
            <w:vAlign w:val="bottom"/>
            <w:gridSpan w:val="3"/>
          </w:tcPr>
          <w:p>
            <w:pPr>
              <w:jc w:val="center"/>
              <w:ind w:left="110"/>
              <w:spacing w:after="0" w:line="195" w:lineRule="exact"/>
              <w:rPr>
                <w:sz w:val="20"/>
                <w:szCs w:val="20"/>
                <w:color w:val="auto"/>
              </w:rPr>
            </w:pPr>
            <w:r>
              <w:rPr>
                <w:rFonts w:ascii="Times New Roman" w:cs="Times New Roman" w:eastAsia="Times New Roman" w:hAnsi="Times New Roman"/>
                <w:sz w:val="18"/>
                <w:szCs w:val="18"/>
                <w:color w:val="0000EE"/>
                <w:w w:val="99"/>
              </w:rPr>
              <w:t>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9C.</w:t>
            </w:r>
          </w:p>
        </w:tc>
        <w:tc>
          <w:tcPr>
            <w:tcW w:w="9860" w:type="dxa"/>
            <w:vAlign w:val="bottom"/>
            <w:gridSpan w:val="31"/>
          </w:tcPr>
          <w:p>
            <w:pPr>
              <w:spacing w:after="0" w:line="195"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380" w:type="dxa"/>
            <w:vAlign w:val="bottom"/>
            <w:gridSpan w:val="3"/>
          </w:tcPr>
          <w:p>
            <w:pPr>
              <w:jc w:val="center"/>
              <w:ind w:left="110"/>
              <w:spacing w:after="0" w:line="195" w:lineRule="exact"/>
              <w:rPr>
                <w:sz w:val="20"/>
                <w:szCs w:val="20"/>
                <w:color w:val="auto"/>
              </w:rPr>
            </w:pPr>
            <w:r>
              <w:rPr>
                <w:rFonts w:ascii="Times New Roman" w:cs="Times New Roman" w:eastAsia="Times New Roman" w:hAnsi="Times New Roman"/>
                <w:sz w:val="18"/>
                <w:szCs w:val="18"/>
                <w:color w:val="0000EE"/>
                <w:w w:val="99"/>
              </w:rPr>
              <w:t>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0"/>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bottom w:val="single" w:sz="8" w:color="0000EE"/>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III</w:t>
            </w:r>
          </w:p>
        </w:tc>
        <w:tc>
          <w:tcPr>
            <w:tcW w:w="456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8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EE"/>
                <w:w w:val="99"/>
              </w:rPr>
              <w:t>96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11.</w:t>
            </w:r>
          </w:p>
        </w:tc>
        <w:tc>
          <w:tcPr>
            <w:tcW w:w="4060" w:type="dxa"/>
            <w:vAlign w:val="bottom"/>
            <w:gridSpan w:val="15"/>
          </w:tcPr>
          <w:p>
            <w:pPr>
              <w:spacing w:after="0" w:line="195" w:lineRule="exact"/>
              <w:rPr>
                <w:sz w:val="20"/>
                <w:szCs w:val="20"/>
                <w:color w:val="auto"/>
              </w:rPr>
            </w:pPr>
            <w:r>
              <w:rPr>
                <w:rFonts w:ascii="Times New Roman" w:cs="Times New Roman" w:eastAsia="Times New Roman" w:hAnsi="Times New Roman"/>
                <w:sz w:val="18"/>
                <w:szCs w:val="18"/>
                <w:color w:val="0000EE"/>
              </w:rPr>
              <w:t>Executive Compensation</w:t>
            </w:r>
          </w:p>
        </w:tc>
        <w:tc>
          <w:tcPr>
            <w:tcW w:w="5800" w:type="dxa"/>
            <w:vAlign w:val="bottom"/>
            <w:gridSpan w:val="16"/>
          </w:tcPr>
          <w:p>
            <w:pPr>
              <w:spacing w:after="0"/>
              <w:rPr>
                <w:sz w:val="16"/>
                <w:szCs w:val="16"/>
                <w:color w:val="auto"/>
              </w:rPr>
            </w:pPr>
          </w:p>
        </w:tc>
        <w:tc>
          <w:tcPr>
            <w:tcW w:w="380" w:type="dxa"/>
            <w:vAlign w:val="bottom"/>
            <w:gridSpan w:val="3"/>
          </w:tcPr>
          <w:p>
            <w:pPr>
              <w:jc w:val="center"/>
              <w:ind w:left="110"/>
              <w:spacing w:after="0" w:line="195" w:lineRule="exact"/>
              <w:rPr>
                <w:sz w:val="20"/>
                <w:szCs w:val="20"/>
                <w:color w:val="auto"/>
              </w:rPr>
            </w:pPr>
            <w:r>
              <w:rPr>
                <w:rFonts w:ascii="Times New Roman" w:cs="Times New Roman" w:eastAsia="Times New Roman" w:hAnsi="Times New Roman"/>
                <w:sz w:val="18"/>
                <w:szCs w:val="18"/>
                <w:color w:val="0000EE"/>
                <w:w w:val="99"/>
              </w:rPr>
              <w:t>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12.</w:t>
            </w:r>
          </w:p>
        </w:tc>
        <w:tc>
          <w:tcPr>
            <w:tcW w:w="9860" w:type="dxa"/>
            <w:vAlign w:val="bottom"/>
            <w:gridSpan w:val="31"/>
          </w:tcPr>
          <w:p>
            <w:pPr>
              <w:spacing w:after="0" w:line="195"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380" w:type="dxa"/>
            <w:vAlign w:val="bottom"/>
            <w:gridSpan w:val="3"/>
          </w:tcPr>
          <w:p>
            <w:pPr>
              <w:jc w:val="center"/>
              <w:ind w:left="110"/>
              <w:spacing w:after="0" w:line="195" w:lineRule="exact"/>
              <w:rPr>
                <w:sz w:val="20"/>
                <w:szCs w:val="20"/>
                <w:color w:val="auto"/>
              </w:rPr>
            </w:pPr>
            <w:r>
              <w:rPr>
                <w:rFonts w:ascii="Times New Roman" w:cs="Times New Roman" w:eastAsia="Times New Roman" w:hAnsi="Times New Roman"/>
                <w:sz w:val="18"/>
                <w:szCs w:val="18"/>
                <w:color w:val="0000EE"/>
                <w:w w:val="99"/>
              </w:rPr>
              <w:t>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13.</w:t>
            </w:r>
          </w:p>
        </w:tc>
        <w:tc>
          <w:tcPr>
            <w:tcW w:w="5420" w:type="dxa"/>
            <w:vAlign w:val="bottom"/>
            <w:gridSpan w:val="26"/>
          </w:tcPr>
          <w:p>
            <w:pPr>
              <w:spacing w:after="0" w:line="195" w:lineRule="exact"/>
              <w:rPr>
                <w:sz w:val="20"/>
                <w:szCs w:val="20"/>
                <w:color w:val="auto"/>
              </w:rPr>
            </w:pPr>
            <w:r>
              <w:rPr>
                <w:rFonts w:ascii="Times New Roman" w:cs="Times New Roman" w:eastAsia="Times New Roman" w:hAnsi="Times New Roman"/>
                <w:sz w:val="18"/>
                <w:szCs w:val="18"/>
                <w:color w:val="0000EE"/>
                <w:w w:val="98"/>
              </w:rPr>
              <w:t>Certain Relationships and Related Transactions, and Director Independence</w:t>
            </w:r>
          </w:p>
        </w:tc>
        <w:tc>
          <w:tcPr>
            <w:tcW w:w="1820" w:type="dxa"/>
            <w:vAlign w:val="bottom"/>
            <w:gridSpan w:val="3"/>
          </w:tcPr>
          <w:p>
            <w:pPr>
              <w:spacing w:after="0"/>
              <w:rPr>
                <w:sz w:val="16"/>
                <w:szCs w:val="16"/>
                <w:color w:val="auto"/>
              </w:rPr>
            </w:pPr>
          </w:p>
        </w:tc>
        <w:tc>
          <w:tcPr>
            <w:tcW w:w="2620" w:type="dxa"/>
            <w:vAlign w:val="bottom"/>
            <w:gridSpan w:val="2"/>
          </w:tcPr>
          <w:p>
            <w:pPr>
              <w:spacing w:after="0"/>
              <w:rPr>
                <w:sz w:val="16"/>
                <w:szCs w:val="16"/>
                <w:color w:val="auto"/>
              </w:rPr>
            </w:pPr>
          </w:p>
        </w:tc>
        <w:tc>
          <w:tcPr>
            <w:tcW w:w="380" w:type="dxa"/>
            <w:vAlign w:val="bottom"/>
            <w:gridSpan w:val="3"/>
          </w:tcPr>
          <w:p>
            <w:pPr>
              <w:jc w:val="center"/>
              <w:ind w:left="110"/>
              <w:spacing w:after="0" w:line="195" w:lineRule="exact"/>
              <w:rPr>
                <w:sz w:val="20"/>
                <w:szCs w:val="20"/>
                <w:color w:val="auto"/>
              </w:rPr>
            </w:pPr>
            <w:r>
              <w:rPr>
                <w:rFonts w:ascii="Times New Roman" w:cs="Times New Roman" w:eastAsia="Times New Roman" w:hAnsi="Times New Roman"/>
                <w:sz w:val="18"/>
                <w:szCs w:val="18"/>
                <w:color w:val="0000EE"/>
                <w:w w:val="99"/>
              </w:rPr>
              <w:t>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14.</w:t>
            </w:r>
          </w:p>
        </w:tc>
        <w:tc>
          <w:tcPr>
            <w:tcW w:w="5420" w:type="dxa"/>
            <w:vAlign w:val="bottom"/>
            <w:gridSpan w:val="26"/>
          </w:tcPr>
          <w:p>
            <w:pPr>
              <w:spacing w:after="0" w:line="195"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4440" w:type="dxa"/>
            <w:vAlign w:val="bottom"/>
            <w:gridSpan w:val="5"/>
          </w:tcPr>
          <w:p>
            <w:pPr>
              <w:spacing w:after="0"/>
              <w:rPr>
                <w:sz w:val="16"/>
                <w:szCs w:val="16"/>
                <w:color w:val="auto"/>
              </w:rPr>
            </w:pPr>
          </w:p>
        </w:tc>
        <w:tc>
          <w:tcPr>
            <w:tcW w:w="380" w:type="dxa"/>
            <w:vAlign w:val="bottom"/>
            <w:gridSpan w:val="3"/>
          </w:tcPr>
          <w:p>
            <w:pPr>
              <w:jc w:val="center"/>
              <w:ind w:left="110"/>
              <w:spacing w:after="0" w:line="195" w:lineRule="exact"/>
              <w:rPr>
                <w:sz w:val="20"/>
                <w:szCs w:val="20"/>
                <w:color w:val="auto"/>
              </w:rPr>
            </w:pPr>
            <w:r>
              <w:rPr>
                <w:rFonts w:ascii="Times New Roman" w:cs="Times New Roman" w:eastAsia="Times New Roman" w:hAnsi="Times New Roman"/>
                <w:sz w:val="18"/>
                <w:szCs w:val="18"/>
                <w:color w:val="0000EE"/>
                <w:w w:val="99"/>
              </w:rPr>
              <w:t>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10"/>
        </w:trPr>
        <w:tc>
          <w:tcPr>
            <w:tcW w:w="7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gridSpan w:val="14"/>
          </w:tcPr>
          <w:p>
            <w:pPr>
              <w:jc w:val="center"/>
              <w:ind w:right="4560"/>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8"/>
              </w:rPr>
              <w:t>Exhibits and Financial Statement Schedules</w:t>
            </w:r>
          </w:p>
        </w:tc>
        <w:tc>
          <w:tcPr>
            <w:tcW w:w="1440" w:type="dxa"/>
            <w:vAlign w:val="bottom"/>
            <w:gridSpan w:val="5"/>
          </w:tcPr>
          <w:p>
            <w:pPr>
              <w:spacing w:after="0"/>
              <w:rPr>
                <w:sz w:val="24"/>
                <w:szCs w:val="24"/>
                <w:color w:val="auto"/>
              </w:rPr>
            </w:pPr>
          </w:p>
        </w:tc>
        <w:tc>
          <w:tcPr>
            <w:tcW w:w="700" w:type="dxa"/>
            <w:vAlign w:val="bottom"/>
            <w:tcBorders>
              <w:top w:val="single" w:sz="8" w:color="0000EE"/>
            </w:tcBorders>
            <w:gridSpan w:val="6"/>
          </w:tcPr>
          <w:p>
            <w:pPr>
              <w:spacing w:after="0"/>
              <w:rPr>
                <w:sz w:val="24"/>
                <w:szCs w:val="24"/>
                <w:color w:val="auto"/>
              </w:rPr>
            </w:pPr>
          </w:p>
        </w:tc>
        <w:tc>
          <w:tcPr>
            <w:tcW w:w="4580" w:type="dxa"/>
            <w:vAlign w:val="bottom"/>
            <w:gridSpan w:val="7"/>
          </w:tcPr>
          <w:p>
            <w:pPr>
              <w:spacing w:after="0"/>
              <w:rPr>
                <w:sz w:val="24"/>
                <w:szCs w:val="24"/>
                <w:color w:val="auto"/>
              </w:rPr>
            </w:pPr>
          </w:p>
        </w:tc>
        <w:tc>
          <w:tcPr>
            <w:tcW w:w="3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0000EE"/>
                <w:w w:val="99"/>
              </w:rPr>
              <w:t>97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6720" w:type="dxa"/>
            <w:vAlign w:val="bottom"/>
            <w:gridSpan w:val="1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16.</w:t>
            </w:r>
          </w:p>
        </w:tc>
        <w:tc>
          <w:tcPr>
            <w:tcW w:w="154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EE"/>
                <w:w w:val="98"/>
              </w:rPr>
              <w:t>Form 10-K Summary</w:t>
            </w:r>
          </w:p>
        </w:tc>
        <w:tc>
          <w:tcPr>
            <w:tcW w:w="1600" w:type="dxa"/>
            <w:vAlign w:val="bottom"/>
            <w:gridSpan w:val="5"/>
          </w:tcPr>
          <w:p>
            <w:pPr>
              <w:spacing w:after="0"/>
              <w:rPr>
                <w:sz w:val="16"/>
                <w:szCs w:val="16"/>
                <w:color w:val="auto"/>
              </w:rPr>
            </w:pPr>
          </w:p>
        </w:tc>
        <w:tc>
          <w:tcPr>
            <w:tcW w:w="6720" w:type="dxa"/>
            <w:vAlign w:val="bottom"/>
            <w:gridSpan w:val="18"/>
          </w:tcPr>
          <w:p>
            <w:pPr>
              <w:spacing w:after="0"/>
              <w:rPr>
                <w:sz w:val="16"/>
                <w:szCs w:val="16"/>
                <w:color w:val="auto"/>
              </w:rPr>
            </w:pPr>
          </w:p>
        </w:tc>
        <w:tc>
          <w:tcPr>
            <w:tcW w:w="680" w:type="dxa"/>
            <w:vAlign w:val="bottom"/>
            <w:gridSpan w:val="5"/>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6"/>
              </w:rPr>
              <w:t>134</w:t>
            </w:r>
          </w:p>
        </w:tc>
      </w:tr>
      <w:tr>
        <w:trPr>
          <w:trHeight w:val="20"/>
        </w:trPr>
        <w:tc>
          <w:tcPr>
            <w:tcW w:w="70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8320" w:type="dxa"/>
            <w:vAlign w:val="bottom"/>
            <w:gridSpan w:val="2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54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EE"/>
              </w:rPr>
              <w:t>Signatures</w:t>
            </w:r>
          </w:p>
        </w:tc>
        <w:tc>
          <w:tcPr>
            <w:tcW w:w="8320" w:type="dxa"/>
            <w:vAlign w:val="bottom"/>
            <w:gridSpan w:val="23"/>
          </w:tcPr>
          <w:p>
            <w:pPr>
              <w:spacing w:after="0"/>
              <w:rPr>
                <w:sz w:val="16"/>
                <w:szCs w:val="16"/>
                <w:color w:val="auto"/>
              </w:rPr>
            </w:pPr>
          </w:p>
        </w:tc>
        <w:tc>
          <w:tcPr>
            <w:tcW w:w="680" w:type="dxa"/>
            <w:vAlign w:val="bottom"/>
            <w:gridSpan w:val="5"/>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6"/>
              </w:rPr>
              <w:t>135</w:t>
            </w:r>
          </w:p>
        </w:tc>
      </w:tr>
      <w:tr>
        <w:trPr>
          <w:trHeight w:val="592"/>
        </w:trPr>
        <w:tc>
          <w:tcPr>
            <w:tcW w:w="70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on Form 10-K, including the section entitled “Management’s Discussion and Analysis of Financial Condition and Results of Operations,” contains forward-looking statements regarding future events and our future results that are subject to the safe harbors created under the Securities Act of 1933, as amended, or the Securities Act, and the Securities Exchange Act of 1934, as amended, or the Exchange Act. Forward-looking statements relate to future events or our future financial performance. We generally identify forward-looking statements by terminology such as “may,” “will,” “would,” “should,” “expects,” “plans,” “anticipates,” “could,” “intends,” “target,” “projects,” “contemplates,” “believes,” “estimates,” “predicts,” “assume,” “intend,” “potential,” “continue” or other similar words or the negative of these terms. We have based these forward-looking statements largely on our current expectations about future events and financial trends that we believe may affect our business, financial condition and results of operations. The outcome of the events described in these forward-looking statements is subject to risks, uncertainties and other factors described in “Risk Factors” and elsewhere in this report. Accordingly, you should not place undue reliance upon these forward-looking statements. We cannot assure you that the events and circumstances reflected in the forward-looking statements will be achieved or occur, the timing of events and circumstances and actual results could differ materially from those anticipated in the forward-looking statements. Forward-looking statements contained in this report include, but are not limited to, statements about:</w:t>
      </w:r>
    </w:p>
    <w:p>
      <w:pPr>
        <w:spacing w:after="0" w:line="187" w:lineRule="exact"/>
        <w:rPr>
          <w:sz w:val="20"/>
          <w:szCs w:val="20"/>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commercialize and the timing of commercializing our products and product candidates, if approved;</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potential therapeutic benefits and effectiveness of our products and product candidates;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progress of, timing of and expected amount of expenses associated with our research, development and commercialization activities;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size and characteristics of the markets that may be addressed by our products and product candidates;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consummation of the transaction contemplated by the PRV Transfer Agreement (as defined herein) and our anticipated net proceeds therefrom;</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timing of our clinical trials for our product candidates and the availability of data and results of those trials;</w:t>
      </w:r>
    </w:p>
    <w:p>
      <w:pPr>
        <w:spacing w:after="0" w:line="222" w:lineRule="exact"/>
        <w:rPr>
          <w:rFonts w:ascii="Times New Roman" w:cs="Times New Roman" w:eastAsia="Times New Roman" w:hAnsi="Times New Roman"/>
          <w:sz w:val="18"/>
          <w:szCs w:val="18"/>
          <w:color w:val="auto"/>
        </w:rPr>
      </w:pPr>
    </w:p>
    <w:p>
      <w:pPr>
        <w:ind w:left="460" w:right="560" w:hanging="224"/>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progress of, outcome or and timing of any regulatory approval for any of our product candidates and the expected amount or timing of any payment related thereto under any of our collaboration agreements;</w:t>
      </w:r>
    </w:p>
    <w:p>
      <w:pPr>
        <w:spacing w:after="0" w:line="158"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federal, state and foreign legal and regulatory requirements;</w:t>
      </w:r>
    </w:p>
    <w:p>
      <w:pPr>
        <w:spacing w:after="0" w:line="222" w:lineRule="exact"/>
        <w:rPr>
          <w:rFonts w:ascii="Times New Roman" w:cs="Times New Roman" w:eastAsia="Times New Roman" w:hAnsi="Times New Roman"/>
          <w:sz w:val="18"/>
          <w:szCs w:val="18"/>
          <w:color w:val="auto"/>
        </w:rPr>
      </w:pPr>
    </w:p>
    <w:p>
      <w:pPr>
        <w:ind w:left="460" w:hanging="224"/>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intention to seek to establish, and the potential benefits to us from, any strategic collaborations or partnerships for the development or sale of our products and product candidates, if approved;</w:t>
      </w:r>
    </w:p>
    <w:p>
      <w:pPr>
        <w:spacing w:after="0" w:line="158"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as to future financial performance, expense levels and liquidity sources;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sufficiency of our cash resources to fund our operating expenses and capital investment requirements for any period;</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raise additional funds on commercially reasonable terms, or at all, in order to support our continued operations;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continue as a going concern;</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senior leadership and board member transitions and refreshments; and</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factors discussed elsewhere in this report.</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forward-looking statements made in this report relate only to events as of the date on which the statements are made. We have included important factors in the cautionary statements included in this report, particularly in the section entitled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352425</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The risk factors summarized below could materially harm our business, operating results, and/or financial condition, impair our future prospects, and/or cause the price of our common stock to decline. These risks are discussed more fully in the section titled "Risk Factors". Material risks that may affect our business, financial condition, results of operations, and trading price of our common stock include the following:</w:t>
      </w:r>
    </w:p>
    <w:p>
      <w:pPr>
        <w:spacing w:after="0" w:line="174" w:lineRule="exact"/>
        <w:rPr>
          <w:sz w:val="20"/>
          <w:szCs w:val="20"/>
          <w:color w:val="auto"/>
        </w:rPr>
      </w:pPr>
    </w:p>
    <w:p>
      <w:pPr>
        <w:ind w:left="460" w:hanging="224"/>
        <w:spacing w:after="0" w:line="282" w:lineRule="auto"/>
        <w:tabs>
          <w:tab w:leader="none" w:pos="50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commercialization of our approved products, or any of our product candidates, if approved, are not successful, or we experience significant delays in commercialization, our business will be harmed.</w:t>
      </w:r>
    </w:p>
    <w:p>
      <w:pPr>
        <w:spacing w:after="0" w:line="158" w:lineRule="exact"/>
        <w:rPr>
          <w:rFonts w:ascii="Times New Roman" w:cs="Times New Roman" w:eastAsia="Times New Roman" w:hAnsi="Times New Roman"/>
          <w:sz w:val="18"/>
          <w:szCs w:val="18"/>
          <w:color w:val="auto"/>
        </w:rPr>
      </w:pPr>
    </w:p>
    <w:p>
      <w:pPr>
        <w:jc w:val="both"/>
        <w:ind w:left="460" w:hanging="224"/>
        <w:spacing w:after="0" w:line="265"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are not able to obtain required regulatory approvals for any of our product candidates, or the approved labels are not sufficiently differentiated from other competing products, we will not be able to commercialize them and our ability to generate revenue or profits or to raise future capital could be limited.</w:t>
      </w:r>
    </w:p>
    <w:p>
      <w:pPr>
        <w:spacing w:after="0" w:line="174" w:lineRule="exact"/>
        <w:rPr>
          <w:rFonts w:ascii="Times New Roman" w:cs="Times New Roman" w:eastAsia="Times New Roman" w:hAnsi="Times New Roman"/>
          <w:sz w:val="18"/>
          <w:szCs w:val="18"/>
          <w:color w:val="auto"/>
        </w:rPr>
      </w:pPr>
    </w:p>
    <w:p>
      <w:pPr>
        <w:jc w:val="both"/>
        <w:ind w:left="460" w:hanging="224"/>
        <w:spacing w:after="0" w:line="26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Arimoclomol is currently available to Niemann-Pick disease type C patients in France, Germany, and other EU member states through our various expanded access programs ("EAPs"). EAPs are expected to remain in place until arimoclomol becomes commercially available in each of the current EAP markets. If an EAP is terminated prior to commercialization of arimoclomol in varying jurisdictions, it will have a material adverse effect on our business, results of operations, cash flows, financial condition and/or prospects.</w:t>
      </w:r>
    </w:p>
    <w:p>
      <w:pPr>
        <w:spacing w:after="0" w:line="177" w:lineRule="exact"/>
        <w:rPr>
          <w:rFonts w:ascii="Times New Roman" w:cs="Times New Roman" w:eastAsia="Times New Roman" w:hAnsi="Times New Roman"/>
          <w:sz w:val="18"/>
          <w:szCs w:val="18"/>
          <w:color w:val="auto"/>
        </w:rPr>
      </w:pPr>
    </w:p>
    <w:p>
      <w:pPr>
        <w:jc w:val="both"/>
        <w:ind w:left="460" w:hanging="224"/>
        <w:spacing w:after="0" w:line="265"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fail to maintain effective internal control over financial reporting and disclosure controls and procedures, we may not be able to accurately report our financial results or report them in a timely manner, which may adversely affect investor confidence in us and, as a result, the value of our common stock.</w:t>
      </w:r>
    </w:p>
    <w:p>
      <w:pPr>
        <w:spacing w:after="0" w:line="174" w:lineRule="exact"/>
        <w:rPr>
          <w:rFonts w:ascii="Times New Roman" w:cs="Times New Roman" w:eastAsia="Times New Roman" w:hAnsi="Times New Roman"/>
          <w:sz w:val="18"/>
          <w:szCs w:val="18"/>
          <w:color w:val="auto"/>
        </w:rPr>
      </w:pPr>
    </w:p>
    <w:p>
      <w:pPr>
        <w:ind w:left="460" w:right="20" w:hanging="224"/>
        <w:spacing w:after="0" w:line="28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58" w:lineRule="exact"/>
        <w:rPr>
          <w:rFonts w:ascii="Times New Roman" w:cs="Times New Roman" w:eastAsia="Times New Roman" w:hAnsi="Times New Roman"/>
          <w:sz w:val="18"/>
          <w:szCs w:val="18"/>
          <w:color w:val="auto"/>
        </w:rPr>
      </w:pPr>
    </w:p>
    <w:p>
      <w:pPr>
        <w:ind w:left="460" w:hanging="224"/>
        <w:spacing w:after="0" w:line="28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need additional funding to pursue our business objectives. If we are unable to raise capital when needed, we could be forced to delay, reduce or altogether cease our prodrug development programs or commercialization efforts or cease operations altogether.</w:t>
      </w:r>
    </w:p>
    <w:p>
      <w:pPr>
        <w:spacing w:after="0" w:line="158" w:lineRule="exact"/>
        <w:rPr>
          <w:rFonts w:ascii="Times New Roman" w:cs="Times New Roman" w:eastAsia="Times New Roman" w:hAnsi="Times New Roman"/>
          <w:sz w:val="18"/>
          <w:szCs w:val="18"/>
          <w:color w:val="auto"/>
        </w:rPr>
      </w:pPr>
    </w:p>
    <w:p>
      <w:pPr>
        <w:ind w:left="460" w:hanging="224"/>
        <w:spacing w:after="0" w:line="28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incurred significant recurring negative net operating cash flows. We cannot predict if we will incur positive or negative net operating cash flows over the next several years which may impact our ability to continue as a going concern, and we may never achieve or maintain profitability.</w:t>
      </w:r>
    </w:p>
    <w:p>
      <w:pPr>
        <w:spacing w:after="0" w:line="158" w:lineRule="exact"/>
        <w:rPr>
          <w:rFonts w:ascii="Times New Roman" w:cs="Times New Roman" w:eastAsia="Times New Roman" w:hAnsi="Times New Roman"/>
          <w:sz w:val="18"/>
          <w:szCs w:val="18"/>
          <w:color w:val="auto"/>
        </w:rPr>
      </w:pPr>
    </w:p>
    <w:p>
      <w:pPr>
        <w:jc w:val="both"/>
        <w:ind w:left="460" w:hanging="224"/>
        <w:spacing w:after="0" w:line="26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are unable to obtain and maintain trade secret protection or patent protection for our technology, our approved products or our product candidates, or if the scope of the patent protection obtained is not sufficiently broad, our competitors could develop and commercialize technology and drugs similar or identical to ours, and our ability to successfully commercialize our technology, our approved products, or our product candidates, if approved, may be impaired.</w:t>
      </w:r>
    </w:p>
    <w:p>
      <w:pPr>
        <w:spacing w:after="0" w:line="177" w:lineRule="exact"/>
        <w:rPr>
          <w:rFonts w:ascii="Times New Roman" w:cs="Times New Roman" w:eastAsia="Times New Roman" w:hAnsi="Times New Roman"/>
          <w:sz w:val="18"/>
          <w:szCs w:val="18"/>
          <w:color w:val="auto"/>
        </w:rPr>
      </w:pPr>
    </w:p>
    <w:p>
      <w:pPr>
        <w:jc w:val="both"/>
        <w:ind w:left="460" w:hanging="224"/>
        <w:spacing w:after="0" w:line="265"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the FDA does not conclude that our product candidates satisfy the requirements for the 505(b)(2) NDA pathway, the approval pathway for our product candidates will likely take significantly longer, cost significantly more and entail significantly greater complications and risks than anticipated, and the FDA may not ultimately approve our product candidates.</w:t>
      </w:r>
    </w:p>
    <w:p>
      <w:pPr>
        <w:spacing w:after="0" w:line="174" w:lineRule="exact"/>
        <w:rPr>
          <w:rFonts w:ascii="Times New Roman" w:cs="Times New Roman" w:eastAsia="Times New Roman" w:hAnsi="Times New Roman"/>
          <w:sz w:val="18"/>
          <w:szCs w:val="18"/>
          <w:color w:val="auto"/>
        </w:rPr>
      </w:pPr>
    </w:p>
    <w:p>
      <w:pPr>
        <w:jc w:val="both"/>
        <w:ind w:left="460" w:hanging="224"/>
        <w:spacing w:after="0" w:line="26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entered into collaborations with Commave Therapeutics, S.A., or Commave, to develop, manufacture and commercialize AZSTARYS worldwide. In addition, we may seek collaborations with third parties for the development, or commercialization of our other product candidates, or in other territories. If those collaborations are not successful, we may not be able to capitalize on the market potential of AZSTARYS or any of our other product candidates, if approved.</w:t>
      </w:r>
    </w:p>
    <w:p>
      <w:pPr>
        <w:spacing w:after="0" w:line="177"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trading price of the shares of our common stock is likely to be volatile, and purchasers of our common stock could incur substantial losses.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future success depends on our ability to retain key executives and to attract, retain and motivate qualified personnel.</w:t>
      </w:r>
    </w:p>
    <w:p>
      <w:pPr>
        <w:spacing w:after="0" w:line="222" w:lineRule="exact"/>
        <w:rPr>
          <w:rFonts w:ascii="Times New Roman" w:cs="Times New Roman" w:eastAsia="Times New Roman" w:hAnsi="Times New Roman"/>
          <w:sz w:val="18"/>
          <w:szCs w:val="18"/>
          <w:color w:val="auto"/>
        </w:rPr>
      </w:pPr>
    </w:p>
    <w:p>
      <w:pPr>
        <w:ind w:left="460" w:hanging="224"/>
        <w:spacing w:after="0" w:line="28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could be negatively affected as a result of the actions of activist stockholders, which could be disruptive and costly and may conflict with or disrupt the strategic direction of our business.</w:t>
      </w:r>
    </w:p>
    <w:p>
      <w:pPr>
        <w:spacing w:after="0" w:line="158" w:lineRule="exact"/>
        <w:rPr>
          <w:rFonts w:ascii="Times New Roman" w:cs="Times New Roman" w:eastAsia="Times New Roman" w:hAnsi="Times New Roman"/>
          <w:sz w:val="18"/>
          <w:szCs w:val="18"/>
          <w:color w:val="auto"/>
        </w:rPr>
      </w:pPr>
    </w:p>
    <w:p>
      <w:pPr>
        <w:ind w:left="460" w:right="20" w:hanging="224"/>
        <w:spacing w:after="0" w:line="282" w:lineRule="auto"/>
        <w:tabs>
          <w:tab w:leader="none" w:pos="5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Adverse developments affecting the financial services industry, including events or concerns involving liquidity, defaults, or non-performance by financial institutions, could adversely affect our business, financial condition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335280</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COMPANY REFERENCE</w:t>
      </w:r>
    </w:p>
    <w:p>
      <w:pPr>
        <w:spacing w:after="0" w:line="225"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i w:val="1"/>
          <w:iCs w:val="1"/>
          <w:color w:val="auto"/>
        </w:rPr>
        <w:t>Unless the context otherwise requires, we use the terms “Zevra,” “Company,” “we,” “us” and “our” in this Annual Report on Form 10-K to refer to Zevra Therapeutics, Inc. We have proprietary rights to a number of trademarks used in this Annual Report on Form 10-K that are important to our business, including LAT</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OLPRUVA</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and its related logo, MIPLYFFA™ and its related logo, and the Zevra logo. All other trademarks, trade names and service marks appearing in this Annual Report on Form 10-K are the property of their respective owners. Solely for convenience, the trademarks and trade names in this Annual Report on Form 10-K are referred to without the </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and ™ symbols, but such references should not be construed as any indicator that their respective owners will not assert, to the fullest extent under applicable law, their rights thereto.</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On August 30, 2023, the Company and Aspen Z Merger Sub, Inc., a wholly-owned subsidiary of Zevra ("Merger Sub") entered into an Agreement and Plan of Merger (the "Merger Agreement") with Acer Therapeutics, Inc. ("Acer"). On November 17, 2023 (the "Closing Date"), we completed the acquisition of Acer. Pursuant to the Merger Agreement, on the Closing Date, Merger Sub was merged with and into Acer (the "Merger"), with Acer continuing as the surviving entity and as a wholly-owned subsidiary of Zevra.</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MARKET AND INDUSTRY DATA</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statistical data, estimates and forecasts that are based on independent industry publications or other publicly available information, as well as other information based on our internal sources. While we believe the industry and market data included in this Annual Report on Form 10-K is reliable and is based on reasonable assumptions, this data involves many assumptions and limitations, and you are cautioned not to give undue weight to these estimates. We have not independently verified the accuracy or completeness of the data contained in these industry publications and other publicly available information. The industry in which we operate is subject to a high degree of uncertainty and risk due to a variety of factors, including those described in the section titled “Risk Factors” and “Special Note Regarding Forward-Looking Statements” included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489585</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commercial-stage company focused on addressing unmet needs for the treatment of rare diseases. Our mission is to bring life-changing therapeutics to people living with rare diseases. With data-driven development and commercialization strategies, we are overcoming complex drug development challenges to make new therapies available to the rare disease community. We have a diverse portfolio of products and product candidates, which includes pre-clinical, clinical, and commercial stage assets. Our team has specialized expertise and a track record of success in advancing promising therapies that face complex clinical, regulatory, and commercial challenges with an approach that balances science with patient need.</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U.S. approval of AZSTARYS® (further described below) in March 2021, we undertook a strategic process to evaluate how to leverage and potentially augment the Company’s existing capabilities while also considering where to invest in our pipeline to generate long-term shareholder value. With a track record of drug development success leading to approvals for products which had either difficult pathways to approval or where approvals were won following a complete response letter (“CRL”) from the U.S. Food and Drug Administration (“FDA”), we determined to focus our expertise on rare disease indications, as well as seeking value-creating opportunities by building and directly commercializing product candidates in lieu of an out-licensing model. We are executing on this balanced approach by building a high-performing culture that is patient-focused and driven by our commitment to developing and commercializing therapies to address the myriad unmet needs within the rare disease community.</w:t>
      </w:r>
    </w:p>
    <w:p>
      <w:pPr>
        <w:spacing w:after="0" w:line="18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part of our commitment to serving the rare disease community, in February 2023, we changed our name to Zevra Therapeutics, Inc. Our name, Zevra, is the Greek word for zebra, which is the internationally recognized symbol for rare disease. This name reflects our intense focus and dedication to developing transformational, patient-focused therapies for rare diseases with limited or no treatment options available, or treatment areas with significant unmet needs.</w:t>
      </w:r>
    </w:p>
    <w:p>
      <w:pPr>
        <w:spacing w:after="0" w:line="159" w:lineRule="exact"/>
        <w:rPr>
          <w:sz w:val="20"/>
          <w:szCs w:val="20"/>
          <w:color w:val="auto"/>
        </w:rPr>
      </w:pPr>
    </w:p>
    <w:p>
      <w:pPr>
        <w:jc w:val="both"/>
        <w:ind w:right="320"/>
        <w:spacing w:after="0" w:line="264" w:lineRule="auto"/>
        <w:rPr>
          <w:sz w:val="20"/>
          <w:szCs w:val="20"/>
          <w:color w:val="auto"/>
        </w:rPr>
      </w:pPr>
      <w:r>
        <w:rPr>
          <w:rFonts w:ascii="Times New Roman" w:cs="Times New Roman" w:eastAsia="Times New Roman" w:hAnsi="Times New Roman"/>
          <w:sz w:val="18"/>
          <w:szCs w:val="18"/>
          <w:color w:val="auto"/>
        </w:rPr>
        <w:t>In May 2022, we purchased all of the assets and operations of Orphazyme A/S (“Orphazyme”) related to arimoclomol, settled all of Orphazyme’s actual outstanding liabilities to its creditors with a cash payment of $12.8 million, and agreed to assume an estimated reserve clawback liability of $5.2 million related to revenue generated from Orphazyme’s EAP in France.</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November 17, 2023, we completed the acquisition of Acer. Pursuant to the Merger Agreement, Acer continues as a wholly-owned subsidiary of Zevra. The Merger included the acquisition of OLPRUVA® (sodium phenylbutyrate) for oral suspension, which was approved by the FDA on December 27, 2022, for the treatment of certain urea cycle disorders ("UCDs"). In addition, we acquired Acer's pipeline of investigational product candidates, including celiprolol for the treatment of Vascular Ehlers-Danlos syndrome ("VEDS") in, patients with a confirmed type III collagen (COL3A1) mutation.</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September 20, 2024, the FDA approved the New Drug Application (“NDA") for MIPLYFFA™ (arimoclomol), an orally-delivered treatment for Niemann-Pick disease type C (“NPC"), which is an ultra-rare and progressive neurodegenerative disease. In addition, we received a transferable rare pediatric disease priority review voucher (“PRV”) in conjunction with the approval. MIPLYFFA has also been granted orphan medical product designation for the treatment of NPC by the European Commission. In November 2024, MIPLYFFA became commercially available for dispense.</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five-year strategic plan is focused on the continued transformation of Zevra into a leading rare-disease company. In addition to the commercialization of OLPRUVA and the approval and subsequent launch of MIPLYFFA, we discontinued our in-house drug discovery activities and closed our laboratory facilities in Iowa and Virginia to prioritize near-term resources for our late-stage clinical development and commercial opportunities in the third quarter of 2024. In the future we plan to outsource our discovery and early development activities, as well as seek to further expand our pipeline through both internal development and through our business development activities to collaborate, partner, and potentially acquire additional assets. We intend to target assets that will allow us to leverage the expertise and infrastructure that we have built to help mitigate risk and enhance our probability of success. If we are successful, expanding our pipeline could be accretive to our value proposition and has the potential to create incremental long-term value for stockholders.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 and Approved Products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built a diverse portfolio of products and product candidates through a combination of internal development and strategic investments through acquisition. For example, we have employed our proprietary Ligand Activated Technology ("LAT") platform to develop approved products (e.g., AZSTARYS), and clinical development candidates (KP1077IH and KP1077N). Through our business development efforts, we have added commercial products (OLPRUVA and MIPLYFFA), and a clinical development candidate (celiprolol). We furthermore have a variety of product candidates and compounds that are clinical-stage and designed to address a variety of rare diseases and other indications.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active commercial products and development assets are summarized in the table below: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Active Zevra Commercial and Development Assets</w:t>
      </w:r>
    </w:p>
    <w:p>
      <w:pPr>
        <w:spacing w:after="0" w:line="200" w:lineRule="exact"/>
        <w:rPr>
          <w:sz w:val="20"/>
          <w:szCs w:val="20"/>
          <w:color w:val="auto"/>
        </w:rPr>
      </w:pP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480" w:type="dxa"/>
            <w:vAlign w:val="bottom"/>
            <w:tcBorders>
              <w:top w:val="single" w:sz="8" w:color="auto"/>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Parent Drug</w:t>
            </w:r>
          </w:p>
        </w:tc>
        <w:tc>
          <w:tcPr>
            <w:tcW w:w="2060" w:type="dxa"/>
            <w:vAlign w:val="bottom"/>
            <w:tcBorders>
              <w:top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2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Product / Candidate</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c>
          <w:tcPr>
            <w:tcW w:w="23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Next Milestone(s)</w:t>
            </w:r>
          </w:p>
        </w:tc>
        <w:tc>
          <w:tcPr>
            <w:tcW w:w="0" w:type="dxa"/>
            <w:vAlign w:val="bottom"/>
          </w:tcPr>
          <w:p>
            <w:pPr>
              <w:spacing w:after="0"/>
              <w:rPr>
                <w:sz w:val="1"/>
                <w:szCs w:val="1"/>
                <w:color w:val="auto"/>
              </w:rPr>
            </w:pPr>
          </w:p>
        </w:tc>
      </w:tr>
      <w:tr>
        <w:trPr>
          <w:trHeight w:val="130"/>
        </w:trPr>
        <w:tc>
          <w:tcPr>
            <w:tcW w:w="2480" w:type="dxa"/>
            <w:vAlign w:val="bottom"/>
            <w:tcBorders>
              <w:left w:val="single" w:sz="8" w:color="auto"/>
              <w:right w:val="single" w:sz="8" w:color="auto"/>
            </w:tcBorders>
            <w:vMerge w:val="continue"/>
          </w:tcPr>
          <w:p>
            <w:pPr>
              <w:spacing w:after="0"/>
              <w:rPr>
                <w:sz w:val="11"/>
                <w:szCs w:val="11"/>
                <w:color w:val="auto"/>
              </w:rPr>
            </w:pPr>
          </w:p>
        </w:tc>
        <w:tc>
          <w:tcPr>
            <w:tcW w:w="2060" w:type="dxa"/>
            <w:vAlign w:val="bottom"/>
            <w:tcBorders>
              <w:right w:val="single" w:sz="8" w:color="auto"/>
            </w:tcBorders>
            <w:vMerge w:val="continue"/>
          </w:tcPr>
          <w:p>
            <w:pPr>
              <w:spacing w:after="0"/>
              <w:rPr>
                <w:sz w:val="11"/>
                <w:szCs w:val="11"/>
                <w:color w:val="auto"/>
              </w:rPr>
            </w:pPr>
          </w:p>
        </w:tc>
        <w:tc>
          <w:tcPr>
            <w:tcW w:w="2360" w:type="dxa"/>
            <w:vAlign w:val="bottom"/>
            <w:tcBorders>
              <w:right w:val="single" w:sz="8" w:color="auto"/>
            </w:tcBorders>
            <w:vMerge w:val="continue"/>
          </w:tcPr>
          <w:p>
            <w:pPr>
              <w:spacing w:after="0"/>
              <w:rPr>
                <w:sz w:val="11"/>
                <w:szCs w:val="11"/>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23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480" w:type="dxa"/>
            <w:vAlign w:val="bottom"/>
            <w:tcBorders>
              <w:left w:val="single" w:sz="8" w:color="auto"/>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4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49"/>
        </w:trPr>
        <w:tc>
          <w:tcPr>
            <w:tcW w:w="2480" w:type="dxa"/>
            <w:vAlign w:val="bottom"/>
            <w:tcBorders>
              <w:left w:val="single" w:sz="8" w:color="auto"/>
              <w:right w:val="single" w:sz="8" w:color="auto"/>
            </w:tcBorders>
            <w:shd w:val="clear" w:color="auto" w:fill="CCEEFF"/>
          </w:tcPr>
          <w:p>
            <w:pPr>
              <w:spacing w:after="0"/>
              <w:rPr>
                <w:sz w:val="24"/>
                <w:szCs w:val="24"/>
                <w:color w:val="auto"/>
              </w:rPr>
            </w:pPr>
          </w:p>
        </w:tc>
        <w:tc>
          <w:tcPr>
            <w:tcW w:w="206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Niemann Pick</w:t>
            </w:r>
          </w:p>
        </w:tc>
        <w:tc>
          <w:tcPr>
            <w:tcW w:w="2360" w:type="dxa"/>
            <w:vAlign w:val="bottom"/>
            <w:tcBorders>
              <w:right w:val="single" w:sz="8" w:color="auto"/>
            </w:tcBorders>
            <w:shd w:val="clear" w:color="auto" w:fill="CCEEFF"/>
          </w:tcPr>
          <w:p>
            <w:pPr>
              <w:spacing w:after="0"/>
              <w:rPr>
                <w:sz w:val="24"/>
                <w:szCs w:val="24"/>
                <w:color w:val="auto"/>
              </w:rPr>
            </w:pPr>
          </w:p>
        </w:tc>
        <w:tc>
          <w:tcPr>
            <w:tcW w:w="20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FDA Approved</w:t>
            </w:r>
          </w:p>
        </w:tc>
        <w:tc>
          <w:tcPr>
            <w:tcW w:w="23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Tracking Commercial</w:t>
            </w:r>
          </w:p>
        </w:tc>
        <w:tc>
          <w:tcPr>
            <w:tcW w:w="0" w:type="dxa"/>
            <w:vAlign w:val="bottom"/>
          </w:tcPr>
          <w:p>
            <w:pPr>
              <w:spacing w:after="0"/>
              <w:rPr>
                <w:sz w:val="1"/>
                <w:szCs w:val="1"/>
                <w:color w:val="auto"/>
              </w:rPr>
            </w:pPr>
          </w:p>
        </w:tc>
      </w:tr>
      <w:tr>
        <w:trPr>
          <w:trHeight w:val="107"/>
        </w:trPr>
        <w:tc>
          <w:tcPr>
            <w:tcW w:w="2480" w:type="dxa"/>
            <w:vAlign w:val="bottom"/>
            <w:tcBorders>
              <w:left w:val="single" w:sz="8" w:color="auto"/>
              <w:right w:val="single" w:sz="8" w:color="auto"/>
            </w:tcBorders>
            <w:shd w:val="clear" w:color="auto" w:fill="CCEEFF"/>
          </w:tcPr>
          <w:p>
            <w:pPr>
              <w:spacing w:after="0"/>
              <w:rPr>
                <w:sz w:val="9"/>
                <w:szCs w:val="9"/>
                <w:color w:val="auto"/>
              </w:rPr>
            </w:pPr>
          </w:p>
        </w:tc>
        <w:tc>
          <w:tcPr>
            <w:tcW w:w="2060" w:type="dxa"/>
            <w:vAlign w:val="bottom"/>
            <w:tcBorders>
              <w:right w:val="single" w:sz="8" w:color="auto"/>
            </w:tcBorders>
            <w:vMerge w:val="continue"/>
            <w:shd w:val="clear" w:color="auto" w:fill="CCEEFF"/>
          </w:tcPr>
          <w:p>
            <w:pPr>
              <w:spacing w:after="0"/>
              <w:rPr>
                <w:sz w:val="9"/>
                <w:szCs w:val="9"/>
                <w:color w:val="auto"/>
              </w:rPr>
            </w:pPr>
          </w:p>
        </w:tc>
        <w:tc>
          <w:tcPr>
            <w:tcW w:w="2360" w:type="dxa"/>
            <w:vAlign w:val="bottom"/>
            <w:tcBorders>
              <w:right w:val="single" w:sz="8" w:color="auto"/>
            </w:tcBorders>
            <w:shd w:val="clear" w:color="auto" w:fill="CCEEFF"/>
          </w:tcPr>
          <w:p>
            <w:pPr>
              <w:spacing w:after="0"/>
              <w:rPr>
                <w:sz w:val="9"/>
                <w:szCs w:val="9"/>
                <w:color w:val="auto"/>
              </w:rPr>
            </w:pPr>
          </w:p>
        </w:tc>
        <w:tc>
          <w:tcPr>
            <w:tcW w:w="2020" w:type="dxa"/>
            <w:vAlign w:val="bottom"/>
            <w:tcBorders>
              <w:right w:val="single" w:sz="8" w:color="auto"/>
            </w:tcBorders>
            <w:shd w:val="clear" w:color="auto" w:fill="CCEEFF"/>
          </w:tcPr>
          <w:p>
            <w:pPr>
              <w:spacing w:after="0"/>
              <w:rPr>
                <w:sz w:val="9"/>
                <w:szCs w:val="9"/>
                <w:color w:val="auto"/>
              </w:rPr>
            </w:pPr>
          </w:p>
        </w:tc>
        <w:tc>
          <w:tcPr>
            <w:tcW w:w="23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Progress</w:t>
            </w:r>
          </w:p>
        </w:tc>
        <w:tc>
          <w:tcPr>
            <w:tcW w:w="0" w:type="dxa"/>
            <w:vAlign w:val="bottom"/>
          </w:tcPr>
          <w:p>
            <w:pPr>
              <w:spacing w:after="0"/>
              <w:rPr>
                <w:sz w:val="1"/>
                <w:szCs w:val="1"/>
                <w:color w:val="auto"/>
              </w:rPr>
            </w:pPr>
          </w:p>
        </w:tc>
      </w:tr>
      <w:tr>
        <w:trPr>
          <w:trHeight w:val="126"/>
        </w:trPr>
        <w:tc>
          <w:tcPr>
            <w:tcW w:w="2480" w:type="dxa"/>
            <w:vAlign w:val="bottom"/>
            <w:tcBorders>
              <w:left w:val="single" w:sz="8" w:color="auto"/>
              <w:right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Arimoclomol</w:t>
            </w:r>
          </w:p>
        </w:tc>
        <w:tc>
          <w:tcPr>
            <w:tcW w:w="206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disease type C</w:t>
            </w:r>
          </w:p>
        </w:tc>
        <w:tc>
          <w:tcPr>
            <w:tcW w:w="23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MIPLYFFA</w:t>
            </w:r>
          </w:p>
        </w:tc>
        <w:tc>
          <w:tcPr>
            <w:tcW w:w="2020" w:type="dxa"/>
            <w:vAlign w:val="bottom"/>
            <w:tcBorders>
              <w:right w:val="single" w:sz="8" w:color="auto"/>
            </w:tcBorders>
            <w:shd w:val="clear" w:color="auto" w:fill="CCEEFF"/>
          </w:tcPr>
          <w:p>
            <w:pPr>
              <w:spacing w:after="0"/>
              <w:rPr>
                <w:sz w:val="10"/>
                <w:szCs w:val="10"/>
                <w:color w:val="auto"/>
              </w:rPr>
            </w:pPr>
          </w:p>
        </w:tc>
        <w:tc>
          <w:tcPr>
            <w:tcW w:w="234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48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2060" w:type="dxa"/>
            <w:vAlign w:val="bottom"/>
            <w:tcBorders>
              <w:right w:val="single" w:sz="8" w:color="auto"/>
            </w:tcBorders>
            <w:vMerge w:val="continue"/>
            <w:shd w:val="clear" w:color="auto" w:fill="CCEEFF"/>
          </w:tcPr>
          <w:p>
            <w:pPr>
              <w:spacing w:after="0"/>
              <w:rPr>
                <w:sz w:val="7"/>
                <w:szCs w:val="7"/>
                <w:color w:val="auto"/>
              </w:rPr>
            </w:pPr>
          </w:p>
        </w:tc>
        <w:tc>
          <w:tcPr>
            <w:tcW w:w="2360" w:type="dxa"/>
            <w:vAlign w:val="bottom"/>
            <w:tcBorders>
              <w:right w:val="single" w:sz="8" w:color="auto"/>
            </w:tcBorders>
            <w:vMerge w:val="continue"/>
            <w:shd w:val="clear" w:color="auto" w:fill="CCEEFF"/>
          </w:tcPr>
          <w:p>
            <w:pPr>
              <w:spacing w:after="0"/>
              <w:rPr>
                <w:sz w:val="7"/>
                <w:szCs w:val="7"/>
                <w:color w:val="auto"/>
              </w:rPr>
            </w:pPr>
          </w:p>
        </w:tc>
        <w:tc>
          <w:tcPr>
            <w:tcW w:w="2020" w:type="dxa"/>
            <w:vAlign w:val="bottom"/>
            <w:tcBorders>
              <w:right w:val="single" w:sz="8" w:color="auto"/>
            </w:tcBorders>
            <w:shd w:val="clear" w:color="auto" w:fill="CCEEFF"/>
          </w:tcPr>
          <w:p>
            <w:pPr>
              <w:spacing w:after="0"/>
              <w:rPr>
                <w:sz w:val="7"/>
                <w:szCs w:val="7"/>
                <w:color w:val="auto"/>
              </w:rPr>
            </w:pPr>
          </w:p>
        </w:tc>
        <w:tc>
          <w:tcPr>
            <w:tcW w:w="234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480" w:type="dxa"/>
            <w:vAlign w:val="bottom"/>
            <w:tcBorders>
              <w:left w:val="single" w:sz="8" w:color="auto"/>
              <w:right w:val="single" w:sz="8" w:color="auto"/>
            </w:tcBorders>
            <w:shd w:val="clear" w:color="auto" w:fill="CCEEFF"/>
          </w:tcPr>
          <w:p>
            <w:pPr>
              <w:spacing w:after="0"/>
              <w:rPr>
                <w:sz w:val="20"/>
                <w:szCs w:val="20"/>
                <w:color w:val="auto"/>
              </w:rPr>
            </w:pPr>
          </w:p>
        </w:tc>
        <w:tc>
          <w:tcPr>
            <w:tcW w:w="206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(NPC)</w:t>
            </w:r>
          </w:p>
        </w:tc>
        <w:tc>
          <w:tcPr>
            <w:tcW w:w="2360" w:type="dxa"/>
            <w:vAlign w:val="bottom"/>
            <w:tcBorders>
              <w:right w:val="single" w:sz="8" w:color="auto"/>
            </w:tcBorders>
            <w:shd w:val="clear" w:color="auto" w:fill="CCEEFF"/>
          </w:tcPr>
          <w:p>
            <w:pPr>
              <w:spacing w:after="0"/>
              <w:rPr>
                <w:sz w:val="20"/>
                <w:szCs w:val="20"/>
                <w:color w:val="auto"/>
              </w:rPr>
            </w:pPr>
          </w:p>
        </w:tc>
        <w:tc>
          <w:tcPr>
            <w:tcW w:w="20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European EAP</w:t>
            </w:r>
          </w:p>
        </w:tc>
        <w:tc>
          <w:tcPr>
            <w:tcW w:w="23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Target MAA Submission</w:t>
            </w:r>
          </w:p>
        </w:tc>
        <w:tc>
          <w:tcPr>
            <w:tcW w:w="0" w:type="dxa"/>
            <w:vAlign w:val="bottom"/>
          </w:tcPr>
          <w:p>
            <w:pPr>
              <w:spacing w:after="0"/>
              <w:rPr>
                <w:sz w:val="1"/>
                <w:szCs w:val="1"/>
                <w:color w:val="auto"/>
              </w:rPr>
            </w:pPr>
          </w:p>
        </w:tc>
      </w:tr>
      <w:tr>
        <w:trPr>
          <w:trHeight w:val="89"/>
        </w:trPr>
        <w:tc>
          <w:tcPr>
            <w:tcW w:w="2480" w:type="dxa"/>
            <w:vAlign w:val="bottom"/>
            <w:tcBorders>
              <w:left w:val="single" w:sz="8" w:color="auto"/>
              <w:right w:val="single" w:sz="8" w:color="auto"/>
            </w:tcBorders>
            <w:shd w:val="clear" w:color="auto" w:fill="CCEEFF"/>
          </w:tcPr>
          <w:p>
            <w:pPr>
              <w:spacing w:after="0"/>
              <w:rPr>
                <w:sz w:val="7"/>
                <w:szCs w:val="7"/>
                <w:color w:val="auto"/>
              </w:rPr>
            </w:pPr>
          </w:p>
        </w:tc>
        <w:tc>
          <w:tcPr>
            <w:tcW w:w="2060" w:type="dxa"/>
            <w:vAlign w:val="bottom"/>
            <w:tcBorders>
              <w:right w:val="single" w:sz="8" w:color="auto"/>
            </w:tcBorders>
            <w:shd w:val="clear" w:color="auto" w:fill="CCEEFF"/>
          </w:tcPr>
          <w:p>
            <w:pPr>
              <w:spacing w:after="0"/>
              <w:rPr>
                <w:sz w:val="7"/>
                <w:szCs w:val="7"/>
                <w:color w:val="auto"/>
              </w:rPr>
            </w:pPr>
          </w:p>
        </w:tc>
        <w:tc>
          <w:tcPr>
            <w:tcW w:w="2360" w:type="dxa"/>
            <w:vAlign w:val="bottom"/>
            <w:tcBorders>
              <w:right w:val="single" w:sz="8" w:color="auto"/>
            </w:tcBorders>
            <w:shd w:val="clear" w:color="auto" w:fill="CCEEFF"/>
          </w:tcPr>
          <w:p>
            <w:pPr>
              <w:spacing w:after="0"/>
              <w:rPr>
                <w:sz w:val="7"/>
                <w:szCs w:val="7"/>
                <w:color w:val="auto"/>
              </w:rPr>
            </w:pPr>
          </w:p>
        </w:tc>
        <w:tc>
          <w:tcPr>
            <w:tcW w:w="2020" w:type="dxa"/>
            <w:vAlign w:val="bottom"/>
            <w:tcBorders>
              <w:right w:val="single" w:sz="8" w:color="auto"/>
            </w:tcBorders>
            <w:vMerge w:val="continue"/>
            <w:shd w:val="clear" w:color="auto" w:fill="CCEEFF"/>
          </w:tcPr>
          <w:p>
            <w:pPr>
              <w:spacing w:after="0"/>
              <w:rPr>
                <w:sz w:val="7"/>
                <w:szCs w:val="7"/>
                <w:color w:val="auto"/>
              </w:rPr>
            </w:pPr>
          </w:p>
        </w:tc>
        <w:tc>
          <w:tcPr>
            <w:tcW w:w="234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248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2060" w:type="dxa"/>
            <w:vAlign w:val="bottom"/>
            <w:tcBorders>
              <w:bottom w:val="single" w:sz="8" w:color="CCEEFF"/>
              <w:right w:val="single" w:sz="8" w:color="auto"/>
            </w:tcBorders>
            <w:shd w:val="clear" w:color="auto" w:fill="CCEEFF"/>
          </w:tcPr>
          <w:p>
            <w:pPr>
              <w:spacing w:after="0"/>
              <w:rPr>
                <w:sz w:val="23"/>
                <w:szCs w:val="23"/>
                <w:color w:val="auto"/>
              </w:rPr>
            </w:pPr>
          </w:p>
        </w:tc>
        <w:tc>
          <w:tcPr>
            <w:tcW w:w="2360" w:type="dxa"/>
            <w:vAlign w:val="bottom"/>
            <w:tcBorders>
              <w:bottom w:val="single" w:sz="8" w:color="CCEEFF"/>
              <w:right w:val="single" w:sz="8" w:color="auto"/>
            </w:tcBorders>
            <w:shd w:val="clear" w:color="auto" w:fill="CCEEFF"/>
          </w:tcPr>
          <w:p>
            <w:pPr>
              <w:spacing w:after="0"/>
              <w:rPr>
                <w:sz w:val="23"/>
                <w:szCs w:val="23"/>
                <w:color w:val="auto"/>
              </w:rPr>
            </w:pPr>
          </w:p>
        </w:tc>
        <w:tc>
          <w:tcPr>
            <w:tcW w:w="2020" w:type="dxa"/>
            <w:vAlign w:val="bottom"/>
            <w:tcBorders>
              <w:bottom w:val="single" w:sz="8" w:color="CCEEFF"/>
              <w:right w:val="single" w:sz="8" w:color="auto"/>
            </w:tcBorders>
            <w:shd w:val="clear" w:color="auto" w:fill="CCEEFF"/>
          </w:tcPr>
          <w:p>
            <w:pPr>
              <w:spacing w:after="0"/>
              <w:rPr>
                <w:sz w:val="23"/>
                <w:szCs w:val="23"/>
                <w:color w:val="auto"/>
              </w:rPr>
            </w:pPr>
          </w:p>
        </w:tc>
        <w:tc>
          <w:tcPr>
            <w:tcW w:w="23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 H2 2025</w:t>
            </w:r>
          </w:p>
        </w:tc>
        <w:tc>
          <w:tcPr>
            <w:tcW w:w="0" w:type="dxa"/>
            <w:vAlign w:val="bottom"/>
          </w:tcPr>
          <w:p>
            <w:pPr>
              <w:spacing w:after="0"/>
              <w:rPr>
                <w:sz w:val="1"/>
                <w:szCs w:val="1"/>
                <w:color w:val="auto"/>
              </w:rPr>
            </w:pPr>
          </w:p>
        </w:tc>
      </w:tr>
      <w:tr>
        <w:trPr>
          <w:trHeight w:val="338"/>
        </w:trPr>
        <w:tc>
          <w:tcPr>
            <w:tcW w:w="2480" w:type="dxa"/>
            <w:vAlign w:val="bottom"/>
            <w:tcBorders>
              <w:top w:val="single" w:sz="8" w:color="auto"/>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Sodium phenylbutyrate</w:t>
            </w:r>
          </w:p>
        </w:tc>
        <w:tc>
          <w:tcPr>
            <w:tcW w:w="20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Urea Cycle</w:t>
            </w:r>
          </w:p>
        </w:tc>
        <w:tc>
          <w:tcPr>
            <w:tcW w:w="2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OLPRUVA</w:t>
            </w:r>
          </w:p>
        </w:tc>
        <w:tc>
          <w:tcPr>
            <w:tcW w:w="20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FDA Approved</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Tracking Commercial</w:t>
            </w:r>
          </w:p>
        </w:tc>
        <w:tc>
          <w:tcPr>
            <w:tcW w:w="0" w:type="dxa"/>
            <w:vAlign w:val="bottom"/>
          </w:tcPr>
          <w:p>
            <w:pPr>
              <w:spacing w:after="0"/>
              <w:rPr>
                <w:sz w:val="1"/>
                <w:szCs w:val="1"/>
                <w:color w:val="auto"/>
              </w:rPr>
            </w:pPr>
          </w:p>
        </w:tc>
      </w:tr>
      <w:tr>
        <w:trPr>
          <w:trHeight w:val="126"/>
        </w:trPr>
        <w:tc>
          <w:tcPr>
            <w:tcW w:w="2480" w:type="dxa"/>
            <w:vAlign w:val="bottom"/>
            <w:tcBorders>
              <w:left w:val="single" w:sz="8" w:color="auto"/>
              <w:right w:val="single" w:sz="8" w:color="auto"/>
            </w:tcBorders>
            <w:vMerge w:val="continue"/>
          </w:tcPr>
          <w:p>
            <w:pPr>
              <w:spacing w:after="0"/>
              <w:rPr>
                <w:sz w:val="10"/>
                <w:szCs w:val="10"/>
                <w:color w:val="auto"/>
              </w:rPr>
            </w:pPr>
          </w:p>
        </w:tc>
        <w:tc>
          <w:tcPr>
            <w:tcW w:w="20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Disorders (UCD)</w:t>
            </w:r>
          </w:p>
        </w:tc>
        <w:tc>
          <w:tcPr>
            <w:tcW w:w="236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Progress</w:t>
            </w:r>
          </w:p>
        </w:tc>
        <w:tc>
          <w:tcPr>
            <w:tcW w:w="0" w:type="dxa"/>
            <w:vAlign w:val="bottom"/>
          </w:tcPr>
          <w:p>
            <w:pPr>
              <w:spacing w:after="0"/>
              <w:rPr>
                <w:sz w:val="1"/>
                <w:szCs w:val="1"/>
                <w:color w:val="auto"/>
              </w:rPr>
            </w:pPr>
          </w:p>
        </w:tc>
      </w:tr>
      <w:tr>
        <w:trPr>
          <w:trHeight w:val="107"/>
        </w:trPr>
        <w:tc>
          <w:tcPr>
            <w:tcW w:w="2480" w:type="dxa"/>
            <w:vAlign w:val="bottom"/>
            <w:tcBorders>
              <w:left w:val="single" w:sz="8" w:color="auto"/>
              <w:right w:val="single" w:sz="8" w:color="auto"/>
            </w:tcBorders>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80" w:type="dxa"/>
            <w:vAlign w:val="bottom"/>
            <w:tcBorders>
              <w:left w:val="single" w:sz="8" w:color="auto"/>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tcPr>
          <w:p>
            <w:pPr>
              <w:spacing w:after="0"/>
              <w:rPr>
                <w:sz w:val="12"/>
                <w:szCs w:val="12"/>
                <w:color w:val="auto"/>
              </w:rPr>
            </w:pPr>
          </w:p>
        </w:tc>
        <w:tc>
          <w:tcPr>
            <w:tcW w:w="23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480" w:type="dxa"/>
            <w:vAlign w:val="bottom"/>
            <w:tcBorders>
              <w:left w:val="single" w:sz="8" w:color="auto"/>
              <w:right w:val="single" w:sz="8" w:color="auto"/>
            </w:tcBorders>
            <w:shd w:val="clear" w:color="auto" w:fill="CCEEFF"/>
          </w:tcPr>
          <w:p>
            <w:pPr>
              <w:spacing w:after="0"/>
              <w:rPr>
                <w:sz w:val="20"/>
                <w:szCs w:val="20"/>
                <w:color w:val="auto"/>
              </w:rPr>
            </w:pPr>
          </w:p>
        </w:tc>
        <w:tc>
          <w:tcPr>
            <w:tcW w:w="206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Vascular Ehlers</w:t>
            </w:r>
          </w:p>
        </w:tc>
        <w:tc>
          <w:tcPr>
            <w:tcW w:w="2360" w:type="dxa"/>
            <w:vAlign w:val="bottom"/>
            <w:tcBorders>
              <w:right w:val="single" w:sz="8" w:color="auto"/>
            </w:tcBorders>
            <w:shd w:val="clear" w:color="auto" w:fill="CCEEFF"/>
          </w:tcPr>
          <w:p>
            <w:pPr>
              <w:spacing w:after="0"/>
              <w:rPr>
                <w:sz w:val="20"/>
                <w:szCs w:val="20"/>
                <w:color w:val="auto"/>
              </w:rPr>
            </w:pPr>
          </w:p>
        </w:tc>
        <w:tc>
          <w:tcPr>
            <w:tcW w:w="2020" w:type="dxa"/>
            <w:vAlign w:val="bottom"/>
            <w:tcBorders>
              <w:right w:val="single" w:sz="8" w:color="auto"/>
            </w:tcBorders>
            <w:shd w:val="clear" w:color="auto" w:fill="CCEEFF"/>
          </w:tcPr>
          <w:p>
            <w:pPr>
              <w:spacing w:after="0"/>
              <w:rPr>
                <w:sz w:val="20"/>
                <w:szCs w:val="20"/>
                <w:color w:val="auto"/>
              </w:rPr>
            </w:pPr>
          </w:p>
        </w:tc>
        <w:tc>
          <w:tcPr>
            <w:tcW w:w="234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8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Celiprolol</w:t>
            </w:r>
          </w:p>
        </w:tc>
        <w:tc>
          <w:tcPr>
            <w:tcW w:w="206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Danlos Syndrome</w:t>
            </w:r>
          </w:p>
        </w:tc>
        <w:tc>
          <w:tcPr>
            <w:tcW w:w="23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Celiprolol</w:t>
            </w:r>
          </w:p>
        </w:tc>
        <w:tc>
          <w:tcPr>
            <w:tcW w:w="20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Clinical - Phase 3</w:t>
            </w:r>
          </w:p>
        </w:tc>
        <w:tc>
          <w:tcPr>
            <w:tcW w:w="23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Phase 3 ongoing</w:t>
            </w:r>
          </w:p>
        </w:tc>
        <w:tc>
          <w:tcPr>
            <w:tcW w:w="0" w:type="dxa"/>
            <w:vAlign w:val="bottom"/>
          </w:tcPr>
          <w:p>
            <w:pPr>
              <w:spacing w:after="0"/>
              <w:rPr>
                <w:sz w:val="1"/>
                <w:szCs w:val="1"/>
                <w:color w:val="auto"/>
              </w:rPr>
            </w:pPr>
          </w:p>
        </w:tc>
      </w:tr>
      <w:tr>
        <w:trPr>
          <w:trHeight w:val="279"/>
        </w:trPr>
        <w:tc>
          <w:tcPr>
            <w:tcW w:w="248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20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(VEDS)</w:t>
            </w:r>
          </w:p>
        </w:tc>
        <w:tc>
          <w:tcPr>
            <w:tcW w:w="2360" w:type="dxa"/>
            <w:vAlign w:val="bottom"/>
            <w:tcBorders>
              <w:bottom w:val="single" w:sz="8" w:color="CCEEFF"/>
              <w:right w:val="single" w:sz="8" w:color="auto"/>
            </w:tcBorders>
            <w:shd w:val="clear" w:color="auto" w:fill="CCEEFF"/>
          </w:tcPr>
          <w:p>
            <w:pPr>
              <w:spacing w:after="0"/>
              <w:rPr>
                <w:sz w:val="23"/>
                <w:szCs w:val="23"/>
                <w:color w:val="auto"/>
              </w:rPr>
            </w:pPr>
          </w:p>
        </w:tc>
        <w:tc>
          <w:tcPr>
            <w:tcW w:w="2020" w:type="dxa"/>
            <w:vAlign w:val="bottom"/>
            <w:tcBorders>
              <w:bottom w:val="single" w:sz="8" w:color="CCEEFF"/>
              <w:right w:val="single" w:sz="8" w:color="auto"/>
            </w:tcBorders>
            <w:shd w:val="clear" w:color="auto" w:fill="CCEEFF"/>
          </w:tcPr>
          <w:p>
            <w:pPr>
              <w:spacing w:after="0"/>
              <w:rPr>
                <w:sz w:val="23"/>
                <w:szCs w:val="23"/>
                <w:color w:val="auto"/>
              </w:rPr>
            </w:pPr>
          </w:p>
        </w:tc>
        <w:tc>
          <w:tcPr>
            <w:tcW w:w="2340" w:type="dxa"/>
            <w:vAlign w:val="bottom"/>
            <w:tcBorders>
              <w:bottom w:val="single" w:sz="8" w:color="CCEEFF"/>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2480" w:type="dxa"/>
            <w:vAlign w:val="bottom"/>
            <w:tcBorders>
              <w:top w:val="single" w:sz="8" w:color="auto"/>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Serdexmethylphenidate</w:t>
            </w:r>
          </w:p>
        </w:tc>
        <w:tc>
          <w:tcPr>
            <w:tcW w:w="20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Idiopathic</w:t>
            </w:r>
          </w:p>
        </w:tc>
        <w:tc>
          <w:tcPr>
            <w:tcW w:w="2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KP1077IH</w:t>
            </w:r>
          </w:p>
        </w:tc>
        <w:tc>
          <w:tcPr>
            <w:tcW w:w="20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Clinical - Phase 2</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Seeking Strategic</w:t>
            </w:r>
          </w:p>
        </w:tc>
        <w:tc>
          <w:tcPr>
            <w:tcW w:w="0" w:type="dxa"/>
            <w:vAlign w:val="bottom"/>
          </w:tcPr>
          <w:p>
            <w:pPr>
              <w:spacing w:after="0"/>
              <w:rPr>
                <w:sz w:val="1"/>
                <w:szCs w:val="1"/>
                <w:color w:val="auto"/>
              </w:rPr>
            </w:pPr>
          </w:p>
        </w:tc>
      </w:tr>
      <w:tr>
        <w:trPr>
          <w:trHeight w:val="126"/>
        </w:trPr>
        <w:tc>
          <w:tcPr>
            <w:tcW w:w="2480" w:type="dxa"/>
            <w:vAlign w:val="bottom"/>
            <w:tcBorders>
              <w:left w:val="single" w:sz="8" w:color="auto"/>
              <w:right w:val="single" w:sz="8" w:color="auto"/>
            </w:tcBorders>
            <w:vMerge w:val="continue"/>
          </w:tcPr>
          <w:p>
            <w:pPr>
              <w:spacing w:after="0"/>
              <w:rPr>
                <w:sz w:val="10"/>
                <w:szCs w:val="10"/>
                <w:color w:val="auto"/>
              </w:rPr>
            </w:pPr>
          </w:p>
        </w:tc>
        <w:tc>
          <w:tcPr>
            <w:tcW w:w="20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Hypersomnia (IH)</w:t>
            </w:r>
          </w:p>
        </w:tc>
        <w:tc>
          <w:tcPr>
            <w:tcW w:w="236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Alternatives</w:t>
            </w:r>
          </w:p>
        </w:tc>
        <w:tc>
          <w:tcPr>
            <w:tcW w:w="0" w:type="dxa"/>
            <w:vAlign w:val="bottom"/>
          </w:tcPr>
          <w:p>
            <w:pPr>
              <w:spacing w:after="0"/>
              <w:rPr>
                <w:sz w:val="1"/>
                <w:szCs w:val="1"/>
                <w:color w:val="auto"/>
              </w:rPr>
            </w:pPr>
          </w:p>
        </w:tc>
      </w:tr>
      <w:tr>
        <w:trPr>
          <w:trHeight w:val="107"/>
        </w:trPr>
        <w:tc>
          <w:tcPr>
            <w:tcW w:w="2480" w:type="dxa"/>
            <w:vAlign w:val="bottom"/>
            <w:tcBorders>
              <w:left w:val="single" w:sz="8" w:color="auto"/>
              <w:right w:val="single" w:sz="8" w:color="auto"/>
            </w:tcBorders>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80" w:type="dxa"/>
            <w:vAlign w:val="bottom"/>
            <w:tcBorders>
              <w:left w:val="single" w:sz="8" w:color="auto"/>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tcPr>
          <w:p>
            <w:pPr>
              <w:spacing w:after="0"/>
              <w:rPr>
                <w:sz w:val="12"/>
                <w:szCs w:val="12"/>
                <w:color w:val="auto"/>
              </w:rPr>
            </w:pPr>
          </w:p>
        </w:tc>
        <w:tc>
          <w:tcPr>
            <w:tcW w:w="23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8"/>
        </w:trPr>
        <w:tc>
          <w:tcPr>
            <w:tcW w:w="2480" w:type="dxa"/>
            <w:vAlign w:val="bottom"/>
            <w:tcBorders>
              <w:left w:val="single" w:sz="8" w:color="auto"/>
              <w:right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Serdexmethylphenidate</w:t>
            </w:r>
          </w:p>
        </w:tc>
        <w:tc>
          <w:tcPr>
            <w:tcW w:w="206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Narcolepsy</w:t>
            </w:r>
          </w:p>
        </w:tc>
        <w:tc>
          <w:tcPr>
            <w:tcW w:w="23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KP1077N</w:t>
            </w:r>
          </w:p>
        </w:tc>
        <w:tc>
          <w:tcPr>
            <w:tcW w:w="20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Clinical - Phase 1/2</w:t>
            </w:r>
          </w:p>
        </w:tc>
        <w:tc>
          <w:tcPr>
            <w:tcW w:w="23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Seeking Strategic</w:t>
            </w:r>
          </w:p>
        </w:tc>
        <w:tc>
          <w:tcPr>
            <w:tcW w:w="0" w:type="dxa"/>
            <w:vAlign w:val="bottom"/>
          </w:tcPr>
          <w:p>
            <w:pPr>
              <w:spacing w:after="0"/>
              <w:rPr>
                <w:sz w:val="1"/>
                <w:szCs w:val="1"/>
                <w:color w:val="auto"/>
              </w:rPr>
            </w:pPr>
          </w:p>
        </w:tc>
      </w:tr>
      <w:tr>
        <w:trPr>
          <w:trHeight w:val="126"/>
        </w:trPr>
        <w:tc>
          <w:tcPr>
            <w:tcW w:w="248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2060" w:type="dxa"/>
            <w:vAlign w:val="bottom"/>
            <w:tcBorders>
              <w:right w:val="single" w:sz="8" w:color="auto"/>
            </w:tcBorders>
            <w:vMerge w:val="continue"/>
            <w:shd w:val="clear" w:color="auto" w:fill="CCEEFF"/>
          </w:tcPr>
          <w:p>
            <w:pPr>
              <w:spacing w:after="0"/>
              <w:rPr>
                <w:sz w:val="10"/>
                <w:szCs w:val="10"/>
                <w:color w:val="auto"/>
              </w:rPr>
            </w:pPr>
          </w:p>
        </w:tc>
        <w:tc>
          <w:tcPr>
            <w:tcW w:w="2360" w:type="dxa"/>
            <w:vAlign w:val="bottom"/>
            <w:tcBorders>
              <w:right w:val="single" w:sz="8" w:color="auto"/>
            </w:tcBorders>
            <w:vMerge w:val="continue"/>
            <w:shd w:val="clear" w:color="auto" w:fill="CCEEFF"/>
          </w:tcPr>
          <w:p>
            <w:pPr>
              <w:spacing w:after="0"/>
              <w:rPr>
                <w:sz w:val="10"/>
                <w:szCs w:val="10"/>
                <w:color w:val="auto"/>
              </w:rPr>
            </w:pPr>
          </w:p>
        </w:tc>
        <w:tc>
          <w:tcPr>
            <w:tcW w:w="2020" w:type="dxa"/>
            <w:vAlign w:val="bottom"/>
            <w:tcBorders>
              <w:right w:val="single" w:sz="8" w:color="auto"/>
            </w:tcBorders>
            <w:vMerge w:val="continue"/>
            <w:shd w:val="clear" w:color="auto" w:fill="CCEEFF"/>
          </w:tcPr>
          <w:p>
            <w:pPr>
              <w:spacing w:after="0"/>
              <w:rPr>
                <w:sz w:val="10"/>
                <w:szCs w:val="10"/>
                <w:color w:val="auto"/>
              </w:rPr>
            </w:pPr>
          </w:p>
        </w:tc>
        <w:tc>
          <w:tcPr>
            <w:tcW w:w="23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Alternatives</w:t>
            </w:r>
          </w:p>
        </w:tc>
        <w:tc>
          <w:tcPr>
            <w:tcW w:w="0" w:type="dxa"/>
            <w:vAlign w:val="bottom"/>
          </w:tcPr>
          <w:p>
            <w:pPr>
              <w:spacing w:after="0"/>
              <w:rPr>
                <w:sz w:val="1"/>
                <w:szCs w:val="1"/>
                <w:color w:val="auto"/>
              </w:rPr>
            </w:pPr>
          </w:p>
        </w:tc>
      </w:tr>
      <w:tr>
        <w:trPr>
          <w:trHeight w:val="107"/>
        </w:trPr>
        <w:tc>
          <w:tcPr>
            <w:tcW w:w="2480" w:type="dxa"/>
            <w:vAlign w:val="bottom"/>
            <w:tcBorders>
              <w:left w:val="single" w:sz="8" w:color="auto"/>
              <w:right w:val="single" w:sz="8" w:color="auto"/>
            </w:tcBorders>
            <w:shd w:val="clear" w:color="auto" w:fill="CCEEFF"/>
          </w:tcPr>
          <w:p>
            <w:pPr>
              <w:spacing w:after="0"/>
              <w:rPr>
                <w:sz w:val="9"/>
                <w:szCs w:val="9"/>
                <w:color w:val="auto"/>
              </w:rPr>
            </w:pPr>
          </w:p>
        </w:tc>
        <w:tc>
          <w:tcPr>
            <w:tcW w:w="2060" w:type="dxa"/>
            <w:vAlign w:val="bottom"/>
            <w:tcBorders>
              <w:right w:val="single" w:sz="8" w:color="auto"/>
            </w:tcBorders>
            <w:shd w:val="clear" w:color="auto" w:fill="CCEEFF"/>
          </w:tcPr>
          <w:p>
            <w:pPr>
              <w:spacing w:after="0"/>
              <w:rPr>
                <w:sz w:val="9"/>
                <w:szCs w:val="9"/>
                <w:color w:val="auto"/>
              </w:rPr>
            </w:pPr>
          </w:p>
        </w:tc>
        <w:tc>
          <w:tcPr>
            <w:tcW w:w="2360" w:type="dxa"/>
            <w:vAlign w:val="bottom"/>
            <w:tcBorders>
              <w:right w:val="single" w:sz="8" w:color="auto"/>
            </w:tcBorders>
            <w:shd w:val="clear" w:color="auto" w:fill="CCEEFF"/>
          </w:tcPr>
          <w:p>
            <w:pPr>
              <w:spacing w:after="0"/>
              <w:rPr>
                <w:sz w:val="9"/>
                <w:szCs w:val="9"/>
                <w:color w:val="auto"/>
              </w:rPr>
            </w:pPr>
          </w:p>
        </w:tc>
        <w:tc>
          <w:tcPr>
            <w:tcW w:w="2020" w:type="dxa"/>
            <w:vAlign w:val="bottom"/>
            <w:tcBorders>
              <w:right w:val="single" w:sz="8" w:color="auto"/>
            </w:tcBorders>
            <w:shd w:val="clear" w:color="auto" w:fill="CCEEFF"/>
          </w:tcPr>
          <w:p>
            <w:pPr>
              <w:spacing w:after="0"/>
              <w:rPr>
                <w:sz w:val="9"/>
                <w:szCs w:val="9"/>
                <w:color w:val="auto"/>
              </w:rPr>
            </w:pPr>
          </w:p>
        </w:tc>
        <w:tc>
          <w:tcPr>
            <w:tcW w:w="234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2060" w:type="dxa"/>
            <w:vAlign w:val="bottom"/>
            <w:tcBorders>
              <w:bottom w:val="single" w:sz="8" w:color="auto"/>
              <w:right w:val="single" w:sz="8" w:color="auto"/>
            </w:tcBorders>
            <w:shd w:val="clear" w:color="auto" w:fill="CCEEFF"/>
          </w:tcPr>
          <w:p>
            <w:pPr>
              <w:spacing w:after="0"/>
              <w:rPr>
                <w:sz w:val="12"/>
                <w:szCs w:val="12"/>
                <w:color w:val="auto"/>
              </w:rPr>
            </w:pPr>
          </w:p>
        </w:tc>
        <w:tc>
          <w:tcPr>
            <w:tcW w:w="2360" w:type="dxa"/>
            <w:vAlign w:val="bottom"/>
            <w:tcBorders>
              <w:bottom w:val="single" w:sz="8" w:color="auto"/>
              <w:right w:val="single" w:sz="8" w:color="auto"/>
            </w:tcBorders>
            <w:shd w:val="clear" w:color="auto" w:fill="CCEEFF"/>
          </w:tcPr>
          <w:p>
            <w:pPr>
              <w:spacing w:after="0"/>
              <w:rPr>
                <w:sz w:val="12"/>
                <w:szCs w:val="12"/>
                <w:color w:val="auto"/>
              </w:rPr>
            </w:pPr>
          </w:p>
        </w:tc>
        <w:tc>
          <w:tcPr>
            <w:tcW w:w="2020" w:type="dxa"/>
            <w:vAlign w:val="bottom"/>
            <w:tcBorders>
              <w:bottom w:val="single" w:sz="8" w:color="auto"/>
              <w:right w:val="single" w:sz="8" w:color="auto"/>
            </w:tcBorders>
            <w:shd w:val="clear" w:color="auto" w:fill="CCEEFF"/>
          </w:tcPr>
          <w:p>
            <w:pPr>
              <w:spacing w:after="0"/>
              <w:rPr>
                <w:sz w:val="12"/>
                <w:szCs w:val="12"/>
                <w:color w:val="auto"/>
              </w:rPr>
            </w:pPr>
          </w:p>
        </w:tc>
        <w:tc>
          <w:tcPr>
            <w:tcW w:w="2340" w:type="dxa"/>
            <w:vAlign w:val="bottom"/>
            <w:tcBorders>
              <w:bottom w:val="single" w:sz="8" w:color="auto"/>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4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Serdexmethylphenidate</w:t>
            </w:r>
          </w:p>
        </w:tc>
        <w:tc>
          <w:tcPr>
            <w:tcW w:w="2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Attention Deficit</w:t>
            </w:r>
          </w:p>
        </w:tc>
        <w:tc>
          <w:tcPr>
            <w:tcW w:w="236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FDA Approved</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Collecting royalties</w:t>
            </w:r>
          </w:p>
        </w:tc>
        <w:tc>
          <w:tcPr>
            <w:tcW w:w="0" w:type="dxa"/>
            <w:vAlign w:val="bottom"/>
          </w:tcPr>
          <w:p>
            <w:pPr>
              <w:spacing w:after="0"/>
              <w:rPr>
                <w:sz w:val="1"/>
                <w:szCs w:val="1"/>
                <w:color w:val="auto"/>
              </w:rPr>
            </w:pPr>
          </w:p>
        </w:tc>
      </w:tr>
      <w:tr>
        <w:trPr>
          <w:trHeight w:val="107"/>
        </w:trPr>
        <w:tc>
          <w:tcPr>
            <w:tcW w:w="2480" w:type="dxa"/>
            <w:vAlign w:val="bottom"/>
            <w:tcBorders>
              <w:left w:val="single" w:sz="8" w:color="auto"/>
              <w:right w:val="single" w:sz="8" w:color="auto"/>
            </w:tcBorders>
            <w:vMerge w:val="continue"/>
          </w:tcPr>
          <w:p>
            <w:pPr>
              <w:spacing w:after="0"/>
              <w:rPr>
                <w:sz w:val="9"/>
                <w:szCs w:val="9"/>
                <w:color w:val="auto"/>
              </w:rPr>
            </w:pPr>
          </w:p>
        </w:tc>
        <w:tc>
          <w:tcPr>
            <w:tcW w:w="20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and Hyperactivity</w:t>
            </w:r>
          </w:p>
        </w:tc>
        <w:tc>
          <w:tcPr>
            <w:tcW w:w="2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AZSTARYS</w:t>
            </w: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0" w:type="dxa"/>
            <w:vAlign w:val="bottom"/>
          </w:tcPr>
          <w:p>
            <w:pPr>
              <w:spacing w:after="0"/>
              <w:rPr>
                <w:sz w:val="1"/>
                <w:szCs w:val="1"/>
                <w:color w:val="auto"/>
              </w:rPr>
            </w:pPr>
          </w:p>
        </w:tc>
      </w:tr>
      <w:tr>
        <w:trPr>
          <w:trHeight w:val="107"/>
        </w:trPr>
        <w:tc>
          <w:tcPr>
            <w:tcW w:w="24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and dexmethylphenidate</w:t>
            </w:r>
          </w:p>
        </w:tc>
        <w:tc>
          <w:tcPr>
            <w:tcW w:w="2060" w:type="dxa"/>
            <w:vAlign w:val="bottom"/>
            <w:tcBorders>
              <w:right w:val="single" w:sz="8" w:color="auto"/>
            </w:tcBorders>
            <w:vMerge w:val="continue"/>
          </w:tcPr>
          <w:p>
            <w:pPr>
              <w:spacing w:after="0"/>
              <w:rPr>
                <w:sz w:val="9"/>
                <w:szCs w:val="9"/>
                <w:color w:val="auto"/>
              </w:rPr>
            </w:pPr>
          </w:p>
        </w:tc>
        <w:tc>
          <w:tcPr>
            <w:tcW w:w="236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480" w:type="dxa"/>
            <w:vAlign w:val="bottom"/>
            <w:tcBorders>
              <w:left w:val="single" w:sz="8" w:color="auto"/>
              <w:right w:val="single" w:sz="8" w:color="auto"/>
            </w:tcBorders>
            <w:vMerge w:val="continue"/>
          </w:tcPr>
          <w:p>
            <w:pPr>
              <w:spacing w:after="0"/>
              <w:rPr>
                <w:sz w:val="10"/>
                <w:szCs w:val="10"/>
                <w:color w:val="auto"/>
              </w:rPr>
            </w:pPr>
          </w:p>
        </w:tc>
        <w:tc>
          <w:tcPr>
            <w:tcW w:w="20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Disorder (ADHD)</w:t>
            </w:r>
          </w:p>
        </w:tc>
        <w:tc>
          <w:tcPr>
            <w:tcW w:w="236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Partnered</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milestones</w:t>
            </w:r>
          </w:p>
        </w:tc>
        <w:tc>
          <w:tcPr>
            <w:tcW w:w="0" w:type="dxa"/>
            <w:vAlign w:val="bottom"/>
          </w:tcPr>
          <w:p>
            <w:pPr>
              <w:spacing w:after="0"/>
              <w:rPr>
                <w:sz w:val="1"/>
                <w:szCs w:val="1"/>
                <w:color w:val="auto"/>
              </w:rPr>
            </w:pPr>
          </w:p>
        </w:tc>
      </w:tr>
      <w:tr>
        <w:trPr>
          <w:trHeight w:val="107"/>
        </w:trPr>
        <w:tc>
          <w:tcPr>
            <w:tcW w:w="2480" w:type="dxa"/>
            <w:vAlign w:val="bottom"/>
            <w:tcBorders>
              <w:left w:val="single" w:sz="8" w:color="auto"/>
              <w:right w:val="single" w:sz="8" w:color="auto"/>
            </w:tcBorders>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4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These anticipated milestones are based on information currently available to us. Our current plans and expectations are subject to a number of uncertainties, risks and other important factors that could materially impact our plans, including risks which are not solely within our control. See Part I, Item 1A. “Risk Factors” in this Annual Report on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MIPLYFFA</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20, 2024, the FDA approved the NDA for MIPLYFFA, an orally-delivered treatment for NPC, which is an ultra-rare and progressive neurodegenerative disease. MIPLYFFA, the first FDA-approved treatment for NPC, is indicated for use in combination with miglustat for the treatment of neurological manifestations of NPC in adult and pediatric patients two years of age and older. In addition, we received a transferable rare pediatric disease PRV in conjunction with the approval. On February 27, 2025, we announced entry into an asset purchase agreement with an undisclosed party for the sale of the PRV for gross proceeds of $150 million, subject to customary closing conditions. MIPLYFFA has also been granted orphan medical product designation for the treatment of NPC by the European Commission. As of December 31, 2025, there was a total of 109 enrollments to receive MIPLYFFA, which included conversion of all active participants in our U.S. EAP, which we expect to close by the end of the second quarter of 2025. Our commercial plans will focus on continuing to raise awareness among people who are living with NPC that are diagnosed and untreated, or undiagnosed.</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Soon after approval of MIPLYFFA, the FDA approved a second therapy for NPC, AQNEURSA, which is approved for symptomatic treatment of ataxia in NPC patients, and is marketed by IntraBio, Inc. ("IntraBio").</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To commercialize both of our commercial products, MIPLYFFA and OLPRUVA, in the U.S., we have built, or are making arrangements with third parties to perform, marketing, sales, medical affairs, distribution, managerial and other non-technical capabilities. We initiated the commercial launch of MIPLYFFA in the U.S. immediately following receipt of FDA approval. Product became available for dispensing at our specialty pharmacy on November 21, 2024.</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NPC is characterized by an inability of the body to transport cholesterol and lipids inside of cells. Symptoms of NPC include a progressive impairment of mobility, cognition, speech, and swallowing, often culminating in premature death. The incidence of NPC is estimated to be one in 100,000 to 130,000 live births. We estimate that there are approximately 1,800 individuals with NPC in the U.S. and Europe combined, of which approximately 900 are in the U.S. and 1,100 are in the EU where there is a mature market with an approved treatment available for NPC. Of these, approximately 300 to 350 people have been diagnosed in the U.S. However, diagnostic challenges may affect the number of potential patients, and we believe that the availability of treatment options in the U.S. could increase awareness of the disease and assist in more accurately identifying patients. Effective therapies to treat NPC are desperately needed, and for this reason, MIPLYFFA is currently being made available to NPC patients in France, Germany, and other EU member states under various EAPs.</w:t>
      </w:r>
    </w:p>
    <w:p>
      <w:pPr>
        <w:sectPr>
          <w:pgSz w:w="11900" w:h="16838" w:orient="portrait"/>
          <w:cols w:equalWidth="0" w:num="1">
            <w:col w:w="11240"/>
          </w:cols>
          <w:pgMar w:left="320" w:top="121" w:right="339" w:bottom="191" w:gutter="0" w:footer="0" w:header="0"/>
        </w:sectPr>
      </w:pPr>
    </w:p>
    <w:bookmarkStart w:id="8" w:name="page9"/>
    <w:bookmarkEnd w:id="8"/>
    <w:p>
      <w:pPr>
        <w:jc w:val="both"/>
        <w:spacing w:after="0" w:line="259" w:lineRule="auto"/>
        <w:rPr>
          <w:sz w:val="20"/>
          <w:szCs w:val="20"/>
          <w:color w:val="auto"/>
        </w:rPr>
      </w:pPr>
      <w:r>
        <w:rPr>
          <w:rFonts w:ascii="Times New Roman" w:cs="Times New Roman" w:eastAsia="Times New Roman" w:hAnsi="Times New Roman"/>
          <w:sz w:val="18"/>
          <w:szCs w:val="18"/>
          <w:color w:val="auto"/>
        </w:rPr>
        <w:t>Zevra holds global rights to develop and commercialize MIPLYFFA. We intend to seek regulatory approval for MIPLYFFA in the European Union ("EU"), and we are currently evaluating the potential to commercialize outside of the U.S., and/or to seek additional regulatory approvals to support future global commercialization opportunities. Our focus is currently on preparing for submission of a Marketing Authorisation Application, or MAA, in Europe in the second half of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MIPLYFFA summary:</w:t>
      </w:r>
    </w:p>
    <w:p>
      <w:pPr>
        <w:spacing w:after="0" w:line="219" w:lineRule="exact"/>
        <w:rPr>
          <w:sz w:val="20"/>
          <w:szCs w:val="20"/>
          <w:color w:val="auto"/>
        </w:rPr>
      </w:pPr>
    </w:p>
    <w:p>
      <w:pPr>
        <w:ind w:left="660" w:hanging="330"/>
        <w:spacing w:after="0" w:line="28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Demonstrated halting of disease progression. </w:t>
      </w:r>
      <w:r>
        <w:rPr>
          <w:rFonts w:ascii="Times New Roman" w:cs="Times New Roman" w:eastAsia="Times New Roman" w:hAnsi="Times New Roman"/>
          <w:sz w:val="18"/>
          <w:szCs w:val="18"/>
          <w:color w:val="auto"/>
        </w:rPr>
        <w:t>MIPLYFFA in combination with miglustat is the only currently approved NPC therapy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demonstrate halting of disease progression through 12 months of treatment.</w:t>
      </w:r>
    </w:p>
    <w:p>
      <w:pPr>
        <w:spacing w:after="0" w:line="181" w:lineRule="exact"/>
        <w:rPr>
          <w:rFonts w:ascii="Times New Roman" w:cs="Times New Roman" w:eastAsia="Times New Roman" w:hAnsi="Times New Roman"/>
          <w:sz w:val="18"/>
          <w:szCs w:val="18"/>
          <w:color w:val="auto"/>
        </w:rPr>
      </w:pPr>
    </w:p>
    <w:p>
      <w:pPr>
        <w:ind w:left="660" w:right="380" w:hanging="330"/>
        <w:spacing w:after="0" w:line="28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Ease of flexible administration as an oral treatment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MIPLYFFA is administered as an oral capsule that can be swallowed whole, opened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contents mixed with foods or liquids, or delivered through a feeding tube.</w:t>
      </w:r>
    </w:p>
    <w:p>
      <w:pPr>
        <w:spacing w:after="0" w:line="181" w:lineRule="exact"/>
        <w:rPr>
          <w:rFonts w:ascii="Times New Roman" w:cs="Times New Roman" w:eastAsia="Times New Roman" w:hAnsi="Times New Roman"/>
          <w:sz w:val="18"/>
          <w:szCs w:val="18"/>
          <w:color w:val="auto"/>
        </w:rPr>
      </w:pPr>
    </w:p>
    <w:p>
      <w:pPr>
        <w:ind w:left="660" w:right="120" w:hanging="330"/>
        <w:spacing w:after="0" w:line="28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Extensive clinical experience with favorable safety data. </w:t>
      </w:r>
      <w:r>
        <w:rPr>
          <w:rFonts w:ascii="Times New Roman" w:cs="Times New Roman" w:eastAsia="Times New Roman" w:hAnsi="Times New Roman"/>
          <w:sz w:val="18"/>
          <w:szCs w:val="18"/>
          <w:color w:val="auto"/>
        </w:rPr>
        <w:t>No significant safety findings have been reported with more than 600 patients treated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clinical trials conducted for multiple indications and through our EAPs.</w:t>
      </w:r>
    </w:p>
    <w:p>
      <w:pPr>
        <w:spacing w:after="0" w:line="181" w:lineRule="exact"/>
        <w:rPr>
          <w:rFonts w:ascii="Times New Roman" w:cs="Times New Roman" w:eastAsia="Times New Roman" w:hAnsi="Times New Roman"/>
          <w:sz w:val="18"/>
          <w:szCs w:val="18"/>
          <w:color w:val="auto"/>
        </w:rPr>
      </w:pPr>
    </w:p>
    <w:p>
      <w:pPr>
        <w:jc w:val="both"/>
        <w:ind w:left="660" w:hanging="330"/>
        <w:spacing w:after="0" w:line="26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designations. </w:t>
      </w:r>
      <w:r>
        <w:rPr>
          <w:rFonts w:ascii="Times New Roman" w:cs="Times New Roman" w:eastAsia="Times New Roman" w:hAnsi="Times New Roman"/>
          <w:sz w:val="18"/>
          <w:szCs w:val="18"/>
          <w:color w:val="auto"/>
        </w:rPr>
        <w:t>MIPLYFFA has been granted orphan drug designation for the treatment of NPC by the European Commission.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a transferable PRV upon approval of MIPLYFFA. On February 26, 2025, we entered into the PRV Transfer Agreement, pursuant to which we agreed to sell the PRV to the buyer, subject to customary closing conditions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OLPRUVA</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OLPRUVA (sodium phenylbutyrate) for oral suspension is approved in the U.S. as adjunctive therapy to standard of care, which includes dietary management, for the chronic management of UCDs involving deficiencies of carbamylphosphate synthetase (CPS), ornithine transcarbamylase (OTC), or argininosuccinic acid synthetase (AS). OLPRUVA for oral suspension is a proprietary and novel formulation of sodium phenylbutyrate powder, packaged in pre-measured single-dose envelopes, that has shown bioequivalence to existing sodium phenylbutyrate powder but with a pH-sensitive polymer coating that is designed to minimize dissolution of the coating for up to five (5) minutes after preparation.</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UCDs are a group of rare genetic disorders that can cause harmful ammonia to build up in the blood, potentially resulting in brain damage and neurocognitive impairments, if ammonia levels are not controlled. Any increase in ammonia over time is serious. Therefore, it is important to adhere to any dietary protein restrictions and have alternative medication options to help control ammonia levels. Approximately 1 in 100,000 people have UCD, and there are an estimated 800 patients who are actively treated with nitrogen scavenging therapy in the U.S. While there are therapies currently approved for the treatment of UCDs - specifically RAVICTI, marketed by Amgen, Inc. (formerly Horizon Therapeutics) and PHEBURANE, marketed by Medunik USA</w:t>
      </w:r>
    </w:p>
    <w:p>
      <w:pPr>
        <w:spacing w:after="0" w:line="3" w:lineRule="exact"/>
        <w:rPr>
          <w:sz w:val="20"/>
          <w:szCs w:val="20"/>
          <w:color w:val="auto"/>
        </w:rPr>
      </w:pPr>
    </w:p>
    <w:p>
      <w:pPr>
        <w:ind w:right="20" w:firstLine="7"/>
        <w:spacing w:after="0" w:line="258" w:lineRule="auto"/>
        <w:tabs>
          <w:tab w:leader="none" w:pos="1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remain unmet needs for this community of patients. OLPRUVA offers benefits over other UCD treatments by eliminating issues with palatability, offering improved portability with its single-dose envelopes, and it comes in a dosage personalized to the patient based on weight.</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quarter ended December 31, 2023, we began generating revenue from the sale of OLPRUVA in the U.S. For additional information regarding the Merger, see Note T of our consolidated financial statements included elsewhere in this Annual Report on Form 10-K. Zevra has a partnership with Relief Therapeutics who has rights to commercialize OLPRUVA in various EU countries, if approved. In addition, Zevra is obligated to pay royalties of 10% of U.S. net sales up to a maximum of $45 million, plus specified regulatory milestones to Relief Therapeutics.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first half of 2024, we initiated the commercial launch of OLPRUVA in the U.S. We have focused our initial efforts on the approximately 40 metabolic treatment centers of excellence across the United States which treat the majority of UCD patients to build awareness with physicians regarding the benefits of OLPRUVA. In the months since launch, our team has been able to engage with more than 90% of our prescribers. We have seen meaningful growth in reimbursement coverage, which was approximately 55% of U.S. covered lives at the time of acquisition, to now approximately 76%. In the third quarter of 2024, Zevra made a data-driven shift in our OLPRUVA commercial strategy to target specific patient segments that will receive the greatest benefit from OLPRUVA and face fewer reimbursement hurdles. To support this refinement in strategy, we focused our resources and promotional efforts in the third quarter to drive patient identification and to improve pull-through with payors. Specifically, we are targeting patients seeking greater lifestyle independence who could benefit from the “ammonia control on the go” that OLPRUVA offers.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OLPRUVA summary:</w:t>
      </w:r>
    </w:p>
    <w:p>
      <w:pPr>
        <w:spacing w:after="0" w:line="219" w:lineRule="exact"/>
        <w:rPr>
          <w:sz w:val="20"/>
          <w:szCs w:val="20"/>
          <w:color w:val="auto"/>
        </w:rPr>
      </w:pPr>
    </w:p>
    <w:p>
      <w:pPr>
        <w:ind w:left="660" w:right="20" w:hanging="330"/>
        <w:spacing w:after="0" w:line="28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OLPRUVA is available in the U.S for the treatment of UCD. </w:t>
      </w:r>
      <w:r>
        <w:rPr>
          <w:rFonts w:ascii="Times New Roman" w:cs="Times New Roman" w:eastAsia="Times New Roman" w:hAnsi="Times New Roman"/>
          <w:sz w:val="18"/>
          <w:szCs w:val="18"/>
          <w:color w:val="auto"/>
        </w:rPr>
        <w:t>OLPRUVA is an adjunctive therapy for long-term management of adults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children weighing 20kg or greater with UCD from deficiencies of CPS, OTC, or AS.</w:t>
      </w:r>
    </w:p>
    <w:p>
      <w:pPr>
        <w:spacing w:after="0" w:line="181" w:lineRule="exact"/>
        <w:rPr>
          <w:rFonts w:ascii="Times New Roman" w:cs="Times New Roman" w:eastAsia="Times New Roman" w:hAnsi="Times New Roman"/>
          <w:sz w:val="18"/>
          <w:szCs w:val="18"/>
          <w:color w:val="auto"/>
        </w:rPr>
      </w:pPr>
    </w:p>
    <w:p>
      <w:pPr>
        <w:ind w:left="660" w:right="20" w:hanging="330"/>
        <w:spacing w:after="0" w:line="28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OLPRUVA is differentiated from currently available forms of phenylbutyrate. </w:t>
      </w:r>
      <w:r>
        <w:rPr>
          <w:rFonts w:ascii="Times New Roman" w:cs="Times New Roman" w:eastAsia="Times New Roman" w:hAnsi="Times New Roman"/>
          <w:sz w:val="18"/>
          <w:szCs w:val="18"/>
          <w:color w:val="auto"/>
        </w:rPr>
        <w:t>OLPRUVA is formulated to improve palatability while providing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with a portable and discrete pre-measured dose.</w:t>
      </w:r>
    </w:p>
    <w:p>
      <w:pPr>
        <w:spacing w:after="0" w:line="181" w:lineRule="exact"/>
        <w:rPr>
          <w:rFonts w:ascii="Times New Roman" w:cs="Times New Roman" w:eastAsia="Times New Roman" w:hAnsi="Times New Roman"/>
          <w:sz w:val="18"/>
          <w:szCs w:val="18"/>
          <w:color w:val="auto"/>
        </w:rPr>
      </w:pPr>
    </w:p>
    <w:p>
      <w:pPr>
        <w:ind w:left="660" w:hanging="330"/>
        <w:spacing w:after="0" w:line="28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Zevra has assembled a team to support OLPRUVA and additional future commercial products. </w:t>
      </w:r>
      <w:r>
        <w:rPr>
          <w:rFonts w:ascii="Times New Roman" w:cs="Times New Roman" w:eastAsia="Times New Roman" w:hAnsi="Times New Roman"/>
          <w:sz w:val="18"/>
          <w:szCs w:val="18"/>
          <w:color w:val="auto"/>
        </w:rPr>
        <w:t>We have established an efficient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which is designed to fully service the patients and prescribers within the rare disease indications we are pursuing.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Celiprolol</w:t>
      </w:r>
    </w:p>
    <w:p>
      <w:pPr>
        <w:spacing w:after="0" w:line="22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 Merger with Acer included the acquisition of celiprolol. We are advancing celiprolol as an investigational product candidate for the treatment of VEDS in patients with a confirmed type III collagen (COL3A1) mutation. Celiprolol is a selective adrenergic modulator (“SAM“) and, if we receive the first approval in the U.S. for celiprolol, we believe it would be deemed a new chemical entity (“NCE”) in the U.S. Celiprolol is currently approved in certain EU states for the treatment of hypertension and angina.</w:t>
      </w:r>
    </w:p>
    <w:p>
      <w:pPr>
        <w:spacing w:after="0" w:line="181"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Ehlers-Danlos Syndrome is an inherited disorder caused by mutations in the genes responsible for the structure, production, or processing of collagen, an important component of the connective tissues in the human body, or proteins that interact with collagen. VEDS causes abnormal fragility in blood vessels, which can give rise to aneurysms, abnormal connections between blood vessels known as arteriovenous fistulas, arterial dissections, and spontaneous vascular ruptures, all of which can be potentially life-threatening. The incidence of VEDS is estimated to be one in 50,000 to 200,000 people. There are approximately 7,500 patients in the U.S.</w:t>
      </w:r>
    </w:p>
    <w:p>
      <w:pPr>
        <w:spacing w:after="0" w:line="186"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Currently, there are no approved therapies anywhere in the world for VEDS. However, celiprolol, prescribed off label, has become the standard of care therapy for VEDS in some European countries. Medical intervention for VEDS focuses on surgery, symptomatic treatment, genetic counseling, and prophylactic measures, such as avoiding intense physical activity, scuba diving, and violent sports. Therefore, patients must adopt a “watch and wait” approach following any confirmed diagnosis. Unfortunately, many of these arterial events have high mortality associated with them, and thus, a pharmacologic intervention that reduces the rate of events would be clinically meaningful.</w:t>
      </w:r>
    </w:p>
    <w:p>
      <w:pPr>
        <w:spacing w:after="0" w:line="186"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Celiprolol received orphan drug designation from the FDA for the treatment of VEDS in 2015. In October 2018, a new celiprolol NDA was submitted to the FDA by Acer based on data obtained from the BBEST trial and was subsequently accepted by the FDA in October 2018 with priority review status. Following FDA review, Acer received a CRL from the FDA stating that it will be necessary to conduct an adequate and well-controlled trial to determine whether celiprolol reduces the risk of clinical events in patients with VEDS. Subsequently, Acer appealed the FDA decision, and while the FDA denied the appeal, it described possible paths forward toward approval. In a May 2021 Type B meeting with the FDA, Acer discussed the conduct of an U.S.-based prospective, randomized, double-blind, placebo-controlled, decentralized clinical trial in patients with COL3A1 positive VEDS, and sought the FDA’s opinion on various proposed design features of the study.</w:t>
      </w:r>
    </w:p>
    <w:p>
      <w:pPr>
        <w:spacing w:after="0" w:line="186"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Based on FDA's feedback during the Type B meeting, we adopted a decentralized (virtual) event-based clinical trial design and use of an independent centralized adjudication committee with a primary endpoint based on clinical events associated with disease outcome. In April 2022, the FDA granted celiprolol Breakthrough Therapy designation (“BTD”) in the U.S. for the treatment of patients with COL3A1-positive VEDS.</w:t>
      </w:r>
    </w:p>
    <w:p>
      <w:pPr>
        <w:spacing w:after="0" w:line="17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In July 2022, Acer initiated enrollment in a Phase 3 long-term event-driven clinical trial designed based on the discussions from the May 2021 Type B meeting with the FDA, also known as the DiSCOVER trial. The DiSCOVER trial intends to enroll 150 VEDS patients, with 100 patients receiving celiprolol and 50 patients receiving placebo. Recruitment in the Phase-3 trial was restarted mid-2024 after a brief hiatus and the trial is actively enrolling patients. We believe that celiprolol could address significant unmet needs as there are currently no approved treatments for VEDS in the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Celiprolol summary:</w:t>
      </w:r>
    </w:p>
    <w:p>
      <w:pPr>
        <w:spacing w:after="0" w:line="219" w:lineRule="exact"/>
        <w:rPr>
          <w:sz w:val="20"/>
          <w:szCs w:val="20"/>
          <w:color w:val="auto"/>
        </w:rPr>
      </w:pPr>
    </w:p>
    <w:p>
      <w:pPr>
        <w:jc w:val="both"/>
        <w:ind w:left="200" w:hanging="119"/>
        <w:spacing w:after="0" w:line="267" w:lineRule="auto"/>
        <w:tabs>
          <w:tab w:leader="none" w:pos="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Currently, no approved treatments for VEDS in the U.S. </w:t>
      </w:r>
      <w:r>
        <w:rPr>
          <w:rFonts w:ascii="Times New Roman" w:cs="Times New Roman" w:eastAsia="Times New Roman" w:hAnsi="Times New Roman"/>
          <w:sz w:val="18"/>
          <w:szCs w:val="18"/>
          <w:color w:val="auto"/>
        </w:rPr>
        <w:t>There are currently no approved treatments of VEDS in the U.S. and we believe that celiprolol,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approved, could be a significant innovation in the treatment of VEDS in the U.S. where current treatment options are focused primarily on surgical intervention.</w:t>
      </w:r>
    </w:p>
    <w:p>
      <w:pPr>
        <w:spacing w:after="0" w:line="169" w:lineRule="exact"/>
        <w:rPr>
          <w:rFonts w:ascii="Times New Roman" w:cs="Times New Roman" w:eastAsia="Times New Roman" w:hAnsi="Times New Roman"/>
          <w:sz w:val="18"/>
          <w:szCs w:val="18"/>
          <w:color w:val="auto"/>
        </w:rPr>
      </w:pPr>
    </w:p>
    <w:p>
      <w:pPr>
        <w:ind w:left="200" w:hanging="119"/>
        <w:spacing w:after="0" w:line="284" w:lineRule="auto"/>
        <w:tabs>
          <w:tab w:leader="none" w:pos="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pharmacological profile. </w:t>
      </w:r>
      <w:r>
        <w:rPr>
          <w:rFonts w:ascii="Times New Roman" w:cs="Times New Roman" w:eastAsia="Times New Roman" w:hAnsi="Times New Roman"/>
          <w:sz w:val="18"/>
          <w:szCs w:val="18"/>
          <w:color w:val="auto"/>
        </w:rPr>
        <w:t>Mechanism of action in VEDS patients is thought to be through vascular dilatation and smooth muscle relaxation,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 of which is to reduce the mechanical stress on collagen fibers in the arterial wall, and thereby potentially less incidence of vascular ruptures.</w:t>
      </w:r>
    </w:p>
    <w:p>
      <w:pPr>
        <w:spacing w:after="0" w:line="155" w:lineRule="exact"/>
        <w:rPr>
          <w:rFonts w:ascii="Times New Roman" w:cs="Times New Roman" w:eastAsia="Times New Roman" w:hAnsi="Times New Roman"/>
          <w:sz w:val="18"/>
          <w:szCs w:val="18"/>
          <w:color w:val="auto"/>
        </w:rPr>
      </w:pPr>
    </w:p>
    <w:p>
      <w:pPr>
        <w:jc w:val="both"/>
        <w:ind w:left="200" w:hanging="119"/>
        <w:spacing w:after="0" w:line="267" w:lineRule="auto"/>
        <w:tabs>
          <w:tab w:leader="none" w:pos="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Evidence of efficacy in the EU and extensive clinical experience from multiple trials. </w:t>
      </w:r>
      <w:r>
        <w:rPr>
          <w:rFonts w:ascii="Times New Roman" w:cs="Times New Roman" w:eastAsia="Times New Roman" w:hAnsi="Times New Roman"/>
          <w:sz w:val="18"/>
          <w:szCs w:val="18"/>
          <w:color w:val="auto"/>
        </w:rPr>
        <w:t>Celiprolol has become the primary treatment for VEDS patients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European countries. BBEST Clinical Trial data showed 76% reduction in risk of arterial events observed in COLA3A1+ subpopulation, with additional data from a long-term observational study in France.</w:t>
      </w:r>
    </w:p>
    <w:p>
      <w:pPr>
        <w:spacing w:after="0" w:line="169" w:lineRule="exact"/>
        <w:rPr>
          <w:rFonts w:ascii="Times New Roman" w:cs="Times New Roman" w:eastAsia="Times New Roman" w:hAnsi="Times New Roman"/>
          <w:sz w:val="18"/>
          <w:szCs w:val="18"/>
          <w:color w:val="auto"/>
        </w:rPr>
      </w:pPr>
    </w:p>
    <w:p>
      <w:pPr>
        <w:ind w:left="200" w:hanging="119"/>
        <w:spacing w:after="0" w:line="284" w:lineRule="auto"/>
        <w:tabs>
          <w:tab w:leader="none" w:pos="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designations. </w:t>
      </w:r>
      <w:r>
        <w:rPr>
          <w:rFonts w:ascii="Times New Roman" w:cs="Times New Roman" w:eastAsia="Times New Roman" w:hAnsi="Times New Roman"/>
          <w:sz w:val="18"/>
          <w:szCs w:val="18"/>
          <w:color w:val="auto"/>
        </w:rPr>
        <w:t>Celiprolol for VEDS would be considered an NCE in the U.S. and has been granted Orphan Drug designation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Breakthrough Therapy designation.</w:t>
      </w:r>
    </w:p>
    <w:p>
      <w:pPr>
        <w:spacing w:after="0" w:line="155" w:lineRule="exact"/>
        <w:rPr>
          <w:rFonts w:ascii="Times New Roman" w:cs="Times New Roman" w:eastAsia="Times New Roman" w:hAnsi="Times New Roman"/>
          <w:sz w:val="18"/>
          <w:szCs w:val="18"/>
          <w:color w:val="auto"/>
        </w:rPr>
      </w:pPr>
    </w:p>
    <w:p>
      <w:pPr>
        <w:ind w:left="200" w:hanging="119"/>
        <w:spacing w:after="0" w:line="284" w:lineRule="auto"/>
        <w:tabs>
          <w:tab w:leader="none" w:pos="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Solid patent protection through 2038. </w:t>
      </w:r>
      <w:r>
        <w:rPr>
          <w:rFonts w:ascii="Times New Roman" w:cs="Times New Roman" w:eastAsia="Times New Roman" w:hAnsi="Times New Roman"/>
          <w:sz w:val="18"/>
          <w:szCs w:val="18"/>
          <w:color w:val="auto"/>
        </w:rPr>
        <w:t>Celiprolol is generally protected by U.S. patents that will expire, after utilizing all appropriate patent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adjustments but excluding possible term extensions, in 2038.</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KP1077</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KP1077 is being developed and evaluated for the treatment of IH and narcolepsy. IH is a rare neurological sleep disorder affecting approximately 37,000 patients in the United States. The cardinal feature of IH is excessive daytime sleepiness ("EDS"), characterized by daytime lapses into sleep, or an irrepressible need to sleep that persists even with adequate or prolonged nighttime sleep. Additionally, those with IH have extreme difficulty waking, otherwise known as “sleep inertia,” suffer from severe and debilitating brain fog, and may fall asleep unintentionally or at inappropriate times, also known as narcolepsy. These symptoms often further lead to reported memory problems, difficulty maintaining focus, and depression.</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currently only one approved product for the treatment of IH, XYWAV, developed by Jazz Pharmaceuticals. A second product, WAKIX, developed by Harmony Biosciences ("Harmony") and originally approved for the treatment of EDS or cataplexy in adult patients with narcolepsy, but in October 2023, Harmony announced that the difference in outcome for EDS when comparing WAKIX and placebo in its Phase 3 trial with IH patients did not reach statistical significance. Prescribers also utilize narcolepsy medications and various stimulant products “off-label” to treat IH symptoms, with methylphenidate, a stimulant which has been classified by the DEA as a Schedule II controlled substance, being one of the most commonly used stimulants for treating IH. While each of these medications can help to address certain IH symptoms, there are also potential shortcomings, including dosing inconvenience, serious adverse events, such as elevated blood pressure and heart rate, and significant drug-to-drug interactions ("DDIs"), including with medications used to manage contraception and depression. In addition, patients have indicated that the effectiveness of their current medication was poor.</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Narcolepsy is a rare, chronic, debilitating neurologic disorder of sleep-wake state instability that impacts up to 200,000 Americans and is primarily characterized by EDS and cataplexy (sudden loss of muscle tone while a person is awake) along with other manifestations of rapid eye movement ("REM"), sleep dysregulation, which intrude into wakefulness. In most patients, narcolepsy is caused by the loss of hypocretin, a neuropeptide in the brain that supports sleep-wake state stability. Typical symptom onset occurs in adolescence or young adulthood, but it can take up to a decade to be properly diagnosed. Although there are several approved medications for narcolepsy, we believe a treatment option based on serdexmethylphenidate (“SDX”), our proprietary prodrug of d-methylphenidate (“d-MPH”) which has previously been classified as a Schedule IV controlled substance, with superior exposure/duration characteristics and low abuse potential may be beneficial.</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reported final data for the Phase 1 proof-of-concept study of SDX in the first quarter of 2022. Increased wakefulness, alertness, hypervigilance, and insomnia effects were reported by study participants, which we believe suggests that SDX produced targeted pharmacodynamic effects that have the potential to benefit patients with IH and other sleep disorders. In November 2022, we announced that the FDA has granted the orphan drug designation to SDX for the treatment of IH.</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KP1077 utilizes SDX, our prodrug of d-MPH, as its API. During the first quarter of 2022, we initiated a Phase 1 clinical trial comparing the cardiovascular safety of SDX to immediate-release and long-acting formulations of RITALIN, a commonly prescribed central nervous system ("CNS") stimulant. In September 2022, we announced topline data from our exploratory Phase 1 clinical trial, which showed the potential for higher dose formulations of SDX to be safe and well tolerated while avoiding the potential for greater cardiovascular safety risk compared to immediate-release and long-acting formulations of RITALIN.</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Based on the data, in December 2022, we announced the initiation of a double-blind, placebo-controlled, randomized-withdrawal, dose-optimizing, multicenter Phase 2 clinical trial evaluating the efficacy and safety of KP1077 for the treatment of IH. The trial concluded in March 2024 and provided meaningful information of the optimal dose and dosing regimen to inform Phase 3 trial design.</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Clinically meaningful improvements were observed across all studied endpoints. The exploratory endpoints of sleep inertia and brain fog performed in-line with expectations and were stable when compared across a variety of other endpoints. Symptom improvements in patients receiving KP1077 were similar after both once-per-day, and twice-per-day dosing.</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the Phase 2 trial, KP1077 was observed to be well-tolerated at all dose levels and both dosing regimens, with adverse events that are typical for stimulants and mostly mild in severity. These results are consistent with data from the Phase 1 trial with SDX that indicated no greater cardiovascular safety risk despite higher overall exposure levels when compared to both immediate and long-acting methylphenidate products currently used off-label for the treatment of IH. On June 3, 2024, we announced final results from the Phase 2 Clinical Trial of KP1077 for IH. The proof-of-concept study was designed to evaluate safety and tolerability and was not powered to demonstrate statistical significance. However, the trial included several important secondary and exploratory endpoints, such as the change in Epworth Sleepiness Scale ("ESS") total score, the IH Severity Scale ("IHSS"), the Sleep Inertia Visual Analog Scale ("SIVAS"), and a new scale to assess the symptoms and severity of brain fog. These data gathered from the secondary endpoints will help inform the study design for a potential Phase 3 clinical trial of KP1077. We held the end-of-Phase 2 meeting with the FDA in September 2024, to discuss the design of a Phase 3 trial to study KP1077 in IH. The FDA indicated that a single pivotal study with appropriate confirmatory evidence will be sufficient to submit a new NDA. We are evaluating strategic alternatives to advance clinical development toward NDA submission and later, commercialization. KP1077 is subject to the terms and conditions of the AZSTARYS License Agreement (as defined below) but is not currently licensed to Commave thereunder.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Takeaways from Phase 2 Clinical Trial of KP 1077 for IH include:</w:t>
      </w:r>
    </w:p>
    <w:p>
      <w:pPr>
        <w:spacing w:after="0" w:line="223" w:lineRule="exact"/>
        <w:rPr>
          <w:sz w:val="20"/>
          <w:szCs w:val="20"/>
          <w:color w:val="auto"/>
        </w:rPr>
      </w:pPr>
    </w:p>
    <w:p>
      <w:pPr>
        <w:ind w:left="680" w:hanging="330"/>
        <w:spacing w:after="0" w:line="280" w:lineRule="auto"/>
        <w:tabs>
          <w:tab w:leader="none" w:pos="7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KP1077 was well tolerated at all dose levels evaluated in the trial, including the highest dose of 320 mg daily, regardless of the dosing regimen: once daily (QD) or twice daily (BID).</w:t>
      </w:r>
    </w:p>
    <w:p>
      <w:pPr>
        <w:spacing w:after="0" w:line="154" w:lineRule="exact"/>
        <w:rPr>
          <w:rFonts w:ascii="Times New Roman" w:cs="Times New Roman" w:eastAsia="Times New Roman" w:hAnsi="Times New Roman"/>
          <w:sz w:val="18"/>
          <w:szCs w:val="18"/>
          <w:color w:val="auto"/>
        </w:rPr>
      </w:pPr>
    </w:p>
    <w:p>
      <w:pPr>
        <w:ind w:left="1320" w:hanging="325"/>
        <w:spacing w:after="0"/>
        <w:tabs>
          <w:tab w:leader="none" w:pos="132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Adverse events (AEs) were similar to other methylphenidate products</w:t>
      </w:r>
    </w:p>
    <w:p>
      <w:pPr>
        <w:spacing w:after="0" w:line="28" w:lineRule="exact"/>
        <w:rPr>
          <w:rFonts w:ascii="Times New Roman" w:cs="Times New Roman" w:eastAsia="Times New Roman" w:hAnsi="Times New Roman"/>
          <w:sz w:val="21"/>
          <w:szCs w:val="21"/>
          <w:color w:val="auto"/>
        </w:rPr>
      </w:pPr>
    </w:p>
    <w:p>
      <w:pPr>
        <w:ind w:left="1320" w:hanging="325"/>
        <w:spacing w:after="0" w:line="212" w:lineRule="auto"/>
        <w:tabs>
          <w:tab w:leader="none" w:pos="132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Most common AEs included insomnia, headache, anxiety, decreased appetite, and nausea</w:t>
      </w:r>
    </w:p>
    <w:p>
      <w:pPr>
        <w:spacing w:after="0" w:line="28" w:lineRule="exact"/>
        <w:rPr>
          <w:rFonts w:ascii="Times New Roman" w:cs="Times New Roman" w:eastAsia="Times New Roman" w:hAnsi="Times New Roman"/>
          <w:sz w:val="21"/>
          <w:szCs w:val="21"/>
          <w:color w:val="auto"/>
        </w:rPr>
      </w:pPr>
    </w:p>
    <w:p>
      <w:pPr>
        <w:ind w:left="1320" w:hanging="325"/>
        <w:spacing w:after="0" w:line="212" w:lineRule="auto"/>
        <w:tabs>
          <w:tab w:leader="none" w:pos="132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Most AEs occurred during the titration period, were mild, and did not lead to early discontinuation</w:t>
      </w:r>
    </w:p>
    <w:p>
      <w:pPr>
        <w:spacing w:after="0" w:line="223" w:lineRule="exact"/>
        <w:rPr>
          <w:rFonts w:ascii="Times New Roman" w:cs="Times New Roman" w:eastAsia="Times New Roman" w:hAnsi="Times New Roman"/>
          <w:sz w:val="21"/>
          <w:szCs w:val="21"/>
          <w:color w:val="auto"/>
        </w:rPr>
      </w:pPr>
    </w:p>
    <w:p>
      <w:pPr>
        <w:jc w:val="both"/>
        <w:ind w:left="680" w:hanging="330"/>
        <w:spacing w:after="0" w:line="256" w:lineRule="auto"/>
        <w:tabs>
          <w:tab w:leader="none" w:pos="7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study was not designed to be powered for statistical significance, KP1077 was associated with clinically meaningful improvements in EDS as assessed by change from baseline in the ESS during both the 5-week open-label (OL) titration period which was maintained during the 2-week double-blind withdrawal period for both dosing regimens.</w:t>
      </w:r>
    </w:p>
    <w:p>
      <w:pPr>
        <w:spacing w:after="0" w:line="1" w:lineRule="exact"/>
        <w:rPr>
          <w:rFonts w:ascii="Times New Roman" w:cs="Times New Roman" w:eastAsia="Times New Roman" w:hAnsi="Times New Roman"/>
          <w:sz w:val="18"/>
          <w:szCs w:val="18"/>
          <w:color w:val="auto"/>
        </w:rPr>
      </w:pPr>
    </w:p>
    <w:p>
      <w:pPr>
        <w:ind w:left="1320" w:hanging="325"/>
        <w:spacing w:after="0" w:line="213" w:lineRule="auto"/>
        <w:tabs>
          <w:tab w:leader="none" w:pos="132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Mean total ESS scores decreased by approximately 9 points after 5 weeks of OL treatment.</w:t>
      </w:r>
    </w:p>
    <w:p>
      <w:pPr>
        <w:spacing w:after="0" w:line="223" w:lineRule="exact"/>
        <w:rPr>
          <w:rFonts w:ascii="Times New Roman" w:cs="Times New Roman" w:eastAsia="Times New Roman" w:hAnsi="Times New Roman"/>
          <w:sz w:val="21"/>
          <w:szCs w:val="21"/>
          <w:color w:val="auto"/>
        </w:rPr>
      </w:pPr>
    </w:p>
    <w:p>
      <w:pPr>
        <w:ind w:left="680" w:hanging="330"/>
        <w:spacing w:after="0"/>
        <w:tabs>
          <w:tab w:leader="none" w:pos="68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Although the study was not designed to be powered for statistical significance, at the end of 7 weeks of treatment, patients administered KP1077 showed clinically meaningful benefits in change from baseline for the ESS, IHSS, SIVAS, and Brain Fog Scale (BFS):</w:t>
      </w:r>
    </w:p>
    <w:p>
      <w:pPr>
        <w:ind w:left="1320" w:hanging="325"/>
        <w:spacing w:after="0" w:line="213" w:lineRule="auto"/>
        <w:tabs>
          <w:tab w:leader="none" w:pos="132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Mean total ESS score decreased by 9.4 (QD) and 8.8 (BID)</w:t>
      </w:r>
    </w:p>
    <w:p>
      <w:pPr>
        <w:spacing w:after="0" w:line="28" w:lineRule="exact"/>
        <w:rPr>
          <w:rFonts w:ascii="Times New Roman" w:cs="Times New Roman" w:eastAsia="Times New Roman" w:hAnsi="Times New Roman"/>
          <w:sz w:val="21"/>
          <w:szCs w:val="21"/>
          <w:color w:val="auto"/>
        </w:rPr>
      </w:pPr>
    </w:p>
    <w:p>
      <w:pPr>
        <w:ind w:left="1320" w:hanging="325"/>
        <w:spacing w:after="0" w:line="212" w:lineRule="auto"/>
        <w:tabs>
          <w:tab w:leader="none" w:pos="132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Mean total IHSS score decreased by 16.1 (QD) and 12.3 (BID)</w:t>
      </w:r>
    </w:p>
    <w:p>
      <w:pPr>
        <w:spacing w:after="0" w:line="28" w:lineRule="exact"/>
        <w:rPr>
          <w:rFonts w:ascii="Times New Roman" w:cs="Times New Roman" w:eastAsia="Times New Roman" w:hAnsi="Times New Roman"/>
          <w:sz w:val="21"/>
          <w:szCs w:val="21"/>
          <w:color w:val="auto"/>
        </w:rPr>
      </w:pPr>
    </w:p>
    <w:p>
      <w:pPr>
        <w:ind w:left="1320" w:hanging="325"/>
        <w:spacing w:after="0" w:line="212" w:lineRule="auto"/>
        <w:tabs>
          <w:tab w:leader="none" w:pos="132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Mean SIVAS score decreased by 25.9 (QD) and 17.2 (BID)</w:t>
      </w:r>
    </w:p>
    <w:p>
      <w:pPr>
        <w:spacing w:after="0" w:line="28" w:lineRule="exact"/>
        <w:rPr>
          <w:rFonts w:ascii="Times New Roman" w:cs="Times New Roman" w:eastAsia="Times New Roman" w:hAnsi="Times New Roman"/>
          <w:sz w:val="21"/>
          <w:szCs w:val="21"/>
          <w:color w:val="auto"/>
        </w:rPr>
      </w:pPr>
    </w:p>
    <w:p>
      <w:pPr>
        <w:ind w:left="1320" w:hanging="325"/>
        <w:spacing w:after="0" w:line="212" w:lineRule="auto"/>
        <w:tabs>
          <w:tab w:leader="none" w:pos="132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Mean total BFS symptom score decreased by 23.8 (QD) and 22.3 (BID)</w:t>
      </w:r>
    </w:p>
    <w:p>
      <w:pPr>
        <w:spacing w:after="0" w:line="223" w:lineRule="exact"/>
        <w:rPr>
          <w:rFonts w:ascii="Times New Roman" w:cs="Times New Roman" w:eastAsia="Times New Roman" w:hAnsi="Times New Roman"/>
          <w:sz w:val="21"/>
          <w:szCs w:val="21"/>
          <w:color w:val="auto"/>
        </w:rPr>
      </w:pPr>
    </w:p>
    <w:p>
      <w:pPr>
        <w:ind w:left="680" w:hanging="330"/>
        <w:spacing w:after="0" w:line="280" w:lineRule="auto"/>
        <w:tabs>
          <w:tab w:leader="none" w:pos="7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study fulfilled the objectives of providing key information for the design of a potentially pivotal efficacy trial, and the results of the secondary efficacy endpoints were supportive of initiating a Phase 3 trial of KP1077.</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KP1077 Summary:</w:t>
      </w:r>
    </w:p>
    <w:p>
      <w:pPr>
        <w:spacing w:after="0" w:line="219" w:lineRule="exact"/>
        <w:rPr>
          <w:sz w:val="20"/>
          <w:szCs w:val="20"/>
          <w:color w:val="auto"/>
        </w:rPr>
      </w:pPr>
    </w:p>
    <w:p>
      <w:pPr>
        <w:ind w:left="680" w:hanging="330"/>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drug-to-drug interactions observed to date. </w:t>
      </w:r>
      <w:r>
        <w:rPr>
          <w:rFonts w:ascii="Times New Roman" w:cs="Times New Roman" w:eastAsia="Times New Roman" w:hAnsi="Times New Roman"/>
          <w:sz w:val="18"/>
          <w:szCs w:val="18"/>
          <w:color w:val="auto"/>
        </w:rPr>
        <w:t>We have not observed drug-to-drug interactions in clinical drug-drug interaction studies.</w:t>
      </w:r>
    </w:p>
    <w:p>
      <w:pPr>
        <w:spacing w:after="0" w:line="276" w:lineRule="exact"/>
        <w:rPr>
          <w:rFonts w:ascii="Times New Roman" w:cs="Times New Roman" w:eastAsia="Times New Roman" w:hAnsi="Times New Roman"/>
          <w:sz w:val="18"/>
          <w:szCs w:val="18"/>
          <w:color w:val="auto"/>
        </w:rPr>
      </w:pPr>
    </w:p>
    <w:p>
      <w:pPr>
        <w:jc w:val="both"/>
        <w:ind w:left="680" w:hanging="330"/>
        <w:spacing w:after="0" w:line="26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for reduced abuse potential as a Schedule IV controlled substance. </w:t>
      </w:r>
      <w:r>
        <w:rPr>
          <w:rFonts w:ascii="Times New Roman" w:cs="Times New Roman" w:eastAsia="Times New Roman" w:hAnsi="Times New Roman"/>
          <w:sz w:val="18"/>
          <w:szCs w:val="18"/>
          <w:color w:val="auto"/>
        </w:rPr>
        <w:t>All other methylphenidate-based products have been designated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Schedule II controlled substances, which indicates stricter control over the prescribing and use of such products. KP1077 is based on SDX, which has been designated a Schedule IV controlled substance.</w:t>
      </w:r>
    </w:p>
    <w:p>
      <w:pPr>
        <w:spacing w:after="0" w:line="196" w:lineRule="exact"/>
        <w:rPr>
          <w:rFonts w:ascii="Times New Roman" w:cs="Times New Roman" w:eastAsia="Times New Roman" w:hAnsi="Times New Roman"/>
          <w:sz w:val="18"/>
          <w:szCs w:val="18"/>
          <w:color w:val="auto"/>
        </w:rPr>
      </w:pPr>
    </w:p>
    <w:p>
      <w:pPr>
        <w:jc w:val="both"/>
        <w:ind w:left="680" w:hanging="330"/>
        <w:spacing w:after="0" w:line="26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currently approved generic equivalent product. </w:t>
      </w:r>
      <w:r>
        <w:rPr>
          <w:rFonts w:ascii="Times New Roman" w:cs="Times New Roman" w:eastAsia="Times New Roman" w:hAnsi="Times New Roman"/>
          <w:sz w:val="18"/>
          <w:szCs w:val="18"/>
          <w:color w:val="auto"/>
        </w:rPr>
        <w:t>KP1077 contains SDX, our proprietary prodrug of d-methylphenidate, also known as the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chemical name, serdexmethylphenidate, by the U.S. Adopted Names Council of the American Medical Association (“USAN”), which means that there may be no generic equivalent product for KP1077 in most states, making drug-equivalent substitution potentially difficult at the pharmacy.</w:t>
      </w:r>
    </w:p>
    <w:p>
      <w:pPr>
        <w:spacing w:after="0" w:line="196" w:lineRule="exact"/>
        <w:rPr>
          <w:rFonts w:ascii="Times New Roman" w:cs="Times New Roman" w:eastAsia="Times New Roman" w:hAnsi="Times New Roman"/>
          <w:sz w:val="18"/>
          <w:szCs w:val="18"/>
          <w:color w:val="auto"/>
        </w:rPr>
      </w:pPr>
    </w:p>
    <w:p>
      <w:pPr>
        <w:jc w:val="both"/>
        <w:ind w:left="680" w:hanging="330"/>
        <w:spacing w:after="0" w:line="26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Orphan drug designation. </w:t>
      </w:r>
      <w:r>
        <w:rPr>
          <w:rFonts w:ascii="Times New Roman" w:cs="Times New Roman" w:eastAsia="Times New Roman" w:hAnsi="Times New Roman"/>
          <w:sz w:val="18"/>
          <w:szCs w:val="18"/>
          <w:color w:val="auto"/>
        </w:rPr>
        <w:t>Because the size of the IH patient population is small, the FDA has granted KP1077 orphan drug designation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of IH. We believe KP1077 may potentially be eligible for fast-track and breakthrough therapy designation, which may provide various regulatory benefits for the development program.</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AZSTARYS (Partnered product)</w:t>
      </w:r>
    </w:p>
    <w:p>
      <w:pPr>
        <w:spacing w:after="0" w:line="22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AZSTARYS contains d-MPH and our prodrug of d-MPH, SDX. On March 2, 2021, the FDA approved AZSTARYS as a once-daily treatment for attention deficit hyperactivity disorder (ADHD), in patients age six years and older. AZSTARYS is currently being marketed in the U.S. under our September 2019 collaboration and license agreement, or the AZSTARYS License Agreement, with Commave. Under the AZSTARYS License Agreement, we granted Commave an exclusive, worldwide license, to develop, manufacture, and commercialize AZSTARYS and any of our product candidates containing SDX and used to treat ADHD or any other CNS disease. In July 2020, we entered into the consulting agreement with Corium, Inc. ("Corium") (the “Corium Consulting Agreement”), under which Corium and Commave, respectively, engaged us to guide the product development and regulatory activities for certain current and potential future products in their portfolio, as well as continue supporting preparation for the potential commercial launch of AZSTARYS.</w:t>
      </w:r>
    </w:p>
    <w:p>
      <w:pPr>
        <w:spacing w:after="0" w:line="189"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Commave has tasked Corium, another affiliate of Gurnet Point Capital, L.P., to lead all commercialization activities for AZSTARYS in the U.S. Corium commercially launched AZSTARYS in the U.S. during the third quarter of 2021. In December 2021, Commave entered into a sublicense of commercialization rights for AZSTARYS in greater China to Shanghai Ark Biopharmaceutical Ltd.</w:t>
      </w:r>
    </w:p>
    <w:p>
      <w:pPr>
        <w:spacing w:after="0" w:line="177"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Pursuant to the AZSTARYS License Agreement, Commave agreed to pay up to $63.0 million in milestone payments upon the occurrence of specified regulatory milestones related to AZSTARYS, including FDA approval and specified conditions with respect to the final approval label. In addition, Corium agreed to make additional payments upon the achievement of specified U.S. sales milestones of up to $420 million in the aggregate. Further, Commave will pay us quarterly, tiered royalty payments based on a percentage of net sales on a product-by-product basis. Corium also agreed to be responsible for and reimburse us for all of development, commercialization and regulatory expenses for any products or product candidates containing SDX, subject to certain limitations as set forth in the AZSTARYS License Agreement, including consultation fees to be paid to us for services provided to Corium in performing such activities.</w:t>
      </w:r>
    </w:p>
    <w:p>
      <w:pPr>
        <w:spacing w:after="0" w:line="186"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In April 2021, we entered into the AZSTARYS Amendment ("AZSTARYS Amendment"). Pursuant to the AZSTARYS Amendment, we and Commave agreed to modify the compensation terms of the AZSTARYS License Agreement. Commave paid us $10.0 million in connection with the execution of the AZSTARYS Amendment following the FDA approval of AZSTARYS in the United States. Corium also paid us $10.0 million following the SDX scheduling determination by the DEA, which occurred on May 7, 2021. In addition, the AZSTARYS Amendment increased the total remaining future regulatory and sales milestone payments related to AZSTARYS up to an aggregate of $590.0 million. The AZSTARYS License Agreement will continue on a product-by-product basis (i) until expiration of the royalty term for the applicable product candidate in the United States and (ii) perpetually for all other countries.</w:t>
      </w:r>
    </w:p>
    <w:p>
      <w:pPr>
        <w:spacing w:after="0" w:line="186"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In May 2021, we announced that SDX, our proprietary prodrug of d-MPH and the primary active pharmaceutical ingredient ("API") in AZSTARYS, was classified as a Schedule IV controlled substance by the DEA. AZSTARYS is classified as a Schedule II controlled substance as its formulation includes a 70:30 mixture of SDX (Schedule IV) and d-MPH (Schedule II), respectively.</w:t>
      </w:r>
    </w:p>
    <w:p>
      <w:pPr>
        <w:spacing w:after="0" w:line="17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During the first half of 2023, annual net sales of AZSTARYS surpassed $25 million, triggering the first annual net sales milestone payment of $5.0 million under the AZSTARYS License Agreement, which was earned and recognized as revenue in the second quarter of 2023, and received after quarter-end. During the second half of 2023, annual net sales of AZSTARYS surpassed $50 million, triggering the second net sales milestone payment of $10.0 million under the AZSTARYS License Agreement, which was earned and recognized in the fourth quarter of 2023.</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Third-Party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Aquestive Termination Agreement</w:t>
      </w:r>
    </w:p>
    <w:p>
      <w:pPr>
        <w:spacing w:after="0" w:line="22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Under our March 2012 termination agreement with Aquestive Therapeutics ("Aquestive"), Aquestive has the right to receive a royalty amount equal to 10% of any value generated by AZSTARYS and any product candidates containing SDX. In connection with the AZSTARYS License Agreement, we paid Aquestive a royalty equal to 10% of the quarterly royalty payments and of the regulatory and net sales milestones earned in 2020, 2021, and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Distributor Agreement</w:t>
      </w:r>
    </w:p>
    <w:p>
      <w:pPr>
        <w:spacing w:after="0" w:line="22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Our current single distributor for sales of our approved products, OLPRUVA and MIPLYFFA, is a specialty pharmacy provider. The Company, however, may establish additional specialty distributors or other retail pharmacies and certain medical centers or hospitals. In addition to distribution agreements, we may enter into arrangements with health care providers and payors that provide for government mandated and/or privately negotiated rebates with respect to the purchase of our products.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Relief Exclusive License Agreement</w:t>
      </w:r>
    </w:p>
    <w:p>
      <w:pPr>
        <w:spacing w:after="0" w:line="245" w:lineRule="exact"/>
        <w:rPr>
          <w:sz w:val="20"/>
          <w:szCs w:val="20"/>
          <w:color w:val="auto"/>
        </w:rPr>
      </w:pPr>
    </w:p>
    <w:p>
      <w:pPr>
        <w:jc w:val="both"/>
        <w:ind w:left="20"/>
        <w:spacing w:after="0" w:line="247" w:lineRule="auto"/>
        <w:rPr>
          <w:sz w:val="20"/>
          <w:szCs w:val="20"/>
          <w:color w:val="auto"/>
        </w:rPr>
      </w:pPr>
      <w:r>
        <w:rPr>
          <w:rFonts w:ascii="Times New Roman" w:cs="Times New Roman" w:eastAsia="Times New Roman" w:hAnsi="Times New Roman"/>
          <w:sz w:val="21"/>
          <w:szCs w:val="21"/>
          <w:color w:val="auto"/>
        </w:rPr>
        <w:t>As a condition to entering into the Merger Agreement, Acer and Relief Therapeutics SA ("Relief") entered into an exclusive license agreement on August 30, 2023 (the "Relief License Agreement"). Pursuant to the Relief License Agreement, Relief will hold exclusive development and commercialization rights for OLPRUVA in the EU, Liechtenstein, San Marino, Vatican City, Norway, Iceland, Principality of Monaco, Andorra, Gibraltar, Switzerland, United Kingdom, Albania, Bosnia, Kosovo, Montenegro, Serbia and North Macedonia ("Geographical Europe"). We have the right to receive a royalty of up to 10% of the net sales of OLPRUVA in Geographical Europe.</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License Agreements Related to MIPLYFFA (arimoclomol)</w:t>
      </w:r>
    </w:p>
    <w:p>
      <w:pPr>
        <w:spacing w:after="0" w:line="227"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Prior to our acquisition of the assets of Orphazyme in May 2022, Orphazyme had entered into an asset purchase agreement with LadRx Corporation, which was assigned to XOMA (US) LLC, a wholly-owned subsidiary of XOMA Corporation ("XOMA"), in June 2023 ("XOMA License Agreement"), as well as a license agreement with Kansas University (“KU”) and UCLB Business, PLC (“UCLB”) (the “KU/UCLB License Agreement”). Under the XOMA License Agreement, XOMA is entitled to certain net sales and regulatory milestone payments in addition to a mid-single digit royalty with respect to worldwide net sales of MIPLYFFA. Under the KU/UCLB License Agreement, KU and UCLB, respectively, are entitled to a low-single digit royalty with respect to worldwide net sales of MIPLYFFA.</w:t>
      </w:r>
    </w:p>
    <w:p>
      <w:pPr>
        <w:sectPr>
          <w:pgSz w:w="11900" w:h="16838" w:orient="portrait"/>
          <w:cols w:equalWidth="0" w:num="1">
            <w:col w:w="11260"/>
          </w:cols>
          <w:pgMar w:left="300" w:top="121" w:right="339" w:bottom="26"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85090</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227"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Our intellectual property (“IP”) strategy includes seeking composition-of-matter patents, among other patents, for our prodrugs, product candidates and conjugates of our prodrugs while also protecting, where appropriate as trade secrets, our proprietary LAT platform technology, the process by which we identify, screen, evaluate and select ligands to be conjugated with parent drugs to create our prodrugs. Our current prodrugs all consist of an approved parent drug and one or more ligands that we have selected using our proprietary LAT platform technology. The parent drug and ligand or ligands together may potentially constitute a new molecule and thus may be eligible for composition-of-matter patent protection, among other patent protections, in the U.S. and abroad. Beyond our internally generated IP, we have also acquired extensive IP portfolios through our business development efforts which support the products and product candidates that we are seeking to commercialize and/or develop.</w:t>
      </w:r>
    </w:p>
    <w:p>
      <w:pPr>
        <w:spacing w:after="0" w:line="186"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In addition to the execution of our IP strategy, we also depend upon the skills, knowledge and experience of our scientific and technical personnel, as well as that of our advisors, consultants and other contractors. To help protect our LAT platform technology, as well as any proprietary know-how and show-how beyond that which is patentable, we rely on trade secret protection and confidentiality agreements to protect our interests. To this end, we generally require our employees, consultants and advisors to enter into confidentiality agreements prohibiting the disclosure of confidential information and, in some cases, requiring disclosure and assignment to us of the ideas, developments, discoveries, inventions and improvements important to our business.</w:t>
      </w:r>
    </w:p>
    <w:p>
      <w:pPr>
        <w:spacing w:after="0" w:line="186"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As of December 31, 2024, we have been granted and maintain 89 active patents within the United States, and an additional 375 active foreign patents covering our selected prodrugs and product candidates. The terms of the 89 issued U.S. patents extend to various dates ranging, for example, between 2029 and 2042. The term of our overall domestic and foreign patent portfolio related to our selected prodrugs and product candidates, including patent term adjustments but excluding possible patent term extensions, extend to various dates ranging, for example, between 2029 and 2042, if pending patent applications in each of our patent families are issued as patents. As of December 31, 2024, we had 25 pending patent applications under active prosecution in the United States, and an additional 109 pending foreign patent applications potentially covering our selected prodrugs and product candidates. Our issued and granted patents provide protection in jurisdictions that include the United States, Australia, Canada, Chile, China, European Countries, Hong Kong, India, Indonesia, Israel, Japan, Kazakhstan, Malaysia, Mexico, New Zealand, Philippines, Romania, Russia, Singapore, South Africa, South Korea, and Vietnam.</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MIPLYFFA (arimoclomol)</w:t>
      </w:r>
    </w:p>
    <w:p>
      <w:pPr>
        <w:spacing w:after="0" w:line="225"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Pursuant to our acquisition of the assets of Orphazyme, we have received method of use and method of treatment patents, and have filed related patent applications, related to the arimoclomol families in various jurisdictions, including the U.S., European countries, Israel, Japan, South Korea, Canada, China, Brazil, Russia and Turkey, with anticipated patent expiration dates of 2029, excluding any potential patent term adjustments or extensions. We anticipate filing additional patent applications related to the arimoclomol families.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OLPRUVA (sodium phenylbutyrate)</w:t>
      </w:r>
    </w:p>
    <w:p>
      <w:pPr>
        <w:spacing w:after="0" w:line="225"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We acquired the IP portfolio supporting OLPRUVA as part of the Merger with Acer. We have both U.S. and foreign patents with claims related to OLPRUVA. Our U.S. patents are directed to pharmaceutical compositions, including OLPRUVA's polymer coated, multi-particulate dosage formulation for oral administration and covers certain methods of use claims related to OLPRUVA. Additionally, we have patents in Europe, Israel, and Mexico related to pharmaceutical compositions, including OLPRUVA's polymer coated, multi-particulate dosage formulation for oral administration. These patents expire in 2036.</w:t>
      </w:r>
    </w:p>
    <w:p>
      <w:pPr>
        <w:spacing w:after="0" w:line="186"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In October 2022, the U.S. Patent and Trademark Office ("USPTO") issued a Notice of Allowance for U.S. patent application No. 16/624,834 for claims related to a kit comprising a combination therapeutic product composed of sodium phenylbutyrate or glycerol phenylbutyrate and sodium benzoate. That application has now issued as U.S. Patent No. 11,517,547 and was exclusively licensed to Acer, which we acquired in November 2023, from Baylor College of Medicine ("BCM"), with an expiration date in June 2038.</w:t>
      </w:r>
    </w:p>
    <w:p>
      <w:pPr>
        <w:spacing w:after="0" w:line="181"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In July 2022, the China National Intellectual Property Administration (“CNIPA”) issued Electronic Patent Certificate ZL202122004991.9 in May 2022, for Utility Model directed to OLPRUVA (sodium phenylbutyrate). Specifically, the patent covers dosage form claims related to OLPRUVA’s polymer coated formulation for oral administration as a potential treatment for UCDs and Maple Syrup Urine Disease ("MSUD"). The patent has an expiration date in August 2031.</w:t>
      </w:r>
    </w:p>
    <w:p>
      <w:pPr>
        <w:spacing w:after="0" w:line="18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We have exclusive rights to certain patents and other intellectual property from BCM for the use of sodium phenylbutyrate (NaPB) for the treatment of inborn errors of BCAA metabolism, including MSUD. The licensed patents cover methods and compositions for treating humans (and animals) with various formulations and prodrugs of NaPB for inborn errors of BCAA metabolism, including MSUD, with the latest expiring in 2032. We made filings in the geographic regions that represent the largest incidence and prevalence of MSUD, including the U.S., selected countries in Europe (including Turkey), and Brazil. BCM has received three patents in the U.S. and one in the EU with respect to OLPRUVA, each of which is exclusively licensed to us pursuant to our agreement with BCM.</w:t>
      </w:r>
    </w:p>
    <w:p>
      <w:pPr>
        <w:spacing w:after="0" w:line="185" w:lineRule="exact"/>
        <w:rPr>
          <w:sz w:val="20"/>
          <w:szCs w:val="20"/>
          <w:color w:val="auto"/>
        </w:rPr>
      </w:pPr>
    </w:p>
    <w:p>
      <w:pPr>
        <w:jc w:val="both"/>
        <w:ind w:left="20" w:right="20"/>
        <w:spacing w:after="0" w:line="280" w:lineRule="auto"/>
        <w:rPr>
          <w:sz w:val="20"/>
          <w:szCs w:val="20"/>
          <w:color w:val="auto"/>
        </w:rPr>
      </w:pPr>
      <w:r>
        <w:rPr>
          <w:rFonts w:ascii="Times New Roman" w:cs="Times New Roman" w:eastAsia="Times New Roman" w:hAnsi="Times New Roman"/>
          <w:sz w:val="18"/>
          <w:szCs w:val="18"/>
          <w:color w:val="auto"/>
        </w:rPr>
        <w:t>We also expect to benefit from potential commercial exclusivity afforded to the first drug approved after obtaining orphan drug designation for the treatment of MSUD. Orphan drug designation for OLPRUVA for the treatment of MSUD was granted by the FDA in August 2014.</w:t>
      </w:r>
    </w:p>
    <w:p>
      <w:pPr>
        <w:spacing w:after="0" w:line="162"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Furthermore, we may qualify to receive an additional six months of pediatric exclusivity in the U.S., which runs consecutively to an existing exclusivity, if we conduct a successful pediatric study of OLPRUVA for the treatment of MSUD, approved by the FDA for this purpose.</w:t>
      </w:r>
    </w:p>
    <w:p>
      <w:pPr>
        <w:sectPr>
          <w:pgSz w:w="11900" w:h="16838" w:orient="portrait"/>
          <w:cols w:equalWidth="0" w:num="1">
            <w:col w:w="11260"/>
          </w:cols>
          <w:pgMar w:left="300" w:top="121" w:right="339"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16" w:name="page17"/>
    <w:bookmarkEnd w:id="1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AZSTARYS and Serdexmethylphenidate (SDX)</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received composition-of-matter patents and also additionally filed composition-of-matter and method of treatment patent applications related to th AZSTARYS and SDX families in the United States and in Argentina, Australia, Brazil, Canada, Chile, China, Egypt, Hong Kong, European Countries, India Israel, Indonesia, Japan, South Korea, Kazakhstan, Mexico, Malaysia, New Zealand, Philippines, Russia, Singapore, South Africa, Thailand, Ukraine, an Vietnam. We anticipate filing additional patent applications for our prodrugs and product candidates covering SDX and KP1077.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Celiprolol</w:t>
      </w:r>
    </w:p>
    <w:p>
      <w:pPr>
        <w:spacing w:after="0" w:line="225" w:lineRule="exact"/>
        <w:rPr>
          <w:sz w:val="20"/>
          <w:szCs w:val="20"/>
          <w:color w:val="auto"/>
        </w:rPr>
      </w:pPr>
    </w:p>
    <w:p>
      <w:pPr>
        <w:jc w:val="both"/>
        <w:ind w:left="20" w:right="100"/>
        <w:spacing w:after="0" w:line="251" w:lineRule="auto"/>
        <w:rPr>
          <w:sz w:val="20"/>
          <w:szCs w:val="20"/>
          <w:color w:val="auto"/>
        </w:rPr>
      </w:pPr>
      <w:r>
        <w:rPr>
          <w:rFonts w:ascii="Times New Roman" w:cs="Times New Roman" w:eastAsia="Times New Roman" w:hAnsi="Times New Roman"/>
          <w:sz w:val="18"/>
          <w:szCs w:val="18"/>
          <w:color w:val="auto"/>
        </w:rPr>
        <w:t>The Merger with Acer included the acquisition of celiprolol, for which we intend to protect our commercial rights in the U.S. via multiple pathways. We believe celiprolol will be eligible for NCE exclusivity which provides upon approval as an NCE five years of marketing exclusivity, during which time the FDA will not approve another drug with the same active ingredient, regardless of the indication for use, in the U.S. In January 2015, the FDA granted celiprolol Orphan Drug designation, which provides seven years of marketing exclusivity for a drug intended to treat a rare condition, if approved. During the Orphan Drug exclusivity period, the FDA cannot approve the same drug for the same indication, unless it demonstrates clinical superiority. Orphan Drug exclusivity does not prevent the FDA from approving the same drug for a different indication, or a different drug for the same indication. NCE exclusivity and Orphan Drug exclusivity periods run concurrently. Furthermore, celiprolol may qualify for an additional six months of pediatric exclusivity in the U.S., which requires the submission of one or more studies in pediatric subjects that meet requirements to be specified by the FDA in a written request for pediatric studies. Pediatric exclusivity can be obtained either before or after NDA approval. Pediatric exclusivity is attached to the end of an existing exclusivity and runs consecutively. We may also consider making modifications to the formulation in order to improve the product profile and to seek additional intellectual property. While unapproved drugs may be imported into the U.S. underspecified circumstances, such as for use in clinical studies under a valid and effective investigational new drug ("IND") or for further manufacture into an IND drug or an approved drug, we intend to aggressively assert our rights, via regulatory and legal means, to limit the importation of non-FDA approved versions of celiprolol.</w:t>
      </w:r>
    </w:p>
    <w:p>
      <w:pPr>
        <w:spacing w:after="0" w:line="196" w:lineRule="exact"/>
        <w:rPr>
          <w:sz w:val="20"/>
          <w:szCs w:val="20"/>
          <w:color w:val="auto"/>
        </w:rPr>
      </w:pPr>
    </w:p>
    <w:p>
      <w:pPr>
        <w:jc w:val="both"/>
        <w:ind w:left="20" w:right="100"/>
        <w:spacing w:after="0" w:line="259" w:lineRule="auto"/>
        <w:rPr>
          <w:sz w:val="20"/>
          <w:szCs w:val="20"/>
          <w:color w:val="auto"/>
        </w:rPr>
      </w:pPr>
      <w:r>
        <w:rPr>
          <w:rFonts w:ascii="Times New Roman" w:cs="Times New Roman" w:eastAsia="Times New Roman" w:hAnsi="Times New Roman"/>
          <w:sz w:val="18"/>
          <w:szCs w:val="18"/>
          <w:color w:val="auto"/>
        </w:rPr>
        <w:t>In 2022, the USPTO issued a Notice of Allowance for a patent application exclusively licensed from Assistance Publique—Hôpitaux de Paris (AP-HP), for claims related to certain methods of VEDS with celiprolol. This application, titled “Method of Providing Celiprolol Therapy to a Patient,” has now issued as a U.S. patent (US 11,523,997) with an expiration date in November 2038. There is one granted patent in Mexico, and further pending applications in various jurisdictions, including the U.S. as well as Mexico, Canada, and Brazil.</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7" w:lineRule="exact"/>
        <w:rPr>
          <w:sz w:val="20"/>
          <w:szCs w:val="20"/>
          <w:color w:val="auto"/>
        </w:rPr>
      </w:pPr>
    </w:p>
    <w:p>
      <w:pPr>
        <w:jc w:val="both"/>
        <w:ind w:left="20" w:right="100"/>
        <w:spacing w:after="0" w:line="259" w:lineRule="auto"/>
        <w:rPr>
          <w:sz w:val="20"/>
          <w:szCs w:val="20"/>
          <w:color w:val="auto"/>
        </w:rPr>
      </w:pPr>
      <w:r>
        <w:rPr>
          <w:rFonts w:ascii="Times New Roman" w:cs="Times New Roman" w:eastAsia="Times New Roman" w:hAnsi="Times New Roman"/>
          <w:sz w:val="18"/>
          <w:szCs w:val="18"/>
          <w:color w:val="auto"/>
        </w:rPr>
        <w:t>In March 2021, we announced that the FDA approved the NDA for AZSTARYS, a once-daily product for the treatment of ADHD in patients ranging from six years and older. Corium is leading the commercialization of AZSTARYS in the U.S. under the AZSTARYS License Agreement. Corium commercially launched AZSTARYS in the U.S. in July 2021. In December 2021, Commave Therapeutics, S.A. sublicensed to Shanghai Ark Biopharmaceutical Co., Ltd. the commercialization rights Greater China, including mainland China, Hong Kong, Macau and Taiwan.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2022, the FDA approved OLPRUVA (sodium phenylbutyrate) for oral suspension in the U.S.</w:t>
      </w:r>
    </w:p>
    <w:p>
      <w:pPr>
        <w:spacing w:after="0" w:line="223" w:lineRule="exact"/>
        <w:rPr>
          <w:sz w:val="20"/>
          <w:szCs w:val="20"/>
          <w:color w:val="auto"/>
        </w:rPr>
      </w:pPr>
    </w:p>
    <w:p>
      <w:pPr>
        <w:jc w:val="both"/>
        <w:ind w:left="20" w:right="100"/>
        <w:spacing w:after="0" w:line="280" w:lineRule="auto"/>
        <w:rPr>
          <w:sz w:val="20"/>
          <w:szCs w:val="20"/>
          <w:color w:val="auto"/>
        </w:rPr>
      </w:pPr>
      <w:r>
        <w:rPr>
          <w:rFonts w:ascii="Times New Roman" w:cs="Times New Roman" w:eastAsia="Times New Roman" w:hAnsi="Times New Roman"/>
          <w:sz w:val="18"/>
          <w:szCs w:val="18"/>
          <w:color w:val="auto"/>
        </w:rPr>
        <w:t>In September 2024, the FDA approved the NDA for MIPLYFFA™ (arimoclomol), an orally-delivered treatment for NPC. MIPLYFFA has also been granted orphan designation for the treatment of NPC by the European Commission.</w:t>
      </w:r>
    </w:p>
    <w:p>
      <w:pPr>
        <w:spacing w:after="0" w:line="162" w:lineRule="exact"/>
        <w:rPr>
          <w:sz w:val="20"/>
          <w:szCs w:val="20"/>
          <w:color w:val="auto"/>
        </w:rPr>
      </w:pPr>
    </w:p>
    <w:p>
      <w:pPr>
        <w:jc w:val="both"/>
        <w:ind w:left="20" w:right="100"/>
        <w:spacing w:after="0" w:line="253" w:lineRule="auto"/>
        <w:rPr>
          <w:sz w:val="20"/>
          <w:szCs w:val="20"/>
          <w:color w:val="auto"/>
        </w:rPr>
      </w:pPr>
      <w:r>
        <w:rPr>
          <w:rFonts w:ascii="Times New Roman" w:cs="Times New Roman" w:eastAsia="Times New Roman" w:hAnsi="Times New Roman"/>
          <w:sz w:val="18"/>
          <w:szCs w:val="18"/>
          <w:color w:val="auto"/>
        </w:rPr>
        <w:t xml:space="preserve">To support the launch of OLPRUVA and MIPLYFFA, we have built in-house capabilities including rare disease sales specialists who are working with prescribing clinicians and healthcare providers, which include metabolic specialists and clinical geneticists, as well as marketing, patient reimbursement services, market access and contracting, patient advocacy, and medical affairs teams. We have successfully recruited, on-boarded and trained our full commercial team and full launch for OLPRUVA began on January 29, 2024. We also have arrangements with third parties to provide additional services such as distribution and specialty pharmacy offerings. To support the efforts of our team members which are in the field engaging with HCPs, we are actively engaged in negotiations with the major commercial payers and state Medicaid organizations to seek access for OLPRUVA and MIPLYFFA. We have established promotional programs to drive awareness and patient experience with OLPRUVA and MIPLYFFA including </w:t>
      </w:r>
      <w:r>
        <w:rPr>
          <w:rFonts w:ascii="Times New Roman" w:cs="Times New Roman" w:eastAsia="Times New Roman" w:hAnsi="Times New Roman"/>
          <w:sz w:val="18"/>
          <w:szCs w:val="18"/>
          <w:i w:val="1"/>
          <w:iCs w:val="1"/>
          <w:color w:val="auto"/>
        </w:rPr>
        <w:t>Quick Start,</w:t>
      </w:r>
      <w:r>
        <w:rPr>
          <w:rFonts w:ascii="Times New Roman" w:cs="Times New Roman" w:eastAsia="Times New Roman" w:hAnsi="Times New Roman"/>
          <w:sz w:val="18"/>
          <w:szCs w:val="18"/>
          <w:color w:val="auto"/>
        </w:rPr>
        <w:t xml:space="preserve"> a thirty-day free trial program designed to provide patient experience, and other patient co-pay programs, reflecting our commitment to ensure access to innovative treatments to those in need.</w:t>
      </w:r>
    </w:p>
    <w:p>
      <w:pPr>
        <w:spacing w:after="0" w:line="186" w:lineRule="exact"/>
        <w:rPr>
          <w:sz w:val="20"/>
          <w:szCs w:val="20"/>
          <w:color w:val="auto"/>
        </w:rPr>
      </w:pPr>
    </w:p>
    <w:p>
      <w:pPr>
        <w:jc w:val="both"/>
        <w:ind w:left="20" w:right="100"/>
        <w:spacing w:after="0" w:line="254" w:lineRule="auto"/>
        <w:rPr>
          <w:sz w:val="20"/>
          <w:szCs w:val="20"/>
          <w:color w:val="auto"/>
        </w:rPr>
      </w:pPr>
      <w:r>
        <w:rPr>
          <w:rFonts w:ascii="Times New Roman" w:cs="Times New Roman" w:eastAsia="Times New Roman" w:hAnsi="Times New Roman"/>
          <w:sz w:val="18"/>
          <w:szCs w:val="18"/>
          <w:color w:val="auto"/>
        </w:rPr>
        <w:t>We have established a targeted commercial team which is designed to fully service the patients and prescribers within the rare disease indications for which we are successful in gaining approval for our product candidates. However, if our product candidates have large potential market opportunities that would require significant marketing resources, we may conclude that the most appropriate approach to their commercialization, if they receive regulatory approval, will involve forming a commercial collaboration or strategic relationship similar to those we have entered into with Commave, or consummating some type of strategic transaction, with a larger pharmaceutical or other marketing organization. As we get closer to potential approval of our product candidates, we will work to identify and implement the most appropriate commercialization strategies that we conclude are the most desirable with regard to each specific product candidate.</w:t>
      </w:r>
    </w:p>
    <w:p>
      <w:pPr>
        <w:spacing w:after="0" w:line="1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60"/>
          </w:cols>
          <w:pgMar w:left="300" w:top="121"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industry is characterized by rapidly advancing technologies, intense competition and a strong emphasis on proprietary products. We will face competition and potential competition from any number of pharmaceutical and biotechnology companies, specialty pharmaceutical companies, generic drug companies, drug delivery companies and academic and research institutions. Our competitors may develop or market drugs that are more effective, more convenient, more widely used and less costly or have a better safety profile than our products or product candidates and these competitors may also have significantly more resources than us and be more successful than us in manufacturing and marketing their products. We anticipate facing intense and increasing competition as new products enter the market and advanced technologies become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OLPRUVA</w:t>
      </w:r>
    </w:p>
    <w:p>
      <w:pPr>
        <w:spacing w:after="0" w:line="22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OLPRUVA competes against several currently marketed, branded and generic forms of phenylbutyrate. In particular, RAVICTI, which is marketed by Amgen Inc. (formerly Horizon Therapeutics), and PHEBURANE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which is marketed by Medunik USA. We are also aware that there are drug candidates in clinical development for the potential treatment of UCDs. In addition, there is the potential entrance of authorized generics for RAVICTI which could enter the market as early as July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MIPLYFFA</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There is another treatment for NPC, AQNEURSA (IntraBio) that was recently approved in the U.S. While AQNEURSA has a similar indication, data included on its label has a different clinical endpoint and safety profile from MIPLYFFA. We are also aware that there are several other drug candidates in clinical development for the treatment of NPC. These include adrabetadex (Mandos), and cyclodextrin (Cyclo Therapeutics).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Celiprolol</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are not aware of any active ongoing clinical trials for the treatment of VEDS. Aytu BioPharma, Inc. development program known as AR101/enzastaurin was indefinitely suspended in October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KP1077</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If approved, we intend for KP1077 to compete against XYWAV, marketed by Jazz Pharmaceuticals, and potentially with other products that are currently in development for the treatment of IH. KP1077 could face potential competition from any products for the treatment of IH that are currently in or which may enter into clinical development.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AZSTARYS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AZSTARYS competes against currently marketed, branded and generic methylphenidate products for the treatment of ADHD. Some of these currently marketed products include CONCERTA, marketed by J&amp;J Innovative Medicines (formerly Jannsen), QUELBREE, marketed by Supernus Pharmaceuticals, Inc., QUILLIVANT XR and QUILLICHEW ER, marketed by Tris Pharma, RITALIN, FOCALIN and FOCALIN XR, marketed by Novartis AG, METADATE CD, marketed by UCB SA, DAYTRANA, marketed by Noven Therapeutics, LLC, Neos Therapeutics’ CONTEMPLA XR-ODT, marketed Aytu BioScience, Inc., JORNAY PM, Ironshore Pharmaceuticals, Inc., and ADHANSIA XR, marketed by Adlon Therapeutics, in addition to multiple other branded and generic methylphenidate products. In addition, AZSTARYS will face potential competition from any other methylphenidate products for the treatment of ADHD that are currently in, or which may enter into clinical development.</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of our competitors either alone or with strategic partners, have or will have substantially greater financial, technical, and human resources compared with us. Accordingly, our competitors may be more successful in developing or marketing products and technologies that are more effective, safer or less costly. Additionally, our competitors may obtain regulatory approval for their products more rapidly and may achieve more widespread market acceptance. These companies also compete with us in recruiting and retaining qualified scientific and management personnel, establishing clinical study sites and patient registration for clinical studies and acquiring technologies complementary to, or necessary for, our programs. Smaller or early-stage companies may also prove to be significant competitors, particularly through collaborative arrangements with large and established companies. There are other non-pharmaceutical therapeutic approaches that are used or may be used for our targeted indications. For example, liver transplantation may be used in some cases to treat UCDs in pediatric patients who have developed acute liver failure.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Our manufacturing strategy is to rely on contract manufacturers to produce our approved products and product candidates for clinical trials and, if approved, drug product for commercial sale. We currently have no manufacturing facilities and limited personnel in our manufacturing department. We have contracted with third parties for the manufacture, testing, and storage of our approved products and product candidates and intend to continue to do so in the future. We expect to contract with third-party manufacturers for the manufacture of all API supply needs outside the United States if and when we receive approval from regulatory authorities outside the United States.</w:t>
      </w:r>
    </w:p>
    <w:p>
      <w:pPr>
        <w:spacing w:after="0" w:line="186"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Our current and any future third-party manufacturers, their facilities and all lots of drug substance and drug products used in our clinical trials are required to be in compliance with current good manufacturing practices ("cGMPs") and comparable foreign regulations. The cGMP and comparable foreign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cGMP and comparable foreign requirements and FDA and foreign regulatory authorities' satisfaction before any product is approved and we can manufacture commercial products. Our current and any future third-party manufacturers are also subject to periodic inspections of facilities by the FDA and other authorities, including procedures and operations used in the testing and manufacture of our products to assess our compliance with applicable regulations.</w:t>
      </w:r>
    </w:p>
    <w:p>
      <w:pPr>
        <w:spacing w:after="0" w:line="189"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Failure to comply with statutory and regulatory requirements subjects a manufacturer to possible legal or regulatory action, including refusal to approve pending applications, license suspension or revocation, withdrawal of an approval, imposition of a clinical hold or termination of clinical trials, warning letters, untitled letters, cyber letters, modification of promotional materials or labeling, product recalls, product seizures or detentions, refusal to allow imports or exports, total or partial suspension of production or distribution, debarment, injunctions, fines, consent decrees, additional reporting requirements and oversight if we become subject to a corporate integrity agreement or similar agreements to resolve allegations of non-compliance with these laws, refusals of government contracts and new orders under existing contracts, exclusion from participation in federal and state healthcare programs, restitution, disgorgement or civil or criminal penalties, including fines and individual imprisonments.</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Third-Party Payor Coverage and Reimbursement</w:t>
      </w:r>
    </w:p>
    <w:p>
      <w:pPr>
        <w:spacing w:after="0" w:line="227"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7"/>
          <w:szCs w:val="17"/>
          <w:color w:val="auto"/>
        </w:rPr>
        <w:t>Sales of pharmaceutical products depend in significant part on the availability of coverage and adequate reimbursement by third-party payors, such as state and federal governmental authorities, including those that administer the Medicare and Medicaid programs, and private managed care organizations and health insurers. Decisions regarding the extent of coverage and amount of reimbursement to be provided for each of our product and product candidates is and will be made on a plan-by-plan basis. One payor’s determination to provide coverage for a product does not assure that other payors will also provide coverage, and adequate reimbursement, for the product. Each third-party payor determines whether or not it will provide coverage for a drug, what amount it will pay providers for the drug, and on what tier of its formulary the drug will be placed. These decisions are influenced by the existence of multiple drug products within a therapeutic class and the net cost to the plan, including the amount of the prescription price, if any, rebated by the drug’s manufacturer. Typically, generic versions of drugs are placed in a preferred tier. The position of a drug on the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Additionally, a third-party payor’s decision to provide coverage for a drug does not imply that an adequate reimbursement rate will be approved. Also, third-party payors are developing increasingly sophisticated methods of controlling healthcare costs. As a result, coverage, reimbursement and placement determinations are complex and are often the subject of extensive negotiations between the payer and the manufacturer of the drug.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we enter into a strategic collaboration under which our collaborator assumes responsibility for seeking coverage and reimbursement for a given product (such as the AZSTARYS License Agreement), we will be responsible for negotiating coverage, reimbursement and placement decisions for our product candidates, if approved. Coverage, reimbursement and placement decisions for a new product are based on many factors including the coverage, reimbursement and placement of already marketed branded drugs for the same or similar indications, the safety and efficacy of the new product, availability of generics for similar indications, the clinical need for the new product and the cost-effectiveness of the product. Increasingly, both purchasers and payors are also conducting comparative clinical and cost effectiveness analyses involving application of metrics, including data on patient outcomes, provided by manufacturers.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Within the Medicare program, as self-administered drugs, our product and product candidates would be reimbursed under the expanded prescription drug benefit known as Medicare Part D. This program is a voluntary Medicare benefit administered by private plans that operate under contracts with the federal government. These plans develop formularies that determine which products are covered and what co-pay will apply to covered drugs. The plans have considerable discretion in establishing formularies and tiered co-pay structures, negotiating rebates with manufacturers and placing prior authorization and other restrictions on the utilization of specific products, subject to review by the Centers for Medicare &amp; Medicaid Services ("CMS"), for discriminatory practices. These Part D plans negotiate discounts with drug manufacturers, which are passed on, in whole or in part, to each of the plan’s enrollees through reduced premiums. Historically, Part D beneficiaries have been exposed to significant out-of-pocket costs after they surpass an annual coverage limit and until they reach a catastrophic coverage threshold. However, changes made by recent legislation reduced this patient coverage gap, known as the “donut hole”, by transitioning patient responsibility in that coverage range from 100% in 2010 to only 25% currently. To help achieve this reduction, pharmaceutical manufacturers were required to provide quarterly discounts of 70%, which commenced January 1, 2019, and was replaced, beginning on January 1, 2025 (described below). In 2020, drug manufacturers became responsible for a larger share of total drug costs due to an increase to the catastrophic threshold. Such increase also resulted in a higher out-of-pocket threshold paid by Part D beneficiaries.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a drug product is available for reimbursement by Medicare or Medicaid, its manufacturer must comply with various health regulatory requirements and price reporting metrics, which may include, as applicable, the Medicare Prescription Drug, Improvement, and Modernization Act of 2003, the Medicaid rebate requirements of the Omnibus Budget Reconciliation Act of 1990 (the "OBRA"), and the Veterans Health Care Act of 1992 (the "VHCA"), each as amended. Among other things, the OBRA requires drug manufacturers with certain drugs covered by Medicaid to pay rebates on prescription drugs to state Medicaid programs. States may also negotiate “supplemental” Medicaid rebates on drug products dispensed under Medicaid. Manufacturers participating in Medicaid are also generally required to participate in the Public Health Service 340B Drug Discount Program, which imposes a mandatory discount on purchases by certain customers. Manufacturers of innovator drugs, including 505(b)(2) drugs, that participate in the Medicaid program are also required to offer the drugs on the Federal Supply Schedule purchasing program of the General Services Administration for purchase by the Department of Veterans Affairs, the Department of Defense and other authorized users at a mandatory discount. Additional laws and requirements apply to these contracts. Participation in such federal programs may result in prices for our future products that will likely be lower than the prices we might otherwise obtain.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Third-party payers, including the U.S. government, continue to apply downward pressure on the reimbursement of pharmaceutical products. Also, the trend towards managed health care in the United States and the concurrent growth of organizations such as health maintenance organizations may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state and foreign proposals to implement controls on reimbursement and pricing, directly and indirectly.</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 For example, in the EU, pricing and reimbursement schemes vary widely from country to country. Some countries may require the completion of additional studies that compare the cost-effectiveness of a particular medicinal product candidate to currently available therapies. This Health Technology Assessment (“HTA”) which is currently governed by the national laws of the individual EU member states,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The downward pressure on healthcare costs in general, particularly prescription medicines, has become very intense.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 Historically, products launched in the EU do not follow the price structures which prevail in the U.S., and generally, prices tend to be significantly lower.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 and product candidates. A new drug must be approved by the FDA through the NDA process before it may be legally marketed in the United States. The process of obtaining regulatory approvals and the subsequent compliance with applicable federal, state, local and foreign statutes and regulations require the expenditure of substantial time and financial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product candidates may be marketed in the United States generally involves the following:</w:t>
      </w:r>
    </w:p>
    <w:p>
      <w:pPr>
        <w:spacing w:after="0" w:line="223" w:lineRule="exact"/>
        <w:rPr>
          <w:sz w:val="20"/>
          <w:szCs w:val="20"/>
          <w:color w:val="auto"/>
        </w:rPr>
      </w:pPr>
    </w:p>
    <w:p>
      <w:pPr>
        <w:ind w:left="460" w:hanging="224"/>
        <w:spacing w:after="0" w:line="28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non-clinical laboratory and animal tests that must be conducted in accordance with good laboratory practices ("GLP") requirements and other applicable regulations;</w:t>
      </w:r>
    </w:p>
    <w:p>
      <w:pPr>
        <w:spacing w:after="0" w:line="161"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an IND, which must be received by the FDA and become effective before human clinical trials may begin;</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site or centrally before each trial may be initiated;</w:t>
      </w:r>
    </w:p>
    <w:p>
      <w:pPr>
        <w:spacing w:after="0" w:line="222"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and efficacy of the proposed product candidate for its intended use, performed in accordance with good clinical practice requirements ("GCPs");</w:t>
      </w:r>
    </w:p>
    <w:p>
      <w:pPr>
        <w:spacing w:after="0" w:line="161"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of an NDA to the FDA;</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2"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pre-approval inspection of manufacturing facilities at which the drug is produced to assess their compliance with cGMPs and of selected clinical investigation sites to assess compliance with GCPs; and</w:t>
      </w:r>
    </w:p>
    <w:p>
      <w:pPr>
        <w:spacing w:after="0" w:line="161"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approval of an NDA to permit commercial marketing for particular indications for use.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testing and regulatory approval process requires substantial time, effort and financial resources. Preclinical studies include laboratory evaluation of drug substance chemistry, pharmacology, toxicity and drug product formulation, as well as animal studies to assess potential safety and efficacy. Prior to commencing the first human clinical trial with a product candidate, we must submit the results of the preclinical tests and preclinical literature, together with manufacturing information, analytical data and any available clinical data or literature, among other things, to the FDA as part of an IND. An IND is a request for authorization from the FDA to administer an investigational new drug product to humans. The central focus of an IND submission is on the general investigational plan and the protocol(s) for clinical studies.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IND becomes effective 30 days after receipt by the FDA, unless the FDA, within the 30-day time period, raises safety concerns or questions about the conduct of the clinical trial by imposing a clinical hold. In such a case, the IND sponsor and the FDA must resolve any outstanding concerns before the clinical trial can begin. Submission of an IND may not result in FDA authorization to commence a clinical trial.</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as well as amendments to previously submitted clinical trials. Further, an independent IRB for each study site proposing to conduct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subjects, or based on evolving business objectives or competitive climate. Some studies also include a data safety monitoring board, which receives special access to unblinded data during the clinical trial and may advise us to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studies and clinical study results to public registries.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for purposes of NDA approval, human clinical trials are typically conducted in three sequential phases that may overlap.</w:t>
      </w:r>
    </w:p>
    <w:p>
      <w:pPr>
        <w:spacing w:after="0" w:line="221" w:lineRule="exact"/>
        <w:rPr>
          <w:sz w:val="20"/>
          <w:szCs w:val="20"/>
          <w:color w:val="auto"/>
        </w:rPr>
      </w:pPr>
    </w:p>
    <w:p>
      <w:pPr>
        <w:jc w:val="both"/>
        <w:ind w:left="460" w:hanging="224"/>
        <w:spacing w:after="0" w:line="26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 The product candidate is initially introduced into healthy subjects or patients with the target disease or condition. These studies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conducted to test the product candidate for safety, dosage tolerance, structure-activity relationships, mechanism of action, absorption, metabolism, distribution and excretion. If possible, Phase 1 trials may also be used to gain early evidence of product effectiveness.</w:t>
      </w:r>
    </w:p>
    <w:p>
      <w:pPr>
        <w:spacing w:after="0" w:line="174" w:lineRule="exact"/>
        <w:rPr>
          <w:rFonts w:ascii="Times New Roman" w:cs="Times New Roman" w:eastAsia="Times New Roman" w:hAnsi="Times New Roman"/>
          <w:sz w:val="18"/>
          <w:szCs w:val="18"/>
          <w:color w:val="auto"/>
        </w:rPr>
      </w:pPr>
    </w:p>
    <w:p>
      <w:pPr>
        <w:jc w:val="both"/>
        <w:ind w:left="460" w:hanging="224"/>
        <w:spacing w:after="0" w:line="26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The product candidate is administered to a limited patient population with a specified disease or condition to evaluate the preliminary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optimal dosage and dosing schedule and to identify possible adverse side effects and safety risks. Multiple Phase 2 clinical trials may be conducted to obtain information prior to beginning larger and more expensive Phase 3 clinical trials.</w:t>
      </w:r>
    </w:p>
    <w:p>
      <w:pPr>
        <w:spacing w:after="0" w:line="174" w:lineRule="exact"/>
        <w:rPr>
          <w:rFonts w:ascii="Times New Roman" w:cs="Times New Roman" w:eastAsia="Times New Roman" w:hAnsi="Times New Roman"/>
          <w:sz w:val="18"/>
          <w:szCs w:val="18"/>
          <w:color w:val="auto"/>
        </w:rPr>
      </w:pPr>
    </w:p>
    <w:p>
      <w:pPr>
        <w:jc w:val="both"/>
        <w:ind w:left="460" w:hanging="224"/>
        <w:spacing w:after="0" w:line="26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The product candidate is administered to an expanded patient population to further evaluate dosage to provide statistically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evidence of clinical efficacy and to further test for safety in an expanded subject population at multiple clinical trial sites. These clinical trials are intended to establish the overall risk/benefit ratio of the product and provide an adequate basis for product labeling.</w:t>
      </w:r>
    </w:p>
    <w:p>
      <w:pPr>
        <w:sectPr>
          <w:pgSz w:w="11900" w:h="16838" w:orient="portrait"/>
          <w:cols w:equalWidth="0" w:num="1">
            <w:col w:w="11240"/>
          </w:cols>
          <w:pgMar w:left="320" w:top="121" w:right="339" w:bottom="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85090</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33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the case of a 505(b)(2) NDA, some of the above-described studies and preclinical studies may not be required or may be abbreviated. Pharmacokinetic and other bridging studies may be needed, however, to demonstrate the relevance of the studies that were previously conducted by other sponsors to the drug that is the subject of the NDA.</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FDA may require, or companies may pursue, additional clinical trials after a product is approved. These clinical trials, sometimes referred to as Phase 4, or post-market, studies may be used to gain additional experience from the treatment of patients in the intended therapeutic indication. In certain instances, the FDA may mandate the performance of Phase 4 clinical trials as a condition of approval of an NDA.</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FFDCA. In addition, 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investigator’s brochure.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NDA Submission and Review by the FDA</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requesting approval to market the product. Data can come from company-sponsored clinical studies intended to test the safety and effectiveness of a use of the product, or from a number of alternative sources, including studies initiated by independent investigators. The submission of an NDA requires payment of a substantial application user fee to the FDA. These user fees must be filed at the time of the first submission of the application, even if the application is being submitted on a rolling basis. Fee waivers or reductions are available in some circumstances.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under the Pediatric Research Equity Act ("PREA"),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FDA may refer drugs which present difficult questions of safety or efficacy to an advisory committee. An advisory committee is a panel that typically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The timeline for the FDA to complete its review of an NDA may differ based on whether the application is a standard review or priority review application. The FDA may give a priority review to applications for drugs that are intended to treat serious conditions and if approved, would provide significant improvements in the safety or effectiveness of the treatment, diagnosis, or prevention of such serious conditions. Under the goals and policies agreed to by the FDA under the Prescription Drug User Fee Act ("PDUFA"), the FDA has set the review goal of ten months from the 60-day filing date to complete its initial review of a standard NDA for a new molecular entity, or NME, and make a decision on the application. For non-NME standard applications, the FDA has set the review goal of ten months from the submission date to complete its initial review and to make a decision on the application. For priority review applications, the FDA has set the review goal of reviewing NME NDAs within six months of the 60-day filing date and non-NME applications within six months of the date of receipt. Such deadlines are referred to as the PDUFA date. The review process and the PDUFA date may also be extended if the FDA requests or the NDA sponsor otherwise provides additional information or clarification regarding the submission.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typically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Once the FDA’s review of the application is complete, the FDA will issue either a CRL or approval letter. A CRL indicates that the review cycle of the application is complete, and the application cannot be approved in its current form. A CRL will usually describe all of the deficiencies that the FDA has identified in the NDA,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in condition for approval, including requests for additional information or clarification.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3" w:name="page24"/>
    <w:bookmarkEnd w:id="23"/>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The FDA may delay or refuse approval of an NDA if applicable regulatory criteria are not satisfied, require additional testing or information and/or require post-marketing testing and surveillance to monitor safety or efficacy of a product, or impose other conditions, including distribution restrictions or other risk management mechanisms. For example, the FDA may require a risk evaluation and mitigation strategy ("REMS"), as a condition of approval or following approval.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w:t>
      </w:r>
    </w:p>
    <w:p>
      <w:pPr>
        <w:spacing w:after="0" w:line="185"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may entail limitations on the indicated uses for which such product may be marketed or may include contraindications, warnings or precautions in the product labeling, including a boxed warning. If the FDA requires a boxed warning, the sponsor may also be subject to specified promotional restrictions, such as the prohibition of reminder advertisements. The FDA also may not approve the inclusion of labeling claims necessary for successful marketing. Once approved, the FDA may withdraw the product approval if compliance with pre- and post-marketing regulatory standards is not maintained or if problems occur after the product reaches the marketplace. In addition, the FDA may require post-marketing studies to monitor the effect of approved products and may limit further marketing of the product based on the results of these post-marketing studies.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w:t>
      </w:r>
    </w:p>
    <w:p>
      <w:pPr>
        <w:spacing w:after="0" w:line="227"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The FDA and other federal regulatory agencies closely regulate the marketing and promotion of drugs through, among other things, guidance and regulations for direct-to-consumer advertising, communications regarding unapproved uses, industry-sponsored scientific and educational activities, and promotional activities involving the internet. A product cannot be commercially promoted before it is approved. After approval, product promotion can include only those claims relating to safety and efficacy that are consistent with the labeling approved by the FDA. Healthcare providers are permitted to prescribe drugs for “off-label” uses — that is, uses not approved by the FDA and therefore not described in the drug’s labeling because the FDA does not regulate the practice of medicine. However, FDA regulations impose stringent restrictions on manufacturers’ communications regarding off-label uses. Failure to comply with applicable FDA requirements and restrictions in this area may subject a company to adverse publicity and enforcement action by the FDA, the U.S. Department of Justice, or the Office of the Inspector General of HHS, as well as state authorities. This could subject a company to a range of penalties that could have a significant commercial impact, including civil and criminal fines and agreements that materially restrict the manner in which a company promotes or distributes drug products.</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Any products manufactured or distributed pursuant to FDA approvals are subject to continuing regulation by the FDA, including manufacturing, periodic reporting, product sampling and distribution, advertising, promotion, drug shortage reporting, compliance with any post-approval requirements imposed as a conditional of approval such as post-marketing clinical trials, REMS and surveillance, recordkeeping and reporting requirements, including adverse experiences.</w:t>
      </w:r>
    </w:p>
    <w:p>
      <w:pPr>
        <w:spacing w:after="0" w:line="18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After approval, most changes to the approved product, such as adding new indications or other labeling claims are subject to prior FDA review and approval. There also are continuing, annual human prescription drug program fee requirements for approved products.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 upon us and our third-party manufacturers. We cannot be certain that we or our present or future suppliers will be able to comply with the cGMP regulations and other FDA regulatory requirements.</w:t>
      </w:r>
    </w:p>
    <w:p>
      <w:pPr>
        <w:spacing w:after="0" w:line="185"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Changes to the manufacturing process are strictly regulated and often require prior FDA approval before being implemented, or FDA notification.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1"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8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The FDA closely regulates the marketing and promotion of drugs. A company can make only those claims relating to safety and efficacy, purity and potency that are approved by the FDA. Physicians, in their independent professional medical judgment,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85"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including samples,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The Drug Supply Chain Security Act also imposes obligations on manufacturers of pharmaceutical products related to product tracking and tracing.</w:t>
      </w:r>
    </w:p>
    <w:p>
      <w:pPr>
        <w:spacing w:after="0" w:line="186"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Failure to comply with any of the FDA’s requirements could result in significant adverse enforcement actions. These include a variety of administrative or judicial sanctions, such as refusal to approve pending applications, withdrawal of an approval, imposition of a clinical hold or termination of clinical trials, warning letters, untitled letters, modification of promotional materials or labeling, product recalls, product seizures or detentions, refusal to allow imports or exports, total or partial suspension of production or distribution, debarment, injunctions, fines, consent decrees, additional reporting requirements and oversight if we become subject to a corporate integrity agreement or similar agreement to resolve allegations of non-compliance with these laws, refusals of government contracts and new orders under existing contracts, exclusion from participation in federal and state healthcare programs, restitution, disgorgement or civil or criminal penalties, including fines and individual imprisonment. Any of these sanctions could result in adverse publicity, among other adverse consequences.</w:t>
      </w:r>
    </w:p>
    <w:p>
      <w:pPr>
        <w:sectPr>
          <w:pgSz w:w="11900" w:h="16868" w:orient="portrait"/>
          <w:cols w:equalWidth="0" w:num="1">
            <w:col w:w="11260"/>
          </w:cols>
          <w:pgMar w:left="300" w:top="121" w:right="339" w:bottom="0" w:gutter="0" w:footer="0" w:header="0"/>
        </w:sectPr>
      </w:pP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68" w:orient="portrait"/>
          <w:cols w:equalWidth="0" w:num="1">
            <w:col w:w="11260"/>
          </w:cols>
          <w:pgMar w:left="300" w:top="121" w:right="339" w:bottom="0" w:gutter="0" w:footer="0" w:header="0"/>
          <w:type w:val="continuous"/>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defined as a disease or condition with a patient population of fewer than 200,000 individuals in the U.S., or a patient population greater than 200,000 individuals in the U.S. and when there is no reasonable expectation that the cost of developing and making available the drug in the U.S.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w:t>
      </w:r>
    </w:p>
    <w:p>
      <w:pPr>
        <w:spacing w:after="0" w:line="186"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86"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Priority Review Voucher Program</w:t>
      </w:r>
    </w:p>
    <w:p>
      <w:pPr>
        <w:spacing w:after="0" w:line="22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In 2012, the U.S.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18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For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 (b) rare diseases or conditions within the meaning of the Orphan Drug Act. Under the current statutory sunset provisions, as amended by the Continuing Appropriations and Extensions Act, 2025, FDA may only award a voucher for an approved rare pediatric disease product application if the Sponsor has rare pediatric disease designation for the drug, and that designation was granted by December 20, 2024. After September 30, 2026, FDA may not award any Rare Pediatric Disease Priority Review Voucher.</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Hatch-Waxman Act</w:t>
      </w:r>
    </w:p>
    <w:p>
      <w:pPr>
        <w:spacing w:after="0" w:line="227"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Section 505 of the FFDCA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The FDA may also require 505(b)(2) applicants to perform additional studies or measurements to support any changes from the reference listed drug. The FDA may then approve the new product candidate for all or some of the labeled indications for which the referenced product has been approved, as well as for any new indication sought by the 505(b)(2) applicant. 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w:t>
      </w:r>
    </w:p>
    <w:p>
      <w:pPr>
        <w:spacing w:after="0" w:line="193"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In seeking approval for a drug through an NDA, including a 505(b)(2) NDA, applicants are required to list with the FDA patents whose claims cover the applicant’s product. Upon approval of an NDA, each of the patents listed in the application for the drug is then published in the Orange Book. These products may be cited by potential competitors in support of approval of an ANDA or 505(b)(2) NDA.</w:t>
      </w:r>
    </w:p>
    <w:p>
      <w:pPr>
        <w:spacing w:after="0" w:line="17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Any applicant who files an ANDA seeking approval of a generic equivalent version of a drug listed in the Orange Book or a 505(b)(2) NDA referencing a drug listed in the Orange Book must certify to the FDA that (1) no patent information on the drug or method of use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This last certification is known as a Paragraph IV certification. Generally, the ANDA or 505(b)(2) NDA cannot be approved until all listed patents have expired, except where the ANDA or 505(b)(2) NDA applicant challenges a listed patent through a Paragraph IV certification. If the applicant does not challenge the listed patents or does not indicate that it is not seeking approval of a patented method of use, the ANDA or 505(b)(2) NDA application will not be approved until all of the listed patents claiming the referenced product have expired, or, if permissible, are carved out.</w:t>
      </w:r>
    </w:p>
    <w:p>
      <w:pPr>
        <w:sectPr>
          <w:pgSz w:w="11900" w:h="16838" w:orient="portrait"/>
          <w:cols w:equalWidth="0" w:num="1">
            <w:col w:w="11260"/>
          </w:cols>
          <w:pgMar w:left="30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0" w:gutter="0" w:footer="0" w:header="0"/>
          <w:type w:val="continuous"/>
        </w:sectPr>
      </w:pPr>
    </w:p>
    <w:bookmarkStart w:id="26" w:name="page27"/>
    <w:bookmarkEnd w:id="26"/>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ANDA or 505(b)(2) NDA applicant has provided a Paragraph IV certification to the FDA, the applicant must also send notice of the Paragraph IV certification to the holder of the NDA for the reference listed drug and the patent owner once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prevents the FDA from approving the application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30-month stay. In instances where an ANDA or 505(b)(2) NDA applicant files a Paragraph IV certification, the NDA holder or patent owner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The applicant may also elect to submit a statement certifying that its proposed label does not contain, or carves out, any language regarding the patented method-of-use rather than certify to a listed method-of-use patent.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provides periods of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new chemical entities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exclusivity period, the FDA may not accept for review or approve an ANDA or a 505(b)(2) NDA submitted by another company that contains the previously approved active moiety. An ANDA or 505(b)(2) application, however, may be submitted one year before NCE exclusivity expires if a Paragraph IV certification is filed. Applicants may also seek to carve out certain drug labeling that is protected by exclusivity.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 product is not eligible for the NCE exclusivity, it may be eligible for three years of exclusivity. Three-year exclusivity is available to the holder of an NDA, including a 505(b)(2) NDA, for a particular condition of approval, or change to a marketed product, such as a new formulation for a previously approved product, if one or more new clinical trials, other than bioavailability or bioequivalence trials, was essential to the approval of the application and was conducted or sponsored by the applicant. This three-year exclusivity period protects against FDA approval of ANDAs and 505(b)(2) NDAs for the condition of the new drug’s approval.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DEA Regulation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products and certain of our product candidates are, or if approved, will be regulated as “controlled substances” as defined in the Controlled Substances Act of 1970 ("CSA"), and the DEA’s implementing regulations, which establish registration, security, recordkeeping, reporting, storage, distribution, importation, exportation, inventory, quota and other requirements administered by the DEA. These requirements are directly applicable to us and also applicable to our contract manufacturers and to distributors, prescribers and dispensers of our product candidates. The DEA regulates the handling of controlled substances through a closed chain of distribution. This control extends to the equipment and raw materials used in their manufacture and packaging in order to prevent loss and diversion into illicit channels of commerce.</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Schedule II drugs are those that meet the following criteria:</w:t>
      </w:r>
    </w:p>
    <w:p>
      <w:pPr>
        <w:spacing w:after="0" w:line="181" w:lineRule="exact"/>
        <w:rPr>
          <w:sz w:val="20"/>
          <w:szCs w:val="20"/>
          <w:color w:val="auto"/>
        </w:rPr>
      </w:pPr>
    </w:p>
    <w:p>
      <w:pPr>
        <w:ind w:left="460" w:hanging="224"/>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has a high potential for abuse;</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has a currently accepted medical use in treatment in the United States or a currently accepted medical use with severe restrictions; and</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abuse of the drug may lead to severe psychological or physical dependence.</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AZSTARYS is listed as Schedule II controlled substances under the CSA. For Schedule II controlled substances, the importation of APIs for our product candidates, as well as the manufacture, shipping, storage, sales and use of the products, are subject to a high degree of regulation. In addition to maintaining an importer and/or exporter registration, importers and exporters of controlled substances must obtain a permit for every import of a Schedule I or II substance and a narcotic substance in Schedule III, IV and V, as well as every export of a Schedule I or II substance and a narcotic substance in Schedule III and IV. For all other drugs in Schedule III, IV and V, importers and exporters must submit an import or export declaration. Schedule II drugs are subject to the strictest requirements for registration, security, recordkeeping and reporting. Also, distribution and dispensing of these drugs are highly regulated. For example, all Schedule II drug prescriptions must be signed by a physician, physically presented to a pharmacist and may not be refilled without a new prescription. Electronic prescriptions may also be permissible depending on the state, so long as the prescription complies with the DEA’s requirements for electronic prescriptions.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SDX, which is the sole API in KP1077, has been listed as a Schedule IV controlled substance under the CSA. Controlled substances classified in Schedule III, IV, and V are also subject to registration, recordkeeping, reporting, and security requirements. For example, Schedule III drug prescriptions must be authorized by a physician and may not be refilled more than six months after the date of the original prescription or more than five times. A prescription for controlled substances classified in Schedules III, IV, and V issued by a physician, may be communicated either orally, in writing or by facsimile to the pharmacies. Controlled substances that are also classified as narcotics, such as hydrocodone, oxycodone and hydromorphone, are also subject to additional DEA requirements, such as manufacturer reporting of the import of narcotic raw material.</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 Acquisition and distribution transactions must also be reported for Schedule I and II controlled substances, as well as Schedule III narcotic substances.</w:t>
      </w:r>
    </w:p>
    <w:p>
      <w:pPr>
        <w:sectPr>
          <w:pgSz w:w="11900" w:h="1686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68" w:orient="portrait"/>
          <w:cols w:equalWidth="0" w:num="1">
            <w:col w:w="11240"/>
          </w:cols>
          <w:pgMar w:left="320" w:top="121" w:right="339" w:bottom="0" w:gutter="0" w:footer="0" w:header="0"/>
          <w:type w:val="continuous"/>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DEA typically inspects a facility to review its security measures prior to issuing a registration and on a periodic basis.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 maintained for the handling of all controlled substances, and periodic reports made to the DEA, for example distribution reports for Schedule I and II controlled substances, Schedule III substances that are narcotics, and other designated substances. Reports must also be made for thefts or losses of any controlled substance, and to obtain authorization to destroy any controlled substance. In addition, special permits and notification requirements apply to imports and exports of narcotic drugs. To enforce these requirements, the DEA conducts periodic inspections of registered establishments that handle controlled substances. Failure to maintain compliance with applicable requirements, particularly as manifested in loss or diversion, can result in administrative, civil or criminal enforcement action that could have a material adverse effect on our business, results of operations and financial condition. The DEA may seek civil penalties, refuse to renew necessary registrations, or initiate administrative proceedings to revoke those registrations. In some circumstances, violations could result in criminal proceedings.</w:t>
      </w:r>
    </w:p>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addition, a DEA quota system controls and limits the availability and production of controlled substances in Schedule I or II. Distributions of any Schedule I or II controlled substance or Schedule III narcotic must also be accompanied by special order forms, with copies provided to the DEA. Because AZSTARYS and our product candidates may be regulated as Schedule II controlled substances, they may be subject to the DEA’s production and procurement quota scheme. The DEA establishes annually an aggregate quota for how much of a controlled substance may be produced in total in the United States based on the DEA’s estimate of the quantity needed to meet legitimate scientific and medicinal needs. The limited aggregate amount of stimulants that the DEA allows to be produced in the U.S. each year is allocated among individual companies, which must submit applications annually to the DEA for individual production and procurement quotas. We and our contract manufacturers must receive an annual quota from the DEA in order to produce or procure any Schedule I or Schedule II substances for use in manufacturing of our product candidates. The DEA may adjust aggregate production quotas and individual production and procurement quotas from time to time during the year, although the DEA has substantial discretion in whether or not to make such adjustments. Our, or our contract manufacturers’, quota of an active ingredient may not be sufficient to meet commercial demand or complete clinical trials. Any delay, limitation or refusal by the DEA in establishing our, or our contract manufacturers’, quota for controlled substances could delay or stop our clinical trials or product launches, which could have a material adverse effect on our business, financial position and results of operations.</w:t>
      </w:r>
    </w:p>
    <w:p>
      <w:pPr>
        <w:spacing w:after="0" w:line="1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Individual states also independently regulate controlled substances. We and our contract manufacturers will be subject to state regulation on distribution of these products, including, for example, state requirements for licensures or registration.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Regulatory Frameworks</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Our business activities, including but not limited to, research, sales, promotion, distribution, medical education and other activities are subject to regulation by numerous regulatory and law enforcement authorities in the United States in addition to the FDA, including potentially the Department of Justice, the U.S. Department of Health and Human Services and its various divisions, including the CMS and the Health Resources and Services Administration, the Department of Veterans Affairs, the Department of Defense and state and local governments. Our business activities must comply with numerous healthcare laws, including those described below. Compliance with government regulations requires the expenditure of substantial time and financial resources.</w:t>
      </w:r>
    </w:p>
    <w:p>
      <w:pPr>
        <w:spacing w:after="0" w:line="1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reward, or in return for, the referral of an individual for, or purchasing, leasing, ordering, or arranging for the purchase, lease or order of, any good, facility, item or service reimbursable under Medicare, Medicaid or other federal healthcare programs. The term remuneration has been interpreted broadly to include anything of value.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Additionally, a person or entity does not need to have actual knowledge of the federal Anti-Kickback Statute, or the specific intent to violate it to have committed a violation.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federal civil and criminal false claims laws, including the federal False Claims Act, which can be enforced by private citizens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prohibit, among other things, any person or entity from knowingly presenting, or causing to be presented, a false claim for payment to, or approval by, the federal government, including the Medicare and Medicaid programs, or knowingly making, using, or causing to be made or used a false record or statement material to a false or fraudulent claim or to avoid, decrease or conceal an obligation to pay money to the federal government. In addition, a claim for payment of items or services resulting from a violation of the federal Anti-Kickback Statute constitutes a false or fraudulent claim for purposes of the False Claims Act.</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the specific intent to violate it, to have committed a violation.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federal Physician Payments Sunshine Act and its implementing regulations, require certain manufacturers of drugs, devices, biologicals and medical supplies for which payment is available under Medicare, Medicaid or the Children’s Health Insurance Program (with specified exceptions) to report annually information related to specified payments or other transfers of value provided to physicians (defined to include doctors, dentists, optometrists, podiatrists and chiropractors), certain other healthcare providers (physician assistants, nurse practitioners, clinical nurse specialists, certified nurse anesthetists, anesthesiologist assistants, and certified nurse-midwives) and teaching hospitals, or to entities or individuals at the request of, or designated on behalf of, such providers and teaching hospitals and to report annually specified ownership and investment interests held by physicians and their immediate family members.</w:t>
      </w:r>
    </w:p>
    <w:p>
      <w:pPr>
        <w:sectPr>
          <w:pgSz w:w="11900" w:h="16838" w:orient="portrait"/>
          <w:cols w:equalWidth="0" w:num="1">
            <w:col w:w="11240"/>
          </w:cols>
          <w:pgMar w:left="320" w:top="121" w:right="339" w:bottom="0" w:gutter="0" w:footer="0" w:header="0"/>
        </w:sectPr>
      </w:pPr>
    </w:p>
    <w:bookmarkStart w:id="29" w:name="page30"/>
    <w:bookmarkEnd w:id="29"/>
    <w:p>
      <w:pPr>
        <w:jc w:val="both"/>
        <w:spacing w:after="0" w:line="256" w:lineRule="auto"/>
        <w:rPr>
          <w:sz w:val="20"/>
          <w:szCs w:val="20"/>
          <w:color w:val="auto"/>
        </w:rPr>
      </w:pPr>
      <w:r>
        <w:rPr>
          <w:rFonts w:ascii="Times New Roman" w:cs="Times New Roman" w:eastAsia="Times New Roman" w:hAnsi="Times New Roman"/>
          <w:sz w:val="18"/>
          <w:szCs w:val="18"/>
          <w:color w:val="auto"/>
        </w:rPr>
        <w:t>Depending on the circumstances, failure to comply with these laws can result in significant penalties, including criminal, civil and/or administrative penalties, damages, fines, disgorgement, debarment from government contracts, individual imprisonment, additional reporting requirements and oversight if we become subject to a corporate integrity agreement or similar agreement to resolve allegations of non-compliance with these laws, exclusion from government programs, refusal to allow us to enter into supply contracts, including government contracts, reputational harm, diminished profits and future earnings and the curtailment or restructuring of our operations, any of which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subject to data privacy and security laws, regulations, and standards by foreign, federal, state and local governments that govern the collection, use, access to, confidentiality and security of health-related and other personal information.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in March 2010, the ACA was passed, which has substantially changed health care financing by both governmental and private insurers, and significantly affected the U.S. pharmaceutical industry. The ACA, among other things, subjected manufacturers to new annual fees and taxes for specified branded prescription drugs, increased the minimum Medicaid rebates owed by most manufacturers under the Medicaid Drug Rebate Program, expanded health care fraud and abuse laws, revised the methodology by which rebates owed by manufacturers to the state and federal government for covered outpatient drugs under the Medicaid Drug Rebate Program are calculated, imposed an inflation penalty on new formulations of drugs, extended the Medicaid Drug Rebate program to utilization of prescriptions of individuals enrolled in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In August 2011, the Budget Control Act of 2011, among other things, included aggregate reductions of Medicare payments to providers, which went into effect in April 2013, and, due to subsequent legislative amendments, will remain in effect through 2032 with the exception of a temporary suspension from May 1, 2020, through March 31, 2022, unless additional Congressional action is taken. In addition, in January 2013, the American Taxpayer Relief Act of 2012 was signed into law, which, among other things, reduced Medicare payments to several categories of healthcare providers and increased the statute of limitations period for the government to recover overpayments to providers from three to five years. On March 11, 2021, the American Rescue Plan Act of 2021 was signed into law, which eliminated the statutory Medicaid drug rebate cap, beginning January 1, 2024. The rebate was previously capped at 100% of a drug’s average manufacturer price.</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On August 16, 2022, the Inflation Reduction Act (“IRA”), of 2022,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or HHS, to implement many of these provisions through guidance, as opposed to regulation, for the initial years. CMS has published the negotiated prices for the initial ten drugs, which will first be effective in 2026, and the list of the subsequent 15 drugs that will be subject to negotiation, although the drug price negotiation program is currently subject to legal challenges. For that and other reasons, it is currently unclear how the IRA will be effectuated.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drug price increase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w:t>
      </w:r>
    </w:p>
    <w:p>
      <w:pPr>
        <w:spacing w:after="0" w:line="1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expect that additional state, federal and foreign healthcare reform measures will be adopted in the future, any of which could limit the amounts that federal, state and foreign governments will pay for healthcare product candidates and services, which could result in reduced demand for our products or additional pricing pressures.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HTA, amending Directive 2011/24/EU, was adopted. The Regulation entered into force in January 2022, and has been applicable since January 2025, with a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permits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ectPr>
          <w:pgSz w:w="11900" w:h="16838" w:orient="portrait"/>
          <w:cols w:equalWidth="0" w:num="1">
            <w:col w:w="11240"/>
          </w:cols>
          <w:pgMar w:left="320" w:top="121" w:right="339" w:bottom="466"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466"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foreign regulations governing clinical trials and commercial sales and distribution of our products to the extent we choose to develop or sell any products outside of the United States. The foreign regulatory approval process includes all of the risks associated with FDA approval set forth above, as well as additional country-specific regulation.</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approval of a product by the comparable regulatory authorities of foreign countries before we can commence clinical trials or marketing of the product in those countries. Approval by one regulatory authority does not ensure approval by regulatory authorities in other jurisdictions.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Non-clinical Studies and Clinical Trials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Similarly to the United States, the various phases of non-clinical and clinical research in the EU are subject to significant regulatory controls.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(pharmaco-toxicological) studies must be conducted in compliance with the principles of good laboratory practice (“GLP”) as set forth in EU Directive 2004/10/EC (unless otherwise justified for certain particular medicinal products,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Council for Harmonization of Technical Requirements for Pharmaceuticals for Human Use (“ICH”) guidelines on Good Clinical Practices as well as the applicable regulatory requirements and the ethical principles that have their origin in the Declaration of Helsinki.</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CTR transition period ended on January 31, 2025, and all clinical trials (and related applications) are now fully subject to the provisions of the CTR. Medicines used in clinical trials must be manufactured in accordance with Good Manufacturing Practice (“GMP”). Other national and EU-wide regulatory requirements may also apply.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Authorization</w:t>
      </w:r>
    </w:p>
    <w:p>
      <w:pPr>
        <w:spacing w:after="0" w:line="22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In order to market our product candidates in the EU and many other foreign jurisdictions, we must obtain separate regulatory approvals. More concretely, in the EU, medicinal product candidates can only be commercialized after obtaining a marketing authorization (“MA”). To obtain regulatory approval of a product candidate under EU regulatory systems, we must submit a MA application (“MAA”). The process for this depends, among other things, on the nature of the medicinal product. There are two types of MAs:</w:t>
      </w:r>
    </w:p>
    <w:p>
      <w:pPr>
        <w:spacing w:after="0" w:line="181" w:lineRule="exact"/>
        <w:rPr>
          <w:sz w:val="20"/>
          <w:szCs w:val="20"/>
          <w:color w:val="auto"/>
        </w:rPr>
      </w:pPr>
    </w:p>
    <w:p>
      <w:pPr>
        <w:jc w:val="both"/>
        <w:ind w:left="180" w:right="160" w:firstLine="9"/>
        <w:spacing w:after="0" w:line="253" w:lineRule="auto"/>
        <w:tabs>
          <w:tab w:leader="none" w:pos="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MAs” are issued by the European Commission through the centralized procedure based on the opinion of the Committee for Medicinal Products for Human Use (“CHMP”) of the European Medicines Agency (“EMA”) and are valid throughout the EU. The centralized procedure is compulsory for certain types of medicinal products such as (i) medicinal products derived from biotechnological processes, (ii) designated orphan medicinal products, (iii) advanced therapy medicinal products (“ATMPs”) (such as gene therapy, somatic cell therapy and tissue engineered products) and (iv) medicinal products containing a new active substance indicated for the treatment of certain diseases, such as HIV/AIDS, cancer, diabetes, neurodegenerative diseases or autoimmune diseases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189" w:lineRule="exact"/>
        <w:rPr>
          <w:rFonts w:ascii="Times New Roman" w:cs="Times New Roman" w:eastAsia="Times New Roman" w:hAnsi="Times New Roman"/>
          <w:sz w:val="18"/>
          <w:szCs w:val="18"/>
          <w:color w:val="auto"/>
        </w:rPr>
      </w:pPr>
    </w:p>
    <w:p>
      <w:pPr>
        <w:jc w:val="both"/>
        <w:ind w:left="180" w:right="160" w:firstLine="9"/>
        <w:spacing w:after="0" w:line="255" w:lineRule="auto"/>
        <w:tabs>
          <w:tab w:leader="none" w:pos="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85"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Under the above-described procedures, in order to grant the MA, the EMA or the competent authorities of the EU member states make an assessment of the risk benefit balance of the product on the basis of scientific criteria concerning its quality, safety and efficacy. MAs have an initial duration of five years. After these five years, the authorization may be renewed based on a reevaluation of the risk-benefit balance.</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Data and Marketing Exclusivity</w:t>
      </w:r>
    </w:p>
    <w:p>
      <w:pPr>
        <w:spacing w:after="0" w:line="22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In the EU, new products authorized for marketing (i.e., reference products) generally receive eight years of data exclusivity and an additional two years of market exclusivity upon MA. If granted, the data exclusivity period prevents generic and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MA of the reference product in the EU. The overall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Orphan Medicinal Products</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w:t>
      </w:r>
    </w:p>
    <w:p>
      <w:pPr>
        <w:spacing w:after="0" w:line="1" w:lineRule="exact"/>
        <w:rPr>
          <w:sz w:val="20"/>
          <w:szCs w:val="20"/>
          <w:color w:val="auto"/>
        </w:rPr>
      </w:pPr>
    </w:p>
    <w:p>
      <w:pPr>
        <w:ind w:left="280" w:hanging="253"/>
        <w:spacing w:after="0"/>
        <w:tabs>
          <w:tab w:leader="none" w:pos="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without the benefits derived from the orphan status, would not generate sufficient return in the EU to justify the necessary investment; and</w:t>
      </w:r>
    </w:p>
    <w:p>
      <w:pPr>
        <w:spacing w:after="0" w:line="8" w:lineRule="exact"/>
        <w:rPr>
          <w:rFonts w:ascii="Times New Roman" w:cs="Times New Roman" w:eastAsia="Times New Roman" w:hAnsi="Times New Roman"/>
          <w:sz w:val="18"/>
          <w:szCs w:val="18"/>
          <w:color w:val="auto"/>
        </w:rPr>
      </w:pPr>
    </w:p>
    <w:p>
      <w:pPr>
        <w:ind w:left="2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there exists no satisfactory method of diagnosis, prevention or treatment of the condition in question that has been authorized for marketing in the EU or, if such method exists, the product will be of significant benefit to those affected by that condition.</w:t>
      </w:r>
    </w:p>
    <w:p>
      <w:pPr>
        <w:spacing w:after="0" w:line="181"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Orphan designation must be requested before submitting an MAA. An EU orphan designation entitles a party to incentives such as reduction of fees or fee waivers, protocol assistance, and access to the centralized procedure. Upon grant of a MA, orphan medicinal products are entitled to ten years of market exclusivity for the approved indication, which means that the competent authorities cannot accept another MAA, or grant a MA, or accept an application to extend a MA for a similar medicinal product for the same indication for a period of ten years. The period of market exclusivity is extended by two years for orphan medicinal products that have also complied with an agreed pediatric investigation plan (“PIP”). No extension to any supplementary protection certificate can be granted based on pediatric studies for orphan indications. Orphan designation does not convey any advantage in, or shorten the duration of, the regulatory review and approval process.</w:t>
      </w:r>
    </w:p>
    <w:p>
      <w:pPr>
        <w:spacing w:after="0" w:line="186"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orphan exclusivity period may be reduced to six years if, at the end of the fifth year, it is established that the product no longer meets the criteria for which it received orphan destination, including where it is shown that the product is sufficiently profitable not to justify maintenance of market exclusivity or where the prevalence of the condition has increased above the threshold. Additionally,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ectPr>
          <w:pgSz w:w="11900" w:h="16838" w:orient="portrait"/>
          <w:cols w:equalWidth="0" w:num="1">
            <w:col w:w="11260"/>
          </w:cols>
          <w:pgMar w:left="300" w:top="121" w:right="339" w:bottom="144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Development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 MAAs for new medicinal products must include the results of studies conducted in the pediatric population, in compliance with a PIP agreed with the EMA’s Pediatric Committee (“PDCO”). The PIP sets out the timing and measures proposed to generate data to support a pediatric indication of the drug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the EU member states and study results are included in the product information, even when negative, the product is eligible for six months’ supplementary protection certificate extension (if any is in effect at the time of approval) or, in the case of orphan pharmaceutical products, a two-year extension of the orphan market exclusivity is granted.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substances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EU legislation does not establish different classes of narcotic or psychotropic substances. However, the United Nations (“UN”) Single Convention on Narcotic Drugs of 1961 and the UN Convention on Psychotropic Substances of 1971 (“UN Conventions”) codify internationally applicable control measures to ensure the availability of narcotic drugs and psychotropic substances for medical and scientific purposes. The individual EU member states are all signatories to these UN Conventions. All signatories have a dual obligation to ensure that these substances are available for medical purposes and to protect populations against abuse and dependence. The UN Conventions regulate narcotic drugs and psychotropic substances as Schedule I, II, III, IV substances with Schedule II substances presenting the lowest relative risk of abuse among such substances and Schedule I and IV substances considered to present the highest risk of abuse.</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UN Conventions require signatories to require all persons manufacturing, trading (including exporting and importing) or distributing controlled substances to obtain a license from the relevant authority. Each individual export or import of a controlled substance must also be subject to an authorization. The obligations provided in the UN Conventions and additional requirements are implemented at national level and requirements may vary from one member state to another.</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(“EEA”) which consists of the 27 EU member states plus Norway, Liechtenstein and Iceland.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December 31, 2024, we employed 59 full-time employees.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were incorporated under the laws of the State of Iowa in October 2006 and were reincorporated under the laws of the State of Delaware in May 2014.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We changed our name from KemPharm, Inc. to Zevra Therapeutics, Inc. effective as of February 21, 2023. Our website address is </w:t>
      </w:r>
      <w:r>
        <w:rPr>
          <w:rFonts w:ascii="Times New Roman" w:cs="Times New Roman" w:eastAsia="Times New Roman" w:hAnsi="Times New Roman"/>
          <w:sz w:val="18"/>
          <w:szCs w:val="18"/>
          <w:u w:val="single" w:color="auto"/>
          <w:color w:val="auto"/>
        </w:rPr>
        <w:t>www.zevra.com</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w:t>
        <w:tab/>
        <w:t>RISK FACTORS.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are providing the following summary of the risk factors contained in our Form 10-K to enhance the readability and accessibility of our risk facto disclosures. We encourage our stockholders to carefully review the full risk factors contained in this Form 10-K in their entirety for additional informatio regarding the risks and uncertainties that could cause our actual results to vary materially from our recent results or from our anticipated future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Commercialization of Our Approved Products and Product Candidates</w:t>
      </w:r>
    </w:p>
    <w:p>
      <w:pPr>
        <w:spacing w:after="0" w:line="227" w:lineRule="exact"/>
        <w:rPr>
          <w:sz w:val="20"/>
          <w:szCs w:val="20"/>
          <w:color w:val="auto"/>
        </w:rPr>
      </w:pPr>
    </w:p>
    <w:p>
      <w:pPr>
        <w:ind w:left="200" w:right="80" w:hanging="119"/>
        <w:spacing w:after="0" w:line="208" w:lineRule="auto"/>
        <w:tabs>
          <w:tab w:leader="none" w:pos="200" w:val="left"/>
        </w:tabs>
        <w:numPr>
          <w:ilvl w:val="0"/>
          <w:numId w:val="16"/>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If we are unable to establish effective sales, marketing and distribution capabilities for our approved products or product candidates, if approved, we may not be successful in commercializing any approved product or product candidate in the United States or any other jurisdictions.</w:t>
      </w:r>
    </w:p>
    <w:p>
      <w:pPr>
        <w:spacing w:after="0" w:line="196" w:lineRule="exact"/>
        <w:rPr>
          <w:rFonts w:ascii="Times New Roman" w:cs="Times New Roman" w:eastAsia="Times New Roman" w:hAnsi="Times New Roman"/>
          <w:sz w:val="29"/>
          <w:szCs w:val="29"/>
          <w:color w:val="auto"/>
          <w:vertAlign w:val="subscript"/>
        </w:rPr>
      </w:pPr>
    </w:p>
    <w:p>
      <w:pPr>
        <w:ind w:left="200" w:right="100" w:hanging="119"/>
        <w:spacing w:after="0" w:line="208" w:lineRule="auto"/>
        <w:tabs>
          <w:tab w:leader="none" w:pos="200" w:val="left"/>
        </w:tabs>
        <w:numPr>
          <w:ilvl w:val="0"/>
          <w:numId w:val="16"/>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Our approved products, or any of our product candidates that may receive marketing approval, may fail to achieve the degree of market acceptance by physicians, patients, third-party payors and others in the medical community necessary for commercial success.</w:t>
      </w:r>
    </w:p>
    <w:p>
      <w:pPr>
        <w:spacing w:after="0" w:line="196" w:lineRule="exact"/>
        <w:rPr>
          <w:rFonts w:ascii="Times New Roman" w:cs="Times New Roman" w:eastAsia="Times New Roman" w:hAnsi="Times New Roman"/>
          <w:sz w:val="29"/>
          <w:szCs w:val="29"/>
          <w:color w:val="auto"/>
          <w:vertAlign w:val="subscript"/>
        </w:rPr>
      </w:pPr>
    </w:p>
    <w:p>
      <w:pPr>
        <w:ind w:left="200" w:right="80" w:hanging="119"/>
        <w:spacing w:after="0" w:line="208" w:lineRule="auto"/>
        <w:tabs>
          <w:tab w:leader="none" w:pos="200" w:val="left"/>
        </w:tabs>
        <w:numPr>
          <w:ilvl w:val="0"/>
          <w:numId w:val="16"/>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Because the target patient populations for OLPRUVA® and MIPLYFFA</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6"/>
          <w:szCs w:val="16"/>
          <w:color w:val="auto"/>
        </w:rPr>
        <w:t xml:space="preserve"> are small, we must achieve significant market share and obtain relatively high per-patient prices for our products to achieve meaningful gross margins.</w:t>
      </w:r>
    </w:p>
    <w:p>
      <w:pPr>
        <w:spacing w:after="0" w:line="1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●We face substantial competition, which may result in others developing or commercializing products before or more successfully than we do.</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●We may not be able to obtain either three-year FDA regulatory exclusivity or five-year FDA regulatory exclusivity as a new chemical entity.</w:t>
      </w:r>
    </w:p>
    <w:p>
      <w:pPr>
        <w:spacing w:after="0" w:line="223" w:lineRule="exact"/>
        <w:rPr>
          <w:sz w:val="20"/>
          <w:szCs w:val="20"/>
          <w:color w:val="auto"/>
        </w:rPr>
      </w:pPr>
    </w:p>
    <w:p>
      <w:pPr>
        <w:ind w:left="200" w:right="80" w:hanging="119"/>
        <w:spacing w:after="0" w:line="208" w:lineRule="auto"/>
        <w:tabs>
          <w:tab w:leader="none" w:pos="200" w:val="left"/>
        </w:tabs>
        <w:numPr>
          <w:ilvl w:val="0"/>
          <w:numId w:val="17"/>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Even if we or our collaborators are able to commercialize our approved products, or any of our product candidates, if approved, they may be subject to unfavorable pricing regulations, third-party coverage and reimbursement policies.</w:t>
      </w:r>
    </w:p>
    <w:p>
      <w:pPr>
        <w:spacing w:after="0" w:line="1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●We may be subject to enforcement action if we engage in improper marketing or promotion of our products.</w:t>
      </w:r>
    </w:p>
    <w:p>
      <w:pPr>
        <w:spacing w:after="0" w:line="223" w:lineRule="exact"/>
        <w:rPr>
          <w:sz w:val="20"/>
          <w:szCs w:val="20"/>
          <w:color w:val="auto"/>
        </w:rPr>
      </w:pPr>
    </w:p>
    <w:p>
      <w:pPr>
        <w:ind w:left="200" w:right="100" w:hanging="119"/>
        <w:spacing w:after="0" w:line="208" w:lineRule="auto"/>
        <w:tabs>
          <w:tab w:leader="none" w:pos="200" w:val="left"/>
        </w:tabs>
        <w:numPr>
          <w:ilvl w:val="0"/>
          <w:numId w:val="18"/>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If commercialization of our approved products, or any of our product candidates, if approved, are not successful, or we experience significant delays in commercialization, our business will be harmed.</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Development of Our Product Candidates</w:t>
      </w:r>
    </w:p>
    <w:p>
      <w:pPr>
        <w:spacing w:after="0" w:line="227" w:lineRule="exact"/>
        <w:rPr>
          <w:sz w:val="20"/>
          <w:szCs w:val="20"/>
          <w:color w:val="auto"/>
        </w:rPr>
      </w:pPr>
    </w:p>
    <w:p>
      <w:pPr>
        <w:ind w:left="80" w:right="80" w:firstLine="121"/>
        <w:spacing w:after="0" w:line="260" w:lineRule="auto"/>
        <w:rPr>
          <w:sz w:val="20"/>
          <w:szCs w:val="20"/>
          <w:color w:val="auto"/>
        </w:rPr>
      </w:pPr>
      <w:r>
        <w:rPr>
          <w:rFonts w:ascii="Times New Roman" w:cs="Times New Roman" w:eastAsia="Times New Roman" w:hAnsi="Times New Roman"/>
          <w:sz w:val="18"/>
          <w:szCs w:val="18"/>
          <w:color w:val="auto"/>
        </w:rPr>
        <w:t>If we are not able to obtain required regulatory approvals for any of our product candidates, or the approved labels are not sufficiently differentiated from ●other competing products, we will not be able to commercialize them and our ability to generate revenue or profits or to raise future capital could be</w:t>
      </w:r>
    </w:p>
    <w:p>
      <w:pPr>
        <w:ind w:left="200"/>
        <w:spacing w:after="0"/>
        <w:rPr>
          <w:sz w:val="20"/>
          <w:szCs w:val="20"/>
          <w:color w:val="auto"/>
        </w:rPr>
      </w:pPr>
      <w:r>
        <w:rPr>
          <w:rFonts w:ascii="Times New Roman" w:cs="Times New Roman" w:eastAsia="Times New Roman" w:hAnsi="Times New Roman"/>
          <w:sz w:val="18"/>
          <w:szCs w:val="18"/>
          <w:color w:val="auto"/>
        </w:rPr>
        <w:t>limited.</w:t>
      </w:r>
    </w:p>
    <w:p>
      <w:pPr>
        <w:spacing w:after="0" w:line="204" w:lineRule="exact"/>
        <w:rPr>
          <w:sz w:val="20"/>
          <w:szCs w:val="20"/>
          <w:color w:val="auto"/>
        </w:rPr>
      </w:pPr>
    </w:p>
    <w:p>
      <w:pPr>
        <w:ind w:left="80" w:right="80" w:firstLine="121"/>
        <w:spacing w:after="0" w:line="260" w:lineRule="auto"/>
        <w:rPr>
          <w:sz w:val="20"/>
          <w:szCs w:val="20"/>
          <w:color w:val="auto"/>
        </w:rPr>
      </w:pPr>
      <w:r>
        <w:rPr>
          <w:rFonts w:ascii="Times New Roman" w:cs="Times New Roman" w:eastAsia="Times New Roman" w:hAnsi="Times New Roman"/>
          <w:sz w:val="18"/>
          <w:szCs w:val="18"/>
          <w:color w:val="auto"/>
        </w:rPr>
        <w:t>Disruptions at the FDA, the EMA and other government agencies, including those caused by funding shortages or global health concerns could hinder ●their ability to hire, retain or deploy key leadership and other personnel, or otherwise prevent new or modified products from being developed, approved</w:t>
      </w:r>
    </w:p>
    <w:p>
      <w:pPr>
        <w:ind w:left="200"/>
        <w:spacing w:after="0"/>
        <w:rPr>
          <w:sz w:val="20"/>
          <w:szCs w:val="20"/>
          <w:color w:val="auto"/>
        </w:rPr>
      </w:pPr>
      <w:r>
        <w:rPr>
          <w:rFonts w:ascii="Times New Roman" w:cs="Times New Roman" w:eastAsia="Times New Roman" w:hAnsi="Times New Roman"/>
          <w:sz w:val="18"/>
          <w:szCs w:val="18"/>
          <w:color w:val="auto"/>
        </w:rPr>
        <w:t>or commercialized in a timely manner or at all, which could negatively impact our business.</w:t>
      </w:r>
    </w:p>
    <w:p>
      <w:pPr>
        <w:spacing w:after="0" w:line="204" w:lineRule="exact"/>
        <w:rPr>
          <w:sz w:val="20"/>
          <w:szCs w:val="20"/>
          <w:color w:val="auto"/>
        </w:rPr>
      </w:pPr>
    </w:p>
    <w:p>
      <w:pPr>
        <w:ind w:left="80" w:right="80" w:firstLine="121"/>
        <w:spacing w:after="0" w:line="260" w:lineRule="auto"/>
        <w:rPr>
          <w:sz w:val="20"/>
          <w:szCs w:val="20"/>
          <w:color w:val="auto"/>
        </w:rPr>
      </w:pPr>
      <w:r>
        <w:rPr>
          <w:rFonts w:ascii="Times New Roman" w:cs="Times New Roman" w:eastAsia="Times New Roman" w:hAnsi="Times New Roman"/>
          <w:sz w:val="18"/>
          <w:szCs w:val="18"/>
          <w:color w:val="auto"/>
        </w:rPr>
        <w:t>If the FDA does not conclude that our product candidates satisfy the requirements for selected regulatory pathways, such as the 505(b)(2) NDA pathway, ●the approval process for our product candidates will likely take significantly longer, cost significantly more and entail significantly greater complications</w:t>
      </w:r>
    </w:p>
    <w:p>
      <w:pPr>
        <w:ind w:left="200"/>
        <w:spacing w:after="0"/>
        <w:rPr>
          <w:sz w:val="20"/>
          <w:szCs w:val="20"/>
          <w:color w:val="auto"/>
        </w:rPr>
      </w:pPr>
      <w:r>
        <w:rPr>
          <w:rFonts w:ascii="Times New Roman" w:cs="Times New Roman" w:eastAsia="Times New Roman" w:hAnsi="Times New Roman"/>
          <w:sz w:val="18"/>
          <w:szCs w:val="18"/>
          <w:color w:val="auto"/>
        </w:rPr>
        <w:t>and risks than anticipated, and the FDA may not ultimately approve our product candidates.</w:t>
      </w:r>
    </w:p>
    <w:p>
      <w:pPr>
        <w:spacing w:after="0" w:line="204" w:lineRule="exact"/>
        <w:rPr>
          <w:sz w:val="20"/>
          <w:szCs w:val="20"/>
          <w:color w:val="auto"/>
        </w:rPr>
      </w:pPr>
    </w:p>
    <w:p>
      <w:pPr>
        <w:ind w:left="200" w:right="80" w:hanging="119"/>
        <w:spacing w:after="0" w:line="208" w:lineRule="auto"/>
        <w:tabs>
          <w:tab w:leader="none" w:pos="200" w:val="left"/>
        </w:tabs>
        <w:numPr>
          <w:ilvl w:val="0"/>
          <w:numId w:val="19"/>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96" w:lineRule="exact"/>
        <w:rPr>
          <w:rFonts w:ascii="Times New Roman" w:cs="Times New Roman" w:eastAsia="Times New Roman" w:hAnsi="Times New Roman"/>
          <w:sz w:val="29"/>
          <w:szCs w:val="29"/>
          <w:color w:val="auto"/>
          <w:vertAlign w:val="subscript"/>
        </w:rPr>
      </w:pPr>
    </w:p>
    <w:p>
      <w:pPr>
        <w:ind w:left="200" w:right="80" w:hanging="119"/>
        <w:spacing w:after="0"/>
        <w:tabs>
          <w:tab w:leader="none" w:pos="200" w:val="left"/>
        </w:tabs>
        <w:numPr>
          <w:ilvl w:val="0"/>
          <w:numId w:val="19"/>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If we experience delays or difficulties in the enrollment of subjects in clinical trials, our receipt of necessary regulatory approvals could be delayed or prevented.</w:t>
      </w:r>
    </w:p>
    <w:p>
      <w:pPr>
        <w:spacing w:after="0" w:line="311" w:lineRule="exact"/>
        <w:rPr>
          <w:rFonts w:ascii="Times New Roman" w:cs="Times New Roman" w:eastAsia="Times New Roman" w:hAnsi="Times New Roman"/>
          <w:sz w:val="29"/>
          <w:szCs w:val="29"/>
          <w:color w:val="auto"/>
          <w:vertAlign w:val="subscript"/>
        </w:rPr>
      </w:pPr>
    </w:p>
    <w:p>
      <w:pPr>
        <w:ind w:left="200" w:right="80" w:hanging="119"/>
        <w:spacing w:after="0" w:line="208" w:lineRule="auto"/>
        <w:tabs>
          <w:tab w:leader="none" w:pos="200" w:val="left"/>
        </w:tabs>
        <w:numPr>
          <w:ilvl w:val="0"/>
          <w:numId w:val="19"/>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Interim, topline, or preliminary data from our clinical trials that we announce or publish from time to time may change as more patient data become available and are subject to audit and verification procedures that could result in materials changes in the final data.</w:t>
      </w:r>
    </w:p>
    <w:p>
      <w:pPr>
        <w:spacing w:after="0" w:line="196" w:lineRule="exact"/>
        <w:rPr>
          <w:rFonts w:ascii="Times New Roman" w:cs="Times New Roman" w:eastAsia="Times New Roman" w:hAnsi="Times New Roman"/>
          <w:sz w:val="29"/>
          <w:szCs w:val="29"/>
          <w:color w:val="auto"/>
          <w:vertAlign w:val="subscript"/>
        </w:rPr>
      </w:pPr>
    </w:p>
    <w:p>
      <w:pPr>
        <w:ind w:left="200" w:right="100" w:hanging="119"/>
        <w:spacing w:after="0" w:line="208" w:lineRule="auto"/>
        <w:tabs>
          <w:tab w:leader="none" w:pos="200" w:val="left"/>
        </w:tabs>
        <w:numPr>
          <w:ilvl w:val="0"/>
          <w:numId w:val="19"/>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We may not be able to obtain or maintain orphan drug designations which we pursue for any of our product candidates, and we may be unable to maintain the benefits associated with orphan drug designation, including the potential for market exclusivity.</w:t>
      </w:r>
    </w:p>
    <w:p>
      <w:pPr>
        <w:spacing w:after="0" w:line="196" w:lineRule="exact"/>
        <w:rPr>
          <w:rFonts w:ascii="Times New Roman" w:cs="Times New Roman" w:eastAsia="Times New Roman" w:hAnsi="Times New Roman"/>
          <w:sz w:val="29"/>
          <w:szCs w:val="29"/>
          <w:color w:val="auto"/>
          <w:vertAlign w:val="subscript"/>
        </w:rPr>
      </w:pPr>
    </w:p>
    <w:p>
      <w:pPr>
        <w:ind w:left="200" w:right="80" w:hanging="119"/>
        <w:spacing w:after="0" w:line="208" w:lineRule="auto"/>
        <w:tabs>
          <w:tab w:leader="none" w:pos="200" w:val="left"/>
        </w:tabs>
        <w:numPr>
          <w:ilvl w:val="0"/>
          <w:numId w:val="19"/>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Certain of our approved products and product candidates contain controlled substances, the manufacture, use, sale, importation, exportation, prescribing and distribution of which are subject to regulation by the DEA and other regulatory agencies.</w:t>
      </w:r>
    </w:p>
    <w:p>
      <w:pPr>
        <w:spacing w:after="0" w:line="196" w:lineRule="exact"/>
        <w:rPr>
          <w:rFonts w:ascii="Times New Roman" w:cs="Times New Roman" w:eastAsia="Times New Roman" w:hAnsi="Times New Roman"/>
          <w:sz w:val="29"/>
          <w:szCs w:val="29"/>
          <w:color w:val="auto"/>
          <w:vertAlign w:val="subscript"/>
        </w:rPr>
      </w:pPr>
    </w:p>
    <w:p>
      <w:pPr>
        <w:ind w:left="200" w:right="100" w:hanging="119"/>
        <w:spacing w:after="0" w:line="208" w:lineRule="auto"/>
        <w:tabs>
          <w:tab w:leader="none" w:pos="200" w:val="left"/>
        </w:tabs>
        <w:numPr>
          <w:ilvl w:val="0"/>
          <w:numId w:val="19"/>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Our products and product candidates may be associated with serious adverse events, undesirable side effects or have other properties that could halt their clinical development, prevent their regulatory approval, limit their commercial potential or result in significant negative consequences.</w:t>
      </w:r>
    </w:p>
    <w:p>
      <w:pPr>
        <w:spacing w:after="0" w:line="1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w:t>
      </w:r>
    </w:p>
    <w:p>
      <w:pPr>
        <w:sectPr>
          <w:pgSz w:w="11900" w:h="16838" w:orient="portrait"/>
          <w:cols w:equalWidth="0" w:num="1">
            <w:col w:w="11340"/>
          </w:cols>
          <w:pgMar w:left="300" w:top="121" w:right="259" w:bottom="0" w:gutter="0" w:footer="0" w:header="0"/>
        </w:sectPr>
      </w:pPr>
    </w:p>
    <w:bookmarkStart w:id="35" w:name="page36"/>
    <w:bookmarkEnd w:id="35"/>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may be more profitable or for which there is a greater likelihood of success.</w:t>
      </w:r>
    </w:p>
    <w:p>
      <w:pPr>
        <w:spacing w:after="0" w:line="223" w:lineRule="exact"/>
        <w:rPr>
          <w:sz w:val="20"/>
          <w:szCs w:val="20"/>
          <w:color w:val="auto"/>
        </w:rPr>
      </w:pPr>
    </w:p>
    <w:p>
      <w:pPr>
        <w:ind w:left="200" w:right="20" w:hanging="119"/>
        <w:spacing w:after="0" w:line="208" w:lineRule="auto"/>
        <w:tabs>
          <w:tab w:leader="none" w:pos="200" w:val="left"/>
        </w:tabs>
        <w:numPr>
          <w:ilvl w:val="0"/>
          <w:numId w:val="20"/>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If the EAP is terminated prior to commercialization of arimoclomol in the EU, if approved, it will have a material adverse effect on our business, results of operations, cash flows, financial condition and/or prospects.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Our Financial Position and Our Capital Needs</w:t>
      </w:r>
    </w:p>
    <w:p>
      <w:pPr>
        <w:spacing w:after="0" w:line="2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●Our future results will suffer if we do not effectively manage our operations.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 variety of risks associated with international operations could materially adversely affect our business.</w:t>
      </w:r>
    </w:p>
    <w:p>
      <w:pPr>
        <w:spacing w:after="0" w:line="223" w:lineRule="exact"/>
        <w:rPr>
          <w:sz w:val="20"/>
          <w:szCs w:val="20"/>
          <w:color w:val="auto"/>
        </w:rPr>
      </w:pPr>
    </w:p>
    <w:p>
      <w:pPr>
        <w:ind w:left="200" w:hanging="119"/>
        <w:spacing w:after="0" w:line="208" w:lineRule="auto"/>
        <w:tabs>
          <w:tab w:leader="none" w:pos="200" w:val="left"/>
        </w:tabs>
        <w:numPr>
          <w:ilvl w:val="0"/>
          <w:numId w:val="21"/>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We may not be able to retain suppliers or distributors, or suppliers or distributors may seek to modify contractual relationships with us, which could have an adverse effect on our business and operations. Third parties may terminate or alter existing contracts or relationships with us.</w:t>
      </w:r>
    </w:p>
    <w:p>
      <w:pPr>
        <w:spacing w:after="0" w:line="196" w:lineRule="exact"/>
        <w:rPr>
          <w:sz w:val="20"/>
          <w:szCs w:val="20"/>
          <w:color w:val="auto"/>
        </w:rPr>
      </w:pPr>
    </w:p>
    <w:p>
      <w:pPr>
        <w:ind w:left="80" w:firstLine="121"/>
        <w:spacing w:after="0" w:line="260" w:lineRule="auto"/>
        <w:rPr>
          <w:sz w:val="20"/>
          <w:szCs w:val="20"/>
          <w:color w:val="auto"/>
        </w:rPr>
      </w:pPr>
      <w:r>
        <w:rPr>
          <w:rFonts w:ascii="Times New Roman" w:cs="Times New Roman" w:eastAsia="Times New Roman" w:hAnsi="Times New Roman"/>
          <w:sz w:val="18"/>
          <w:szCs w:val="18"/>
          <w:color w:val="auto"/>
        </w:rPr>
        <w:t>If we fail to maintain effective internal controls over financial reporting and disclosure controls and procedures, we may not be able to accurately report ●our financial results or report them in a timely manner, which may adversely affect investor confidence in us and, as a result, the value of our common</w:t>
      </w:r>
    </w:p>
    <w:p>
      <w:pPr>
        <w:ind w:left="200"/>
        <w:spacing w:after="0"/>
        <w:rPr>
          <w:sz w:val="20"/>
          <w:szCs w:val="20"/>
          <w:color w:val="auto"/>
        </w:rPr>
      </w:pPr>
      <w:r>
        <w:rPr>
          <w:rFonts w:ascii="Times New Roman" w:cs="Times New Roman" w:eastAsia="Times New Roman" w:hAnsi="Times New Roman"/>
          <w:sz w:val="18"/>
          <w:szCs w:val="18"/>
          <w:color w:val="auto"/>
        </w:rPr>
        <w:t>stock.</w:t>
      </w:r>
    </w:p>
    <w:p>
      <w:pPr>
        <w:spacing w:after="0" w:line="204" w:lineRule="exact"/>
        <w:rPr>
          <w:sz w:val="20"/>
          <w:szCs w:val="20"/>
          <w:color w:val="auto"/>
        </w:rPr>
      </w:pPr>
    </w:p>
    <w:p>
      <w:pPr>
        <w:ind w:left="200" w:hanging="119"/>
        <w:spacing w:after="0" w:line="208" w:lineRule="auto"/>
        <w:tabs>
          <w:tab w:leader="none" w:pos="200" w:val="left"/>
        </w:tabs>
        <w:numPr>
          <w:ilvl w:val="0"/>
          <w:numId w:val="22"/>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We have incurred significant recurring negative and operating cash flows. We cannot predict if we will incur positive or negative net operating cash flows over the next several years, and we may never achieve or maintain profitability.</w:t>
      </w:r>
    </w:p>
    <w:p>
      <w:pPr>
        <w:spacing w:after="0" w:line="196" w:lineRule="exact"/>
        <w:rPr>
          <w:rFonts w:ascii="Times New Roman" w:cs="Times New Roman" w:eastAsia="Times New Roman" w:hAnsi="Times New Roman"/>
          <w:sz w:val="29"/>
          <w:szCs w:val="29"/>
          <w:color w:val="auto"/>
          <w:vertAlign w:val="subscript"/>
        </w:rPr>
      </w:pPr>
    </w:p>
    <w:p>
      <w:pPr>
        <w:ind w:left="200" w:hanging="119"/>
        <w:spacing w:after="0" w:line="208" w:lineRule="auto"/>
        <w:tabs>
          <w:tab w:leader="none" w:pos="200" w:val="left"/>
        </w:tabs>
        <w:numPr>
          <w:ilvl w:val="0"/>
          <w:numId w:val="22"/>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We may need additional funding to pursue our business objectives. If we are unable to raise capital when needed, we could be forced to delay, reduce or altogether cease our development programs or commercialization efforts or cease operations altogether.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Dependence on Third Parties</w:t>
      </w:r>
    </w:p>
    <w:p>
      <w:pPr>
        <w:spacing w:after="0" w:line="227" w:lineRule="exact"/>
        <w:rPr>
          <w:sz w:val="20"/>
          <w:szCs w:val="20"/>
          <w:color w:val="auto"/>
        </w:rPr>
      </w:pPr>
    </w:p>
    <w:p>
      <w:pPr>
        <w:ind w:left="200" w:hanging="119"/>
        <w:spacing w:after="0" w:line="208" w:lineRule="auto"/>
        <w:tabs>
          <w:tab w:leader="none" w:pos="200" w:val="left"/>
        </w:tabs>
        <w:numPr>
          <w:ilvl w:val="0"/>
          <w:numId w:val="23"/>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We rely on and expect to continue to rely on third parties to conduct our clinical trials for our product candidates, and those third parties may not perform satisfactorily, including failing to meet deadlines for the completion of such trials.</w:t>
      </w:r>
    </w:p>
    <w:p>
      <w:pPr>
        <w:spacing w:after="0" w:line="196" w:lineRule="exact"/>
        <w:rPr>
          <w:sz w:val="20"/>
          <w:szCs w:val="20"/>
          <w:color w:val="auto"/>
        </w:rPr>
      </w:pPr>
    </w:p>
    <w:p>
      <w:pPr>
        <w:jc w:val="center"/>
        <w:ind w:left="380"/>
        <w:spacing w:after="0" w:line="264"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approved products, and any of our product candidates are subject to review by the ●FDA or comparable foreign regulatory authorities pursuant to inspections that will be conducted after we submit our marketing application to the FDA or the EMA, and such inspections could result in findings that lead to failure to obtain FDA or comparable foreign approval of such marketing applications.</w:t>
      </w:r>
    </w:p>
    <w:p>
      <w:pPr>
        <w:spacing w:after="0" w:line="177" w:lineRule="exact"/>
        <w:rPr>
          <w:sz w:val="20"/>
          <w:szCs w:val="20"/>
          <w:color w:val="auto"/>
        </w:rPr>
      </w:pPr>
    </w:p>
    <w:p>
      <w:pPr>
        <w:ind w:left="80" w:firstLine="121"/>
        <w:spacing w:after="0" w:line="275" w:lineRule="auto"/>
        <w:rPr>
          <w:sz w:val="20"/>
          <w:szCs w:val="20"/>
          <w:color w:val="auto"/>
        </w:rPr>
      </w:pPr>
      <w:r>
        <w:rPr>
          <w:rFonts w:ascii="Times New Roman" w:cs="Times New Roman" w:eastAsia="Times New Roman" w:hAnsi="Times New Roman"/>
          <w:sz w:val="17"/>
          <w:szCs w:val="17"/>
          <w:color w:val="auto"/>
        </w:rPr>
        <w:t>Our approved products that we are commercializing, and product candidates that we are currently developing, or may develop in the future, may compete ●with other product candidates and drugs for access to manufacturing facilities, and we may be unable to obtain access to these facilities on favorable</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terms.</w:t>
      </w:r>
    </w:p>
    <w:p>
      <w:pPr>
        <w:spacing w:after="0" w:line="204" w:lineRule="exact"/>
        <w:rPr>
          <w:sz w:val="20"/>
          <w:szCs w:val="20"/>
          <w:color w:val="auto"/>
        </w:rPr>
      </w:pPr>
    </w:p>
    <w:p>
      <w:pPr>
        <w:ind w:left="80" w:firstLine="121"/>
        <w:spacing w:after="0" w:line="260" w:lineRule="auto"/>
        <w:rPr>
          <w:sz w:val="20"/>
          <w:szCs w:val="20"/>
          <w:color w:val="auto"/>
        </w:rPr>
      </w:pPr>
      <w:r>
        <w:rPr>
          <w:rFonts w:ascii="Times New Roman" w:cs="Times New Roman" w:eastAsia="Times New Roman" w:hAnsi="Times New Roman"/>
          <w:sz w:val="18"/>
          <w:szCs w:val="18"/>
          <w:color w:val="auto"/>
        </w:rPr>
        <w:t>We have entered into collaborations with Commave, to develop, manufacture and commercialize AZSTARYS worldwide. In addition, we may seek ●collaborations with third parties for the development or commercialization of our other product candidates, or in other territories. If those collaborations</w:t>
      </w:r>
    </w:p>
    <w:p>
      <w:pPr>
        <w:ind w:left="200"/>
        <w:spacing w:after="0"/>
        <w:rPr>
          <w:sz w:val="20"/>
          <w:szCs w:val="20"/>
          <w:color w:val="auto"/>
        </w:rPr>
      </w:pPr>
      <w:r>
        <w:rPr>
          <w:rFonts w:ascii="Times New Roman" w:cs="Times New Roman" w:eastAsia="Times New Roman" w:hAnsi="Times New Roman"/>
          <w:sz w:val="18"/>
          <w:szCs w:val="18"/>
          <w:color w:val="auto"/>
        </w:rPr>
        <w:t>are not successful, we may not be able to capitalize on the market potential of AZSTARYS or any of our other product candidates, if approved.</w:t>
      </w:r>
    </w:p>
    <w:p>
      <w:pPr>
        <w:spacing w:after="0" w:line="2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●If we are not able to establish collaborations for our product candidates, we may have to alter our development and commercialization plans.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2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If we are unable to obtain and maintain trade secret protection or patent prosecution for our technology, our approved products or our product candidates,</w:t>
      </w:r>
    </w:p>
    <w:p>
      <w:pPr>
        <w:spacing w:after="0" w:line="27" w:lineRule="exact"/>
        <w:rPr>
          <w:sz w:val="20"/>
          <w:szCs w:val="20"/>
          <w:color w:val="auto"/>
        </w:rPr>
      </w:pPr>
    </w:p>
    <w:p>
      <w:pPr>
        <w:jc w:val="both"/>
        <w:ind w:left="200" w:hanging="119"/>
        <w:spacing w:after="0" w:line="329" w:lineRule="auto"/>
        <w:tabs>
          <w:tab w:leader="none" w:pos="200" w:val="left"/>
        </w:tabs>
        <w:numPr>
          <w:ilvl w:val="0"/>
          <w:numId w:val="24"/>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or if the scope of the patent protection obtained is not sufficiently broad, our competitors could develop and commercialize technology and drugs similar or identical to ours, and our ability to successfully commercialize our technology, our approved products, or our product candidates, if approved, may be impaired.</w:t>
      </w:r>
    </w:p>
    <w:p>
      <w:pPr>
        <w:spacing w:after="0" w:line="131" w:lineRule="exact"/>
        <w:rPr>
          <w:rFonts w:ascii="Times New Roman" w:cs="Times New Roman" w:eastAsia="Times New Roman" w:hAnsi="Times New Roman"/>
          <w:sz w:val="29"/>
          <w:szCs w:val="29"/>
          <w:color w:val="auto"/>
          <w:vertAlign w:val="subscript"/>
        </w:rPr>
      </w:pPr>
    </w:p>
    <w:p>
      <w:pPr>
        <w:ind w:left="200" w:hanging="119"/>
        <w:spacing w:after="0" w:line="208" w:lineRule="auto"/>
        <w:tabs>
          <w:tab w:leader="none" w:pos="200" w:val="left"/>
        </w:tabs>
        <w:numPr>
          <w:ilvl w:val="0"/>
          <w:numId w:val="24"/>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Changes in patent law in the United States and other jurisdictions could alter or diminish the value of patents in general, thereby impairing our ability to protect our products and technologies.</w:t>
      </w:r>
    </w:p>
    <w:p>
      <w:pPr>
        <w:spacing w:after="0" w:line="196" w:lineRule="exact"/>
        <w:rPr>
          <w:rFonts w:ascii="Times New Roman" w:cs="Times New Roman" w:eastAsia="Times New Roman" w:hAnsi="Times New Roman"/>
          <w:sz w:val="29"/>
          <w:szCs w:val="29"/>
          <w:color w:val="auto"/>
          <w:vertAlign w:val="subscript"/>
        </w:rPr>
      </w:pPr>
    </w:p>
    <w:p>
      <w:pPr>
        <w:ind w:left="200" w:hanging="119"/>
        <w:spacing w:after="0"/>
        <w:tabs>
          <w:tab w:leader="none" w:pos="200" w:val="left"/>
        </w:tabs>
        <w:numPr>
          <w:ilvl w:val="0"/>
          <w:numId w:val="24"/>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We may become involved in lawsuits to protect or enforce our patents or other intellectual property, which could be expensive, time consuming and unsuccessful.</w:t>
      </w:r>
    </w:p>
    <w:p>
      <w:pPr>
        <w:spacing w:after="0" w:line="311" w:lineRule="exact"/>
        <w:rPr>
          <w:rFonts w:ascii="Times New Roman" w:cs="Times New Roman" w:eastAsia="Times New Roman" w:hAnsi="Times New Roman"/>
          <w:sz w:val="29"/>
          <w:szCs w:val="29"/>
          <w:color w:val="auto"/>
          <w:vertAlign w:val="subscript"/>
        </w:rPr>
      </w:pPr>
    </w:p>
    <w:p>
      <w:pPr>
        <w:ind w:left="200" w:hanging="119"/>
        <w:spacing w:after="0" w:line="208" w:lineRule="auto"/>
        <w:tabs>
          <w:tab w:leader="none" w:pos="200" w:val="left"/>
        </w:tabs>
        <w:numPr>
          <w:ilvl w:val="0"/>
          <w:numId w:val="24"/>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Third parties may initiate legal proceedings alleging that we are infringing their intellectual property rights, the outcome of which would be uncertain and could significantly harm our business.</w:t>
      </w:r>
    </w:p>
    <w:p>
      <w:pPr>
        <w:spacing w:after="0" w:line="1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●Intellectual property litigation could cause us to spread substantial resources and distract our personnel from their normal responsibilities.</w:t>
      </w:r>
    </w:p>
    <w:p>
      <w:pPr>
        <w:spacing w:after="0" w:line="223" w:lineRule="exact"/>
        <w:rPr>
          <w:sz w:val="20"/>
          <w:szCs w:val="20"/>
          <w:color w:val="auto"/>
        </w:rPr>
      </w:pPr>
    </w:p>
    <w:p>
      <w:pPr>
        <w:ind w:left="200" w:hanging="119"/>
        <w:spacing w:after="0"/>
        <w:tabs>
          <w:tab w:leader="none" w:pos="200" w:val="left"/>
        </w:tabs>
        <w:numPr>
          <w:ilvl w:val="0"/>
          <w:numId w:val="25"/>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We may need to license intellectual property from third parties, and such licenses may not be available or may not be available on commercially reasonable terms.</w:t>
      </w:r>
    </w:p>
    <w:p>
      <w:pPr>
        <w:spacing w:after="0" w:line="311" w:lineRule="exact"/>
        <w:rPr>
          <w:rFonts w:ascii="Times New Roman" w:cs="Times New Roman" w:eastAsia="Times New Roman" w:hAnsi="Times New Roman"/>
          <w:sz w:val="29"/>
          <w:szCs w:val="29"/>
          <w:color w:val="auto"/>
          <w:vertAlign w:val="subscript"/>
        </w:rPr>
      </w:pPr>
    </w:p>
    <w:p>
      <w:pPr>
        <w:ind w:left="200" w:hanging="119"/>
        <w:spacing w:after="0" w:line="208" w:lineRule="auto"/>
        <w:tabs>
          <w:tab w:leader="none" w:pos="200" w:val="left"/>
        </w:tabs>
        <w:numPr>
          <w:ilvl w:val="0"/>
          <w:numId w:val="25"/>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If we or our third-party licensors fail to comply with our obligations in our intellectual property licenses and funding arrangements with third parties, we could lose rights that are important to our business.</w:t>
      </w:r>
    </w:p>
    <w:p>
      <w:pPr>
        <w:spacing w:after="0" w:line="1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scope of our intellectual property may be reduced or may need to be reduced due to third-party intellectual property claims.</w:t>
      </w:r>
    </w:p>
    <w:p>
      <w:pPr>
        <w:spacing w:after="0" w:line="223" w:lineRule="exact"/>
        <w:rPr>
          <w:sz w:val="20"/>
          <w:szCs w:val="20"/>
          <w:color w:val="auto"/>
        </w:rPr>
      </w:pPr>
    </w:p>
    <w:p>
      <w:pPr>
        <w:ind w:left="200" w:hanging="119"/>
        <w:spacing w:after="0" w:line="208" w:lineRule="auto"/>
        <w:tabs>
          <w:tab w:leader="none" w:pos="200" w:val="left"/>
        </w:tabs>
        <w:numPr>
          <w:ilvl w:val="0"/>
          <w:numId w:val="26"/>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We may be subject to claims by third parties asserting that we or our employees have misappropriated their intellectual property or claiming ownership of what we regard as our own intellectual property.</w:t>
      </w:r>
    </w:p>
    <w:p>
      <w:pPr>
        <w:spacing w:after="0" w:line="1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●Any trademarks we may obtain may be infringed or successfully challenged, resulting in harm to our business.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●If we are unable to protect the confidentiality of our trade secrets, our business and competitive position would be harmed.</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●We may not be able to protect our intellectual property rights throughout the world.</w:t>
      </w:r>
    </w:p>
    <w:p>
      <w:pPr>
        <w:sectPr>
          <w:pgSz w:w="11900" w:h="16868" w:orient="portrait"/>
          <w:cols w:equalWidth="0" w:num="1">
            <w:col w:w="11260"/>
          </w:cols>
          <w:pgMar w:left="300" w:top="121" w:right="339" w:bottom="0" w:gutter="0" w:footer="0" w:header="0"/>
        </w:sectPr>
      </w:pPr>
    </w:p>
    <w:bookmarkStart w:id="36" w:name="page37"/>
    <w:bookmarkEnd w:id="36"/>
    <w:p>
      <w:pPr>
        <w:spacing w:after="0" w:line="29" w:lineRule="exact"/>
        <w:rPr>
          <w:sz w:val="20"/>
          <w:szCs w:val="20"/>
          <w:color w:val="auto"/>
        </w:rPr>
      </w:pPr>
    </w:p>
    <w:p>
      <w:pPr>
        <w:ind w:left="80" w:firstLine="121"/>
        <w:spacing w:after="0" w:line="275" w:lineRule="auto"/>
        <w:rPr>
          <w:sz w:val="20"/>
          <w:szCs w:val="20"/>
          <w:color w:val="auto"/>
        </w:rPr>
      </w:pPr>
      <w:r>
        <w:rPr>
          <w:rFonts w:ascii="Times New Roman" w:cs="Times New Roman" w:eastAsia="Times New Roman" w:hAnsi="Times New Roman"/>
          <w:sz w:val="17"/>
          <w:szCs w:val="17"/>
          <w:color w:val="auto"/>
        </w:rPr>
        <w:t>Our decision to seek approval of our product candidates under certain regulatory pathways, such as the 505(b)(2) NDA pathway for the FDA, may ●increase the risk that patent infringement suits are filed against us, which would delay FDA or comparable foreign regulatory authorities' approval of such</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product candidates.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Approval of Our Product Candidates and Other Legal Compliance Matters</w:t>
      </w:r>
    </w:p>
    <w:p>
      <w:pPr>
        <w:spacing w:after="0" w:line="227" w:lineRule="exact"/>
        <w:rPr>
          <w:sz w:val="20"/>
          <w:szCs w:val="20"/>
          <w:color w:val="auto"/>
        </w:rPr>
      </w:pPr>
    </w:p>
    <w:p>
      <w:pPr>
        <w:ind w:left="200" w:hanging="119"/>
        <w:spacing w:after="0" w:line="208" w:lineRule="auto"/>
        <w:tabs>
          <w:tab w:leader="none" w:pos="200" w:val="left"/>
        </w:tabs>
        <w:numPr>
          <w:ilvl w:val="0"/>
          <w:numId w:val="27"/>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Failure to obtain marketing approval in international jurisdictions would prevent our approved products, and any of our other product candidates from being marketed abroad.</w:t>
      </w:r>
    </w:p>
    <w:p>
      <w:pPr>
        <w:spacing w:after="0" w:line="143" w:lineRule="exact"/>
        <w:rPr>
          <w:sz w:val="20"/>
          <w:szCs w:val="20"/>
          <w:color w:val="auto"/>
        </w:rPr>
      </w:pPr>
    </w:p>
    <w:p>
      <w:pPr>
        <w:ind w:left="200" w:right="20" w:hanging="120"/>
        <w:spacing w:after="0" w:line="197" w:lineRule="auto"/>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A variety of risks associated with marketing our approved products, and any of our other product candidates, if approved, internationally, could affect our business.</w:t>
      </w:r>
    </w:p>
    <w:p>
      <w:pPr>
        <w:spacing w:after="0" w:line="198" w:lineRule="exact"/>
        <w:rPr>
          <w:sz w:val="20"/>
          <w:szCs w:val="20"/>
          <w:color w:val="auto"/>
        </w:rPr>
      </w:pPr>
    </w:p>
    <w:p>
      <w:pPr>
        <w:ind w:left="200" w:hanging="119"/>
        <w:spacing w:after="0" w:line="208" w:lineRule="auto"/>
        <w:tabs>
          <w:tab w:leader="none" w:pos="200" w:val="left"/>
        </w:tabs>
        <w:numPr>
          <w:ilvl w:val="0"/>
          <w:numId w:val="28"/>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Our approved products are, and any of our product candidates for which we obtain marketing approval will remain subject to significant post-marketing regulatory requirements and oversights.</w:t>
      </w:r>
    </w:p>
    <w:p>
      <w:pPr>
        <w:spacing w:after="0" w:line="196" w:lineRule="exact"/>
        <w:rPr>
          <w:rFonts w:ascii="Times New Roman" w:cs="Times New Roman" w:eastAsia="Times New Roman" w:hAnsi="Times New Roman"/>
          <w:sz w:val="29"/>
          <w:szCs w:val="29"/>
          <w:color w:val="auto"/>
          <w:vertAlign w:val="subscript"/>
        </w:rPr>
      </w:pPr>
    </w:p>
    <w:p>
      <w:pPr>
        <w:ind w:left="200" w:hanging="119"/>
        <w:spacing w:after="0" w:line="208" w:lineRule="auto"/>
        <w:tabs>
          <w:tab w:leader="none" w:pos="200" w:val="left"/>
        </w:tabs>
        <w:numPr>
          <w:ilvl w:val="0"/>
          <w:numId w:val="28"/>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Our employees, independent contractors, principal investigators, CROs, consultants, commercial collaborators, contract manufacturers, service providers and other vendors may engage in misconduct or other improper activities, including non-compliance with regulatory standards and requirements.</w:t>
      </w:r>
    </w:p>
    <w:p>
      <w:pPr>
        <w:spacing w:after="0" w:line="196" w:lineRule="exact"/>
        <w:rPr>
          <w:sz w:val="20"/>
          <w:szCs w:val="20"/>
          <w:color w:val="auto"/>
        </w:rPr>
      </w:pPr>
    </w:p>
    <w:p>
      <w:pPr>
        <w:jc w:val="both"/>
        <w:ind w:left="80" w:firstLine="121"/>
        <w:spacing w:after="0" w:line="260" w:lineRule="auto"/>
        <w:rPr>
          <w:sz w:val="20"/>
          <w:szCs w:val="20"/>
          <w:color w:val="auto"/>
        </w:rPr>
      </w:pPr>
      <w:r>
        <w:rPr>
          <w:rFonts w:ascii="Times New Roman" w:cs="Times New Roman" w:eastAsia="Times New Roman" w:hAnsi="Times New Roman"/>
          <w:sz w:val="18"/>
          <w:szCs w:val="18"/>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w:t>
      </w:r>
    </w:p>
    <w:p>
      <w:pPr>
        <w:ind w:left="200"/>
        <w:spacing w:after="0"/>
        <w:rPr>
          <w:sz w:val="20"/>
          <w:szCs w:val="20"/>
          <w:color w:val="auto"/>
        </w:rPr>
      </w:pPr>
      <w:r>
        <w:rPr>
          <w:rFonts w:ascii="Times New Roman" w:cs="Times New Roman" w:eastAsia="Times New Roman" w:hAnsi="Times New Roman"/>
          <w:sz w:val="18"/>
          <w:szCs w:val="18"/>
          <w:color w:val="auto"/>
        </w:rPr>
        <w:t>and other healthcare laws and regulations, which could expose us to penalties.</w:t>
      </w:r>
    </w:p>
    <w:p>
      <w:pPr>
        <w:spacing w:after="0" w:line="204" w:lineRule="exact"/>
        <w:rPr>
          <w:sz w:val="20"/>
          <w:szCs w:val="20"/>
          <w:color w:val="auto"/>
        </w:rPr>
      </w:pPr>
    </w:p>
    <w:p>
      <w:pPr>
        <w:ind w:left="200" w:hanging="119"/>
        <w:spacing w:after="0" w:line="208" w:lineRule="auto"/>
        <w:tabs>
          <w:tab w:leader="none" w:pos="200" w:val="left"/>
        </w:tabs>
        <w:numPr>
          <w:ilvl w:val="0"/>
          <w:numId w:val="29"/>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Recently enacted and future legislation may increase the difficulty and cost for us to obtain marketing approval of our product candidates and increase the cost to commercialize our approved products, and any of our product candidates that may be approved in the future and affect the prices thereof.</w:t>
      </w:r>
    </w:p>
    <w:p>
      <w:pPr>
        <w:spacing w:after="0" w:line="196" w:lineRule="exact"/>
        <w:rPr>
          <w:sz w:val="20"/>
          <w:szCs w:val="20"/>
          <w:color w:val="auto"/>
        </w:rPr>
      </w:pPr>
    </w:p>
    <w:p>
      <w:pPr>
        <w:ind w:left="80" w:right="140" w:firstLine="121"/>
        <w:spacing w:after="0" w:line="275" w:lineRule="auto"/>
        <w:rPr>
          <w:sz w:val="20"/>
          <w:szCs w:val="20"/>
          <w:color w:val="auto"/>
        </w:rPr>
      </w:pPr>
      <w:r>
        <w:rPr>
          <w:rFonts w:ascii="Times New Roman" w:cs="Times New Roman" w:eastAsia="Times New Roman" w:hAnsi="Times New Roman"/>
          <w:sz w:val="17"/>
          <w:szCs w:val="17"/>
          <w:color w:val="auto"/>
        </w:rPr>
        <w:t>If we fail to comply with our reporting and payment obligations under the Medicaid Drug Rebate Program or other governmental pricing programs in ●which we participate, we could be subject to additional reimbursement requirements, penalties, sanctions and fines, which could have a material adverse</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effect on our business, financial condition, results of operations and growth prospects.</w:t>
      </w:r>
    </w:p>
    <w:p>
      <w:pPr>
        <w:spacing w:after="0" w:line="2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●Governments outside the United States tend to impose strict price controls, which may affect our revenue, if any.</w:t>
      </w:r>
    </w:p>
    <w:p>
      <w:pPr>
        <w:spacing w:after="0" w:line="223" w:lineRule="exact"/>
        <w:rPr>
          <w:sz w:val="20"/>
          <w:szCs w:val="20"/>
          <w:color w:val="auto"/>
        </w:rPr>
      </w:pPr>
    </w:p>
    <w:p>
      <w:pPr>
        <w:ind w:left="200" w:hanging="119"/>
        <w:spacing w:after="0"/>
        <w:tabs>
          <w:tab w:leader="none" w:pos="200" w:val="left"/>
        </w:tabs>
        <w:numPr>
          <w:ilvl w:val="0"/>
          <w:numId w:val="30"/>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If we fail to comply with environmental, health and safety laws and regulations, we could become subject to fines or penalties or incur costs that could harm our business.</w:t>
      </w:r>
    </w:p>
    <w:p>
      <w:pPr>
        <w:spacing w:after="0" w:line="311" w:lineRule="exact"/>
        <w:rPr>
          <w:rFonts w:ascii="Times New Roman" w:cs="Times New Roman" w:eastAsia="Times New Roman" w:hAnsi="Times New Roman"/>
          <w:sz w:val="29"/>
          <w:szCs w:val="29"/>
          <w:color w:val="auto"/>
          <w:vertAlign w:val="subscript"/>
        </w:rPr>
      </w:pPr>
    </w:p>
    <w:p>
      <w:pPr>
        <w:ind w:left="200"/>
        <w:spacing w:after="0"/>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8"/>
          <w:szCs w:val="18"/>
          <w:color w:val="auto"/>
        </w:rPr>
        <w:t>If our security measures are compromised now, or in the future, or the security, confidentiality, integrity or availability of, our information technology</w:t>
      </w:r>
    </w:p>
    <w:p>
      <w:pPr>
        <w:spacing w:after="0" w:line="27" w:lineRule="exact"/>
        <w:rPr>
          <w:sz w:val="20"/>
          <w:szCs w:val="20"/>
          <w:color w:val="auto"/>
        </w:rPr>
      </w:pPr>
    </w:p>
    <w:p>
      <w:pPr>
        <w:jc w:val="center"/>
        <w:ind w:left="380"/>
        <w:spacing w:after="0" w:line="249" w:lineRule="auto"/>
        <w:rPr>
          <w:sz w:val="20"/>
          <w:szCs w:val="20"/>
          <w:color w:val="auto"/>
        </w:rPr>
      </w:pPr>
      <w:r>
        <w:rPr>
          <w:rFonts w:ascii="Times New Roman" w:cs="Times New Roman" w:eastAsia="Times New Roman" w:hAnsi="Times New Roman"/>
          <w:sz w:val="18"/>
          <w:szCs w:val="18"/>
          <w:color w:val="auto"/>
        </w:rPr>
        <w:t>systems, software, services, communications or data is compromised, limited or fails, this could result in a material adverse impact, including without ●limitation, a material interruption to our operations, harm to our reputation, significant fines, penalties and liability, breach or a triggering of data protection laws, privacy policies and data protection obligations, loss of customers or sales, or material disruption of our clinical trials, commercialization</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or other business activities.</w:t>
      </w:r>
    </w:p>
    <w:p>
      <w:pPr>
        <w:spacing w:after="0" w:line="204" w:lineRule="exact"/>
        <w:rPr>
          <w:sz w:val="20"/>
          <w:szCs w:val="20"/>
          <w:color w:val="auto"/>
        </w:rPr>
      </w:pPr>
    </w:p>
    <w:p>
      <w:pPr>
        <w:jc w:val="center"/>
        <w:ind w:left="380"/>
        <w:spacing w:after="0" w:line="254" w:lineRule="auto"/>
        <w:rPr>
          <w:sz w:val="20"/>
          <w:szCs w:val="20"/>
          <w:color w:val="auto"/>
        </w:rPr>
      </w:pPr>
      <w:r>
        <w:rPr>
          <w:rFonts w:ascii="Times New Roman" w:cs="Times New Roman" w:eastAsia="Times New Roman" w:hAnsi="Times New Roman"/>
          <w:sz w:val="18"/>
          <w:szCs w:val="18"/>
          <w:color w:val="auto"/>
        </w:rPr>
        <w:t>Failure or perceived failure to comply with existing or future laws, regulations, contracts, self-regulatory schemes, policies, standards and other obligations related to data privacy or security could lead to government enforcement actions (which could include civil or criminal fines or penalties), a ●disruption of our clinical trials or commercialization of our products, private litigation, other liabilities and/or adverse publicity. Compliance, or the failure to comply with such obligations, could increase the costs of our products, could limit their use, and could otherwise negatively affect our operating</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results and business.</w:t>
      </w:r>
    </w:p>
    <w:p>
      <w:pPr>
        <w:spacing w:after="0" w:line="204" w:lineRule="exact"/>
        <w:rPr>
          <w:sz w:val="20"/>
          <w:szCs w:val="20"/>
          <w:color w:val="auto"/>
        </w:rPr>
      </w:pPr>
    </w:p>
    <w:p>
      <w:pPr>
        <w:ind w:left="200" w:hanging="119"/>
        <w:spacing w:after="0"/>
        <w:tabs>
          <w:tab w:leader="none" w:pos="200" w:val="left"/>
        </w:tabs>
        <w:numPr>
          <w:ilvl w:val="0"/>
          <w:numId w:val="31"/>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We are subject to complex and changing laws and regulations, which exposes us to potential liabilities, increased costs and other adverse effects on our business.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Employee Matters and Managing Our Growth</w:t>
      </w:r>
    </w:p>
    <w:p>
      <w:pPr>
        <w:spacing w:after="0" w:line="2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Our future success depends on our ability to retain key executives and to attract, retain and motivate qualified personnel.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 and Our Status as a Public Company</w:t>
      </w:r>
    </w:p>
    <w:p>
      <w:pPr>
        <w:spacing w:after="0" w:line="2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trading price of the shares of our common stock is likely to be volatile, and purchasers of our common stock could incur substantial losses.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●Future sales and issuances of equity and debt could result in additional dilution to our stockholders.</w:t>
      </w:r>
    </w:p>
    <w:p>
      <w:pPr>
        <w:spacing w:after="0" w:line="223" w:lineRule="exact"/>
        <w:rPr>
          <w:sz w:val="20"/>
          <w:szCs w:val="20"/>
          <w:color w:val="auto"/>
        </w:rPr>
      </w:pPr>
    </w:p>
    <w:p>
      <w:pPr>
        <w:ind w:left="200" w:right="20" w:hanging="119"/>
        <w:spacing w:after="0" w:line="208" w:lineRule="auto"/>
        <w:tabs>
          <w:tab w:leader="none" w:pos="200" w:val="left"/>
        </w:tabs>
        <w:numPr>
          <w:ilvl w:val="0"/>
          <w:numId w:val="32"/>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Sales of a substantial number of shares of our common stock in the public market could cause the market price of our common stock to drop significantly, even if our business is doing well.</w:t>
      </w:r>
    </w:p>
    <w:p>
      <w:pPr>
        <w:spacing w:after="0" w:line="196" w:lineRule="exact"/>
        <w:rPr>
          <w:sz w:val="20"/>
          <w:szCs w:val="20"/>
          <w:color w:val="auto"/>
        </w:rPr>
      </w:pPr>
    </w:p>
    <w:p>
      <w:pPr>
        <w:ind w:left="80" w:firstLine="121"/>
        <w:spacing w:after="0" w:line="275" w:lineRule="auto"/>
        <w:rPr>
          <w:sz w:val="20"/>
          <w:szCs w:val="20"/>
          <w:color w:val="auto"/>
        </w:rPr>
      </w:pPr>
      <w:r>
        <w:rPr>
          <w:rFonts w:ascii="Times New Roman" w:cs="Times New Roman" w:eastAsia="Times New Roman" w:hAnsi="Times New Roman"/>
          <w:sz w:val="17"/>
          <w:szCs w:val="17"/>
          <w:color w:val="auto"/>
        </w:rPr>
        <w:t>Anti-takeover provisions in our amended and restated certificate of incorporation and amended and restated bylaws, as well as provisions of Delaware ●law and the terms of some of our contracts, might discourage, delay or prevent a change in control of our company or changes in our board of directors or</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management and, therefore, depress the price of our common stock.</w:t>
      </w:r>
    </w:p>
    <w:p>
      <w:pPr>
        <w:spacing w:after="0" w:line="204" w:lineRule="exact"/>
        <w:rPr>
          <w:sz w:val="20"/>
          <w:szCs w:val="20"/>
          <w:color w:val="auto"/>
        </w:rPr>
      </w:pPr>
    </w:p>
    <w:p>
      <w:pPr>
        <w:ind w:left="200" w:hanging="119"/>
        <w:spacing w:after="0" w:line="208" w:lineRule="auto"/>
        <w:tabs>
          <w:tab w:leader="none" w:pos="200" w:val="left"/>
        </w:tabs>
        <w:numPr>
          <w:ilvl w:val="0"/>
          <w:numId w:val="33"/>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If we engage in acquisitions to grow our business, we will incur a variety of costs and may potentially face numerous risks that could adversely affect our business and operations and cause our stock price to decline.</w:t>
      </w:r>
    </w:p>
    <w:p>
      <w:pPr>
        <w:spacing w:after="0" w:line="196" w:lineRule="exact"/>
        <w:rPr>
          <w:rFonts w:ascii="Times New Roman" w:cs="Times New Roman" w:eastAsia="Times New Roman" w:hAnsi="Times New Roman"/>
          <w:sz w:val="29"/>
          <w:szCs w:val="29"/>
          <w:color w:val="auto"/>
          <w:vertAlign w:val="subscript"/>
        </w:rPr>
      </w:pPr>
    </w:p>
    <w:p>
      <w:pPr>
        <w:ind w:left="200" w:right="20" w:hanging="119"/>
        <w:spacing w:after="0" w:line="208" w:lineRule="auto"/>
        <w:tabs>
          <w:tab w:leader="none" w:pos="200" w:val="left"/>
        </w:tabs>
        <w:numPr>
          <w:ilvl w:val="0"/>
          <w:numId w:val="33"/>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We could be negatively affected as a result of the actions of activist stockholders, which could be disruptive and costly and may conflict with or disrupt the strategic direction of our business.</w:t>
      </w:r>
    </w:p>
    <w:p>
      <w:pPr>
        <w:spacing w:after="0" w:line="196" w:lineRule="exact"/>
        <w:rPr>
          <w:rFonts w:ascii="Times New Roman" w:cs="Times New Roman" w:eastAsia="Times New Roman" w:hAnsi="Times New Roman"/>
          <w:sz w:val="29"/>
          <w:szCs w:val="29"/>
          <w:color w:val="auto"/>
          <w:vertAlign w:val="subscript"/>
        </w:rPr>
      </w:pPr>
    </w:p>
    <w:p>
      <w:pPr>
        <w:ind w:left="200" w:hanging="119"/>
        <w:spacing w:after="0" w:line="208" w:lineRule="auto"/>
        <w:tabs>
          <w:tab w:leader="none" w:pos="200" w:val="left"/>
        </w:tabs>
        <w:numPr>
          <w:ilvl w:val="0"/>
          <w:numId w:val="33"/>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We may be subject to securities litigation, class action and derivative lawsuits, which could result in substantial costs and could divert management attention away from other business concerns.</w:t>
      </w:r>
    </w:p>
    <w:p>
      <w:pPr>
        <w:spacing w:after="0" w:line="1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w:t>
      </w:r>
    </w:p>
    <w:p>
      <w:pPr>
        <w:sectPr>
          <w:pgSz w:w="11900" w:h="16868" w:orient="portrait"/>
          <w:cols w:equalWidth="0" w:num="1">
            <w:col w:w="11260"/>
          </w:cols>
          <w:pgMar w:left="300" w:top="336" w:right="339" w:bottom="0" w:gutter="0" w:footer="0" w:header="0"/>
        </w:sectPr>
      </w:pPr>
    </w:p>
    <w:bookmarkStart w:id="37" w:name="page38"/>
    <w:bookmarkEnd w:id="37"/>
    <w:p>
      <w:pPr>
        <w:ind w:left="200"/>
        <w:spacing w:after="0" w:line="280" w:lineRule="auto"/>
        <w:rPr>
          <w:sz w:val="20"/>
          <w:szCs w:val="20"/>
          <w:color w:val="auto"/>
        </w:rPr>
      </w:pPr>
      <w:r>
        <w:rPr>
          <w:rFonts w:ascii="Times New Roman" w:cs="Times New Roman" w:eastAsia="Times New Roman" w:hAnsi="Times New Roman"/>
          <w:sz w:val="18"/>
          <w:szCs w:val="18"/>
          <w:color w:val="auto"/>
        </w:rPr>
        <w:t>substantially all disputes between us and our stockholders, which could limit our stockholders’ ability to obtain a favorable judicial forum for disputes with us or our directors, officers or other employees.</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●We might not be able to utilize a significant portion of our net operating loss carryforwards, which could adversely affect our profitability.</w:t>
      </w:r>
    </w:p>
    <w:p>
      <w:pPr>
        <w:spacing w:after="0" w:line="223" w:lineRule="exact"/>
        <w:rPr>
          <w:sz w:val="20"/>
          <w:szCs w:val="20"/>
          <w:color w:val="auto"/>
        </w:rPr>
      </w:pPr>
    </w:p>
    <w:p>
      <w:pPr>
        <w:ind w:left="200" w:right="20" w:hanging="119"/>
        <w:spacing w:after="0" w:line="208" w:lineRule="auto"/>
        <w:tabs>
          <w:tab w:leader="none" w:pos="200" w:val="left"/>
        </w:tabs>
        <w:numPr>
          <w:ilvl w:val="0"/>
          <w:numId w:val="34"/>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Changes in tax laws or regulations that are applied adversely to us may have a material adverse effect on our business, cash flow, financial condition or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03" w:lineRule="exact"/>
        <w:rPr>
          <w:sz w:val="20"/>
          <w:szCs w:val="20"/>
          <w:color w:val="auto"/>
        </w:rPr>
      </w:pPr>
    </w:p>
    <w:p>
      <w:pPr>
        <w:ind w:left="200" w:hanging="119"/>
        <w:spacing w:after="0"/>
        <w:tabs>
          <w:tab w:leader="none" w:pos="200" w:val="left"/>
        </w:tabs>
        <w:numPr>
          <w:ilvl w:val="0"/>
          <w:numId w:val="35"/>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5"/>
          <w:szCs w:val="15"/>
          <w:color w:val="auto"/>
        </w:rPr>
        <w:t>An</w:t>
      </w:r>
      <w:r>
        <w:rPr>
          <w:rFonts w:ascii="Times New Roman" w:cs="Times New Roman" w:eastAsia="Times New Roman" w:hAnsi="Times New Roman"/>
          <w:sz w:val="28"/>
          <w:szCs w:val="28"/>
          <w:color w:val="auto"/>
          <w:vertAlign w:val="subscript"/>
        </w:rPr>
        <w:t>all.</w:t>
      </w:r>
      <w:r>
        <w:rPr>
          <w:rFonts w:ascii="Times New Roman" w:cs="Times New Roman" w:eastAsia="Times New Roman" w:hAnsi="Times New Roman"/>
          <w:sz w:val="15"/>
          <w:szCs w:val="15"/>
          <w:color w:val="auto"/>
        </w:rPr>
        <w:t xml:space="preserve"> active trading market for our common stock may not be sustained and you may not be able to resell your shares of our common stock for a profit, if at</w:t>
      </w:r>
    </w:p>
    <w:p>
      <w:pPr>
        <w:spacing w:after="0" w:line="335" w:lineRule="exact"/>
        <w:rPr>
          <w:rFonts w:ascii="Times New Roman" w:cs="Times New Roman" w:eastAsia="Times New Roman" w:hAnsi="Times New Roman"/>
          <w:sz w:val="29"/>
          <w:szCs w:val="29"/>
          <w:color w:val="auto"/>
          <w:vertAlign w:val="subscript"/>
        </w:rPr>
      </w:pPr>
    </w:p>
    <w:p>
      <w:pPr>
        <w:ind w:left="200" w:hanging="119"/>
        <w:spacing w:after="0" w:line="208" w:lineRule="auto"/>
        <w:tabs>
          <w:tab w:leader="none" w:pos="200" w:val="left"/>
        </w:tabs>
        <w:numPr>
          <w:ilvl w:val="0"/>
          <w:numId w:val="35"/>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If equity research analysts do not publish research or reports, or publish unfavorable research or reports, about us, our business or our market, our stock price and trading volume could decline.</w:t>
      </w:r>
    </w:p>
    <w:p>
      <w:pPr>
        <w:spacing w:after="0" w:line="196" w:lineRule="exact"/>
        <w:rPr>
          <w:rFonts w:ascii="Times New Roman" w:cs="Times New Roman" w:eastAsia="Times New Roman" w:hAnsi="Times New Roman"/>
          <w:sz w:val="29"/>
          <w:szCs w:val="29"/>
          <w:color w:val="auto"/>
          <w:vertAlign w:val="subscript"/>
        </w:rPr>
      </w:pPr>
    </w:p>
    <w:p>
      <w:pPr>
        <w:ind w:left="200" w:hanging="119"/>
        <w:spacing w:after="0" w:line="208" w:lineRule="auto"/>
        <w:tabs>
          <w:tab w:leader="none" w:pos="200" w:val="left"/>
        </w:tabs>
        <w:numPr>
          <w:ilvl w:val="0"/>
          <w:numId w:val="35"/>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●We incur increased costs and demands upon management as a result of being a public company.</w:t>
      </w:r>
    </w:p>
    <w:p>
      <w:pPr>
        <w:spacing w:after="0" w:line="223" w:lineRule="exact"/>
        <w:rPr>
          <w:sz w:val="20"/>
          <w:szCs w:val="20"/>
          <w:color w:val="auto"/>
        </w:rPr>
      </w:pPr>
    </w:p>
    <w:p>
      <w:pPr>
        <w:ind w:left="200" w:right="20" w:hanging="119"/>
        <w:spacing w:after="0" w:line="208" w:lineRule="auto"/>
        <w:tabs>
          <w:tab w:leader="none" w:pos="200" w:val="left"/>
        </w:tabs>
        <w:numPr>
          <w:ilvl w:val="0"/>
          <w:numId w:val="36"/>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Adverse developments affecting the financial services industry, including events or concerns involving liquidity, defaults, or non-performance by financial institutions, could adversely affect our business, financial conditions or results of operations.</w:t>
      </w:r>
    </w:p>
    <w:p>
      <w:pPr>
        <w:spacing w:after="0" w:line="196"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You should carefully consider all the risk factors and uncertainties described below, in addition to other information contained in this Annual Report on Form 10-K, including the section of this report titled “Management’s Discussion and Analysis of Financial Condition and Results of Operations” and our financial statements and related notes, before investing in our common stock. If any of the following risks materialize, our business, financial condition and results of operations could be seriously harmed. This Annual Report on Form 10-K also contains forward-looking statements that involve risks and uncertainties. Our actual results could differ materially from those anticipated in the forward-looking statements because of factors that are described below and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Approved Products and Product Candidates</w:t>
      </w:r>
    </w:p>
    <w:p>
      <w:pPr>
        <w:spacing w:after="0" w:line="223" w:lineRule="exact"/>
        <w:rPr>
          <w:sz w:val="20"/>
          <w:szCs w:val="20"/>
          <w:color w:val="auto"/>
        </w:rPr>
      </w:pPr>
    </w:p>
    <w:p>
      <w:pPr>
        <w:ind w:left="20" w:right="3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sales, marketing and distribution capabilities for our approved products or product candidates, if approved, we may not be successful in commercializing any approved product candidate in the United States or any other jurisdictions.</w:t>
      </w:r>
    </w:p>
    <w:p>
      <w:pPr>
        <w:spacing w:after="0" w:line="159"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We currently have limited marketing and sales experience. In order to commercialize OLPRUVA for oral suspension in the U.S. for the treatment of certain patients with UCDs and MIPLYFFA, an orally-delivered treatment for NPC, we have added marketing, sales, medical affairs, distribution, managerial and other non-technical capabilities, or have made arrangements with third parties to perform these services. For any of our other product candidates that receive marketing approval we may have to augment our commercial capabilities or make arrangements with third parties to perform additional services, and we may not be successful in doing any of the foregoing. Building and maintaining a targeted specialty sales force is expensive and time consuming. Any failure or delay in the development of our internal sales, marketing and distribution capabilities would adversely impact our commercialization efforts. We may choose to collaborate with third parties that have their own sales forces and established distribution systems, in lieu of or to augment any sales force and distribution systems we may create. If we are unable to enter into collaborations with third parties for the commercialization of approved product candidates, if any, on acceptable terms or at all, or if any such collaborator does not devote sufficient resources to the commercialization of our product or otherwise fails in commercialization efforts, we may not be able to successfully commercialize our product candidates that receive marketing approval. If we are not successful in commercializing our product candidates that receive marketing approval, either on our own or through collaborations with one or more third parties, our potential future revenue will be materially and adversely impacted.</w:t>
      </w:r>
    </w:p>
    <w:p>
      <w:pPr>
        <w:spacing w:after="0" w:line="18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Establishing our own sales, marketing and distribution capabilities, involves a number of risks.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approved products and product candidates on our own include:</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●our inability to access government and commercial health plan formularies or secure preferred coverage and adequate reimbursement levels;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inability of sales personnel to obtain access to physicians or achieve adequate numbers of physicians to prescribe any future prodrug products;</w:t>
      </w:r>
    </w:p>
    <w:p>
      <w:pPr>
        <w:spacing w:after="0" w:line="223" w:lineRule="exact"/>
        <w:rPr>
          <w:sz w:val="20"/>
          <w:szCs w:val="20"/>
          <w:color w:val="auto"/>
        </w:rPr>
      </w:pPr>
    </w:p>
    <w:p>
      <w:pPr>
        <w:ind w:left="200" w:right="20" w:hanging="120"/>
        <w:spacing w:after="0" w:line="280" w:lineRule="auto"/>
        <w:rPr>
          <w:sz w:val="20"/>
          <w:szCs w:val="20"/>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relative to companies with more extensive product lines;</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●liability for personnel, including sales personnel, failing to comply with applicable legal requirements; and</w:t>
      </w:r>
    </w:p>
    <w:p>
      <w:pPr>
        <w:spacing w:after="0" w:line="223" w:lineRule="exact"/>
        <w:rPr>
          <w:sz w:val="20"/>
          <w:szCs w:val="20"/>
          <w:color w:val="auto"/>
        </w:rPr>
      </w:pPr>
    </w:p>
    <w:p>
      <w:pPr>
        <w:ind w:left="200" w:hanging="120"/>
        <w:spacing w:after="0" w:line="280" w:lineRule="auto"/>
        <w:rPr>
          <w:sz w:val="20"/>
          <w:szCs w:val="20"/>
          <w:color w:val="auto"/>
        </w:rPr>
      </w:pPr>
      <w:r>
        <w:rPr>
          <w:rFonts w:ascii="Times New Roman" w:cs="Times New Roman" w:eastAsia="Times New Roman" w:hAnsi="Times New Roman"/>
          <w:sz w:val="18"/>
          <w:szCs w:val="18"/>
          <w:color w:val="auto"/>
        </w:rPr>
        <w:t>●costs associated with maintaining compliance with the FDA’s marketing and promotional requirements, including ongoing training and monitoring, as well as unforeseen costs and expenses associated with creating an independent sales and marketing organization.</w:t>
      </w:r>
    </w:p>
    <w:p>
      <w:pPr>
        <w:spacing w:after="0" w:line="162"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If we decide to enter into arrangements with third parties to perform these services for certain of our product candidates, our product revenue and our profitability, if any, are likely to be lower than if we were to sell, market and distribute any product candidates that we develop ourselves. In addition, we may not be successful in entering into arrangements with third parties to sell, market and distribute our product candidates in the future, or may be unable to do so on terms that are favorable to us. We likely will have little control over such third parties, including Corium, and any of them may fail to devote the necessary resources and attention to sell and market our approved products, or any of our product candidates, if approved, effectively. Further, we may be liable for conduct of third parties, including Corium, acting on our behalf, including failure to comply with legal requirements applicable to sales and marketing of our product or product candidates, if approved. If we do not establish sales, marketing and distribution capabilities successfully, either on our own or in collaboration with third parties, we will not be successful in commercializing our approved products, or any of our product candidates, if approved.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approved products, or any of our product candidates that may receive marketing approval, may fail to achieve the degree of market acceptance by physicians, patients, third-party payors and others in the medical community necessary for commercial success.</w:t>
      </w:r>
    </w:p>
    <w:p>
      <w:pPr>
        <w:spacing w:after="0" w:line="159" w:lineRule="exact"/>
        <w:rPr>
          <w:sz w:val="20"/>
          <w:szCs w:val="20"/>
          <w:color w:val="auto"/>
        </w:rPr>
      </w:pPr>
    </w:p>
    <w:p>
      <w:pPr>
        <w:ind w:left="20" w:right="220"/>
        <w:spacing w:after="0" w:line="256" w:lineRule="auto"/>
        <w:rPr>
          <w:sz w:val="20"/>
          <w:szCs w:val="20"/>
          <w:color w:val="auto"/>
        </w:rPr>
      </w:pPr>
      <w:r>
        <w:rPr>
          <w:rFonts w:ascii="Times New Roman" w:cs="Times New Roman" w:eastAsia="Times New Roman" w:hAnsi="Times New Roman"/>
          <w:sz w:val="18"/>
          <w:szCs w:val="18"/>
          <w:color w:val="auto"/>
        </w:rPr>
        <w:t>Our approved products, or any of our product candidates that may receive marketing approval, may fail to gain sufficient market acceptance by physicians, patients, third-party payors and others in the medical community. If our approved products, or any of our product candidates, if approved for commercial sale, do not achieve an adequate level of market acceptance, they may not generate significant product revenue and we may not become profitable. The degree of market acceptance of our approved products, or any of our product candidates if approved for commercial sale, will depend on a number of factors, including:</w:t>
      </w:r>
    </w:p>
    <w:p>
      <w:pPr>
        <w:spacing w:after="0" w:line="1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efficacy and potential advantages compared to alternative treatments, including less expensive generic treatments;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ability to obtain differentiating claims in the labels for most of our product candidates;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●our ability to offer our prodrug products for sale at competitive prices;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cost of treatment in relation to alternative treatments;</w:t>
      </w:r>
    </w:p>
    <w:p>
      <w:pPr>
        <w:spacing w:after="0" w:line="223" w:lineRule="exact"/>
        <w:rPr>
          <w:sz w:val="20"/>
          <w:szCs w:val="20"/>
          <w:color w:val="auto"/>
        </w:rPr>
      </w:pPr>
    </w:p>
    <w:p>
      <w:pPr>
        <w:ind w:left="200" w:right="100" w:hanging="120"/>
        <w:spacing w:after="0" w:line="280" w:lineRule="auto"/>
        <w:rPr>
          <w:sz w:val="20"/>
          <w:szCs w:val="20"/>
          <w:color w:val="auto"/>
        </w:rPr>
      </w:pPr>
      <w:r>
        <w:rPr>
          <w:rFonts w:ascii="Times New Roman" w:cs="Times New Roman" w:eastAsia="Times New Roman" w:hAnsi="Times New Roman"/>
          <w:sz w:val="18"/>
          <w:szCs w:val="18"/>
          <w:color w:val="auto"/>
        </w:rPr>
        <w:t>●the steps that prescribers and dispensers must take for approved products are or any of our product candidates that may be considered controlled substances in the future, as well as the perceived risks based upon their controlled substance status;</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ability to manufacture our product in sufficient quantities and yields;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strength of marketing and distribution support;</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availability of third-party coverage and adequate reimbursement or willingness of patients to pay out of pocket in the absence of third-party coverage;</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prevalence and severity of any side effects;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●any potential unfavorable publicity;</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●any restrictions on the use, sale or distribution of our approved products or any of our product candidates, including through REMS; and</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●any restrictions on the use of our prodrug products together with other medications.</w:t>
      </w:r>
    </w:p>
    <w:p>
      <w:pPr>
        <w:spacing w:after="0" w:line="219" w:lineRule="exact"/>
        <w:rPr>
          <w:sz w:val="20"/>
          <w:szCs w:val="20"/>
          <w:color w:val="auto"/>
        </w:rPr>
      </w:pPr>
    </w:p>
    <w:p>
      <w:pPr>
        <w:ind w:left="20" w:right="5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Because the target patient population for certain of our products is small, we must achieve significant market share and obtain relatively high per-patient prices for our products to achieve meaningful gross margins.</w:t>
      </w:r>
    </w:p>
    <w:p>
      <w:pPr>
        <w:spacing w:after="0" w:line="15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Our products target diseases with a small patient population. A key component of the successful commercialization of an approved product for thes indications includes identification of patients and a targeted prescriber base for such product. Due to small patient populations for certain of our products, w believe that we would need to have significant market penetration to achieve meaningful revenues and identifying patients and targeting the prescriber base ar key to achieving significant market penetration. Typically, drugs for conditions with small prevalence have higher prices in order to generate a return o investment, and as a result, the per-patient prices at which we sell our products are relatively high in order for us to generate an appropriate return for th investment in these product development programs and achieve meaningful gross margins.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There can be no assurance that we will be successful in achieving a sufficient degree of market penetration and/or obtaining or maintaining high per-patien prices for OLPRUVA and MIPLYFFA for diseases with small patient populations. Further, even if we obtain significant market share for OLPRUVA an MIPLYFFA, because the potential target populations are very small, we may not be able to maintain profitability despite obtaining such significant marke share. Additionally, patients who discontinue therapy or do not fill prescriptions are not easily replaced by new patients, given the limited patient population.</w:t>
      </w:r>
    </w:p>
    <w:p>
      <w:pPr>
        <w:spacing w:after="0" w:line="39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60"/>
          </w:cols>
          <w:pgMar w:left="300" w:top="121" w:right="23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developing or commercializing products before or more successfully than we do.</w:t>
      </w:r>
    </w:p>
    <w:p>
      <w:pPr>
        <w:spacing w:after="0" w:line="227" w:lineRule="exact"/>
        <w:rPr>
          <w:sz w:val="20"/>
          <w:szCs w:val="20"/>
          <w:color w:val="auto"/>
        </w:rPr>
      </w:pPr>
    </w:p>
    <w:p>
      <w:pPr>
        <w:jc w:val="both"/>
        <w:ind w:left="20" w:right="100"/>
        <w:spacing w:after="0" w:line="256" w:lineRule="auto"/>
        <w:rPr>
          <w:sz w:val="20"/>
          <w:szCs w:val="20"/>
          <w:color w:val="auto"/>
        </w:rPr>
      </w:pPr>
      <w:r>
        <w:rPr>
          <w:rFonts w:ascii="Times New Roman" w:cs="Times New Roman" w:eastAsia="Times New Roman" w:hAnsi="Times New Roman"/>
          <w:sz w:val="18"/>
          <w:szCs w:val="18"/>
          <w:color w:val="auto"/>
        </w:rPr>
        <w:t>Our industry is characterized by rapidly advancing technologies, intense competition and a strong emphasis on proprietary products. We will face competition and potential competition from a number of sources, including pharmaceutical and biotechnology companies, specialty pharmaceutical companies, generic drug companies, drug delivery companies and academic and research institutions. Our competitors may develop or market drugs that are more effective, more convenient, more widely used and less costly or have a better safety profile than our products or product candidates and these competitors may also have significantly more resources than us and be more successful than us in manufacturing and marketing their products.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1. "Business—Competitors” of this Annual Report on Form 10-K for information regarding our competitors.</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Many of our potential competitors have substantially greater financial, technical and human resources than we do, as well as more experience in th development of product candidates, obtaining FDA and other regulatory approvals of products and the commercialization of those products. Consequently, ou competitors may develop products for indications we are pursuing or may pursue in the future, and such competitors’ products may be more effective, bette tolerated and less costly than our product candidates. Our competitors may also be more successful in manufacturing and marketing their products than we are We will also face competition in recruiting and retaining qualified personnel and establishing clinical trial sites and patient enrollment in clinical trials.</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competitors also may obtain FDA or other regulatory approval for their product candidates more rapidly than we may obtain approval for ours, whic could result in our competitors establishing a strong market position before we are able to enter the market. If the competitor’s product were similar to ou product candidates, we may be required to seek approval via alternative pathways, such as the ANDA, which is used for the development of generic dru products. We may also be blocked from product marketing by periods of patent protection or regulatory exclusivity.</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our ability to compete may be affected in many cases by insurers or other third-party payors seeking to encourage the use of generic drugs o giving drugs with improved attributes sufficient weight in a comparative clinical cost effectiveness analysis. For some of the indications that we are pursuing drugs used off-label serve as cheaper alternatives to our product candidates. Their lower prices could result in significant pricing pressure, even if our produc candidates are otherwise viewed as a preferable therapy. Additional drugs may become available on a generic basis over the coming years.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 our competitors. Smaller and other early-stage companies may also prove to be significant competitors, particularly through collaborative arrangements wit large and established companies.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Consequently, our competitors may develop products for the treatment of ADHD, pain, UCDs, or for other indications pursue or we may pursue in the future and such competitors’ products may be more effective, better tolerated and less costly than our product candidates. Our competitors may also be mor successful in manufacturing and marketing their products than we are. We will also face competition in recruiting and retaining qualified personnel an establishing clinical trial sites and subject enrollment in clinical trials.</w:t>
      </w:r>
    </w:p>
    <w:p>
      <w:pPr>
        <w:spacing w:after="0" w:line="39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60"/>
          </w:cols>
          <w:pgMar w:left="300" w:top="121" w:right="239"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either three-year FDA regulatory exclusivity or five-year FDA regulatory exclusivity as a new chemical entity.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provides periods of regulatory exclusivity following their approval of an NDA, which provide the holder of an approved NDA limited protectio from new competition in the marketplace for the innovation represented by its approved drug. Five-year exclusivity precludes approval of 505(b)(2 applications or ANDAs by delaying the submission or approval of the application, while three-year exclusivity precludes the approval of the application. W intend to seek new chemical entity, or NCE, status for any of our prodrug product candidates as appropriate. Five years of exclusivity are available to NCE following the approval of an NDA by the FDA. An NCE is a drug that contains no active moiety that has been approved by the FDA in any other NDA. If product is not eligible for NCE exclusivity, it may be eligible for three years of exclusivity. Three-year exclusivity is available to the holder of an NDA including a 505(b)(2) NDA, for a particular condition of approval, or change to a marketed product, such as a new formulation for a previously approve product, if one or more new clinical trials, other than bioavailability or bioequivalence trials, were essential to the approval of the application and wer conducted or sponsored by the applicant.</w:t>
      </w:r>
    </w:p>
    <w:p>
      <w:pPr>
        <w:spacing w:after="0" w:line="18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There is a risk that the FDA may disagree with any claim that we may make that any of our prodrug product candidates are NCEs and therefore entitled t five-year exclusivity. The FDA may also take the view that the studies that we are conducting are not clinical trials, other than bioavailability an bioequivalence studies, that are essential to approval and therefore do not support three-year exclusivity. Further, to the extent that the basis for exclusivity i not clear, the FDA may determine to defer a decision until it receives an application which necessitates a decision.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If we do obtain either five or three years of exclusivity, such exclusivity will not block all potential competitors from the market. Competitors may be able t obtain approval for similar products with different forms of competitive differentiating mechanisms or may be able to obtain approval for similar product without a competitive differentiating mechanism.</w:t>
      </w:r>
    </w:p>
    <w:p>
      <w:pPr>
        <w:spacing w:after="0" w:line="173"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Even if we or our collaborators are able to commercialize our approved products, or any of our product candidates, if approved, they may be subject to unfavorable pricing regulations, third-party coverage and reimbursement policies.</w:t>
      </w:r>
    </w:p>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successful commercialization of our approved products, and any of our product candidates for which marketing approval is obtained will depend, in part on the extent to which coverage and adequate reimbursement for AZSTARYS, OLPRUVA, MIPLYFFA or any of our product candidates for which marketin approval is obtained, will be available from government payor programs at the federal and state levels, including Medicare and Medicaid, private healt insurers and managed care plans and other third-party payors. Government authorities and other third-party payors decide which medical products they wil pay for and establish reimbursement levels, including co-payments. A trend in the U.S. healthcare industry and elsewhere is cost containment. Governmen authorities and other third-party payors have attempted to control costs by limiting coverage and the amount of reimbursement for particular medical products Increasingly, third-party payors are requiring that drug companies provide them with predetermined discounts from list prices and are challenging the price charged for drugs and products. Coverage and reimbursement may not be available for any product that we commercialize and, even if these are available, th level of reimbursement may not be satisfactory. Inadequate reimbursement levels may adversely affect the demand for, or the price of, our approved products or any of our product candidates for which we obtain marketing approval. We may be required to conduct expensive pharmacoeconomic studies to justif coverage and reimbursement or the level of reimbursement relative to other therapies. Moreover, the trend has been for government and commercial healt plans and their pharmacy benefit managers to commoditize drug products through therapeutic equivalence determinations, making formulary decisions base on cost. If coverage and adequate reimbursement are not available or reimbursement is available only at limited levels, we may not be able to successfull commercialize our approved products or commercialize any of our product candidates for which marketing approval is obtained.</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prodrug products, and coverage may be more limited than th indications for which the product is approved by the FDA or similar regulatory authorities outside the United States. Moreover, eligibility for coverage an reimbursement does not imply that a product will be paid for in all cases or at a rate that covers our costs, including research, development, manufacture, sal and distribution expenses. Interim reimbursement levels for new prodrug products, if applicable, may also not be sufficient to cover our costs and may not b made permanent. Reimbursement rates may vary according to the use of the product and the clinical setting in which it is used, may be based o reimbursement levels already set for lower cost drugs and may be incorporated into existing payments for other services. Net prices for prodrug products ma be reduced by mandatory discounts or rebates required by government healthcare programs or private payors and by any future relaxation of laws tha presently restrict imports of drugs from countries where they may be sold at lower prices than in the United States. Private third-party payors often rely upo Medicare coverage policy and payment limitations in setting their own reimbursement policies. Except for certain government health care programs, such a the Department of Defense’s TRICARE Uniform Formulary, no uniform policy requirement for coverage and reimbursement for drug products exists amon third-party payors in the United States. Even state Medicaid programs have their own preferred drug lists that may disadvantage non-preferred brand drugs Therefore, coverage and reimbursement can differ significantly from payor to payor. As a result, the coverage determination process is often a time-consumin and costly process that will require us to provide scientific and clinical support for the use of our products to each payor separately, with no assurance tha coverage and adequate reimbursement will be applied consistently or obtained at all. Our inability to promptly obtain coverage and adequate reimbursemen rates from both government-funded and private payors for any approved products or product candidates that that we develop could significantly harm ou operating results, our ability to raise capital needed to commercialize our products and our overall financial condition.</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drugs vary widely from country to country. Current and futur legislation may significantly change the approval requirements in ways that could involve additional costs and cause delays in obtaining approvals. Som countries require approval of the sale price of a product before it can be marketed. In many countries, the pricing review period begins after marketing o product licensing approval is granted. In some foreign markets, prescription pharmaceutical pricing remains subject to continuing governmental control eve after initial approval is granted. As a result, we might obtain marketing approval for a product in a particular country, but then be subject to price regulation that delay commercial launch of the product, possibly for lengthy time periods, and negatively impact the revenue able to be generated from the sale of th product in that country. Adverse pricing limitations may hinder our ability to recoup our investment in one or more product candidates, even if our produc candidates obtain marketing approval.</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There can be no assurance that our approved products, or any of our product candidates, if they are approved for sale in the United States or in other countries will be considered medically reasonable and necessary for a specific indication, that they will be considered cost-effective by third-party payors, that coverag or an adequate level of reimbursement will be available, or that third-party payors’ reimbursement policies will not adversely affect the ability to sell ou approved products, or our ability to sell any of any of our product candidates profitably if they are approved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331470</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60"/>
          </w:cols>
          <w:pgMar w:left="300" w:top="121" w:right="239" w:bottom="855"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enforcement action if we engage in improper marketing or promotion of our products.</w:t>
      </w:r>
    </w:p>
    <w:p>
      <w:pPr>
        <w:spacing w:after="0" w:line="227" w:lineRule="exact"/>
        <w:rPr>
          <w:sz w:val="20"/>
          <w:szCs w:val="20"/>
          <w:color w:val="auto"/>
        </w:rPr>
      </w:pPr>
    </w:p>
    <w:p>
      <w:pPr>
        <w:jc w:val="both"/>
        <w:ind w:left="20" w:right="80"/>
        <w:spacing w:after="0" w:line="254" w:lineRule="auto"/>
        <w:rPr>
          <w:sz w:val="20"/>
          <w:szCs w:val="20"/>
          <w:color w:val="auto"/>
        </w:rPr>
      </w:pPr>
      <w:r>
        <w:rPr>
          <w:rFonts w:ascii="Times New Roman" w:cs="Times New Roman" w:eastAsia="Times New Roman" w:hAnsi="Times New Roman"/>
          <w:sz w:val="18"/>
          <w:szCs w:val="18"/>
          <w:color w:val="auto"/>
        </w:rPr>
        <w:t>The FDA closely regulates promotional materials and other promotional activities. Even if the FDA initially approves product labeling that includes a description of our improved attribute claims, the FDA may object to our marketing claims and product advertising campaigns. Failure to comply with the FDA’s promotional, marketing and advertising laws and regulations could lead to the issuance of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 Any of these consequences would harm the commercial success of our products.</w:t>
      </w:r>
    </w:p>
    <w:p>
      <w:pPr>
        <w:spacing w:after="0" w:line="186" w:lineRule="exact"/>
        <w:rPr>
          <w:sz w:val="20"/>
          <w:szCs w:val="20"/>
          <w:color w:val="auto"/>
        </w:rPr>
      </w:pPr>
    </w:p>
    <w:p>
      <w:pPr>
        <w:jc w:val="both"/>
        <w:ind w:left="20" w:right="80"/>
        <w:spacing w:after="0" w:line="251" w:lineRule="auto"/>
        <w:rPr>
          <w:sz w:val="20"/>
          <w:szCs w:val="20"/>
          <w:color w:val="auto"/>
        </w:rPr>
      </w:pPr>
      <w:r>
        <w:rPr>
          <w:rFonts w:ascii="Times New Roman" w:cs="Times New Roman" w:eastAsia="Times New Roman" w:hAnsi="Times New Roman"/>
          <w:sz w:val="18"/>
          <w:szCs w:val="18"/>
          <w:color w:val="auto"/>
        </w:rPr>
        <w:t>Further, our promotional materials, statements and training methods must comply with the FDA’s prohibition of the promotion of unapproved, or off-label, use. Any regulatory approval that the FDA grants is limited to those specific diseases and indications for which a product is deemed to be safe and effective by FDA. For example, the FDA-approved label for AZSTARYS is limited to the acute treatment of ADHD in patients 6 years of age and older and the FDA approved label for OLPRUVA is limited to oral suspension in the U.S. for the treatment of certain patients with UCDs involving deficiencies of CPS, OTC, or AS. Physicians may use our products off-label, as the FDA does not restrict or regulate a physician’s independent choice of treatment within the practice of medicine. However, if the FDA determines that our promotional materials, statements or training constitutes promotion of an off-label use, it could request that we modify our promotional materials, statements or training methods or subject us to regulatory or enforcement actions, such as the issuance of an untitled letter, a warning letter, injunction, seizure, civil fine, disgorgement of money, operating restrictions or criminal penalties. We may also be subject to actions by other governmental entities or private parties, such as the False Claims Act, civil whistleblower or “qui tam” actions. It is also possible that other federal, state or foreign enforcement authorities might take action if they consider our promotional or training materials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In addition, the off-label use of our products may increase the risk of product liability claims. Product liability claims are expensive to defend and could divert our management’s attention, result in substantial damage awards against us and harm our reputation.</w:t>
      </w:r>
    </w:p>
    <w:p>
      <w:pPr>
        <w:spacing w:after="0" w:line="19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our approved products, or any of ou product candidates that we may develop.</w:t>
      </w:r>
    </w:p>
    <w:p>
      <w:pPr>
        <w:spacing w:after="0" w:line="159" w:lineRule="exact"/>
        <w:rPr>
          <w:sz w:val="20"/>
          <w:szCs w:val="20"/>
          <w:color w:val="auto"/>
        </w:rPr>
      </w:pPr>
    </w:p>
    <w:p>
      <w:pPr>
        <w:jc w:val="both"/>
        <w:ind w:left="20" w:right="80"/>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as our approved products, and any of our product candidates that may be approved in the future, are commercialized. This includes the risk that our products may be misused. For example, certain of our approved products do, and we anticipate that any of our product candidates we may choose to develop in the future, if approved, may carry, a boxed warning regarding lethality. If we cannot successfully defend ourselves against claims that our product candidates or products caused injuries, we will incur substantial liabilities on behalf of ourselves. Regardless of merit or eventual outcome, liability claims may result in:</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●decreased demand for our approved products, and any of our product candidates that we may develop;</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●termination of clinical trial sites or entire trial programs;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●withdrawal of clinical trial participants;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●initiation of investigations by regulators;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●significant costs to defend the related litigation;</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 diversion of management’s time and our resources;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●substantial monetary awards paid to trial participants or patients;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●product recalls, withdrawals or labeling revisions and marketing or promotional restrictions;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●loss of revenue;</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inability to successfully commercialize any of our approved products, or any of our product candidates that might be approved in the future.</w:t>
      </w:r>
    </w:p>
    <w:p>
      <w:pPr>
        <w:spacing w:after="0" w:line="223" w:lineRule="exact"/>
        <w:rPr>
          <w:sz w:val="20"/>
          <w:szCs w:val="20"/>
          <w:color w:val="auto"/>
        </w:rPr>
      </w:pPr>
    </w:p>
    <w:p>
      <w:pPr>
        <w:jc w:val="both"/>
        <w:ind w:left="20" w:right="80"/>
        <w:spacing w:after="0" w:line="259" w:lineRule="auto"/>
        <w:rPr>
          <w:sz w:val="20"/>
          <w:szCs w:val="20"/>
          <w:color w:val="auto"/>
        </w:rPr>
      </w:pPr>
      <w:r>
        <w:rPr>
          <w:rFonts w:ascii="Times New Roman" w:cs="Times New Roman" w:eastAsia="Times New Roman" w:hAnsi="Times New Roman"/>
          <w:sz w:val="18"/>
          <w:szCs w:val="18"/>
          <w:color w:val="auto"/>
        </w:rPr>
        <w:t>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upon commencement of commercialization of any product approved in the future. Insurance coverage is increasingly expensive. We may not be able to maintain insurance coverage at a reasonable cost or in an amount adequate to satisfy any liability that may arise.</w:t>
      </w:r>
    </w:p>
    <w:p>
      <w:pPr>
        <w:spacing w:after="0" w:line="17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commercialization of our approved products, or any of our product candidates, if approved, are not successful, or we experience significant delays i commercialization, our business will be harmed.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generate minimal commercial revenue from the sale of our approved products, OLPRUVA and MIPLYFFA, and we may never be able t successfully commercialize a product candidate. We cannot guarantee that we or any other collaborators will be able to successfully develop, manufactur or commercialize our approved products, or product candidates, if approved, or that we will ever receive any future payments under the AZSTARYS Licens Agreement. Despite the FDA’s approval of OLPRUVA for oral suspension in the U.S. for the treatment of certain patients with UCDs, and MIPLYFFA, a orally-delivered treatment for NPC, the products may not gain market acceptance among physicians, key opinion leaders, healthcare payors, patients and th medical community.</w:t>
      </w:r>
    </w:p>
    <w:p>
      <w:pPr>
        <w:sectPr>
          <w:pgSz w:w="11900" w:h="16838" w:orient="portrait"/>
          <w:cols w:equalWidth="0" w:num="1">
            <w:col w:w="11340"/>
          </w:cols>
          <w:pgMar w:left="300" w:top="121" w:right="259" w:bottom="0" w:gutter="0" w:footer="0" w:header="0"/>
        </w:sectPr>
      </w:pPr>
    </w:p>
    <w:bookmarkStart w:id="43" w:name="page44"/>
    <w:bookmarkEnd w:id="43"/>
    <w:p>
      <w:pPr>
        <w:jc w:val="both"/>
        <w:spacing w:after="0" w:line="259" w:lineRule="auto"/>
        <w:rPr>
          <w:sz w:val="20"/>
          <w:szCs w:val="20"/>
          <w:color w:val="auto"/>
        </w:rPr>
      </w:pPr>
      <w:r>
        <w:rPr>
          <w:rFonts w:ascii="Times New Roman" w:cs="Times New Roman" w:eastAsia="Times New Roman" w:hAnsi="Times New Roman"/>
          <w:sz w:val="18"/>
          <w:szCs w:val="18"/>
          <w:color w:val="auto"/>
        </w:rPr>
        <w:t>We have made significant investments in our internal discovery and development efforts and much of our financial resources in the identification of potentia product candidates via our LAT® platform technology and the development of our product candidates. Our ability to generate revenue from our approve products and any of our product candidates, if approved, will depend heavily on their successful development and commercialization. The success of ou approved products and any of our product candidates will depend on several factors, including:</w:t>
      </w:r>
    </w:p>
    <w:p>
      <w:pPr>
        <w:spacing w:after="0" w:line="1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●successful completion of preclinical studies and requisite clinical trials;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●successful completion and achievement of endpoints in our clinical trials;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●demonstration that the risks involved with our approved products and any of our product candidates are outweighed by the benefits;</w:t>
      </w:r>
    </w:p>
    <w:p>
      <w:pPr>
        <w:spacing w:after="0" w:line="223" w:lineRule="exact"/>
        <w:rPr>
          <w:sz w:val="20"/>
          <w:szCs w:val="20"/>
          <w:color w:val="auto"/>
        </w:rPr>
      </w:pPr>
    </w:p>
    <w:p>
      <w:pPr>
        <w:ind w:left="200" w:right="100" w:hanging="119"/>
        <w:spacing w:after="0" w:line="208" w:lineRule="auto"/>
        <w:tabs>
          <w:tab w:leader="none" w:pos="200" w:val="left"/>
        </w:tabs>
        <w:numPr>
          <w:ilvl w:val="0"/>
          <w:numId w:val="37"/>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successful development of our manufacturing processes for our approved products and for any of our product candidates, including entering into and maintaining arrangements with third-party manufacturers;</w:t>
      </w:r>
    </w:p>
    <w:p>
      <w:pPr>
        <w:spacing w:after="0" w:line="196" w:lineRule="exact"/>
        <w:rPr>
          <w:rFonts w:ascii="Times New Roman" w:cs="Times New Roman" w:eastAsia="Times New Roman" w:hAnsi="Times New Roman"/>
          <w:sz w:val="29"/>
          <w:szCs w:val="29"/>
          <w:color w:val="auto"/>
          <w:vertAlign w:val="subscript"/>
        </w:rPr>
      </w:pPr>
    </w:p>
    <w:p>
      <w:pPr>
        <w:ind w:left="200" w:right="100" w:hanging="119"/>
        <w:spacing w:after="0" w:line="208" w:lineRule="auto"/>
        <w:tabs>
          <w:tab w:leader="none" w:pos="200" w:val="left"/>
        </w:tabs>
        <w:numPr>
          <w:ilvl w:val="0"/>
          <w:numId w:val="37"/>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successful completion of an FDA or European pre-approval inspection of the facilities used to manufacture any of our product candidates for which we may submit an NDA or an MAA;</w:t>
      </w:r>
    </w:p>
    <w:p>
      <w:pPr>
        <w:spacing w:after="0" w:line="196" w:lineRule="exact"/>
        <w:rPr>
          <w:rFonts w:ascii="Times New Roman" w:cs="Times New Roman" w:eastAsia="Times New Roman" w:hAnsi="Times New Roman"/>
          <w:sz w:val="29"/>
          <w:szCs w:val="29"/>
          <w:color w:val="auto"/>
          <w:vertAlign w:val="subscript"/>
        </w:rPr>
      </w:pPr>
    </w:p>
    <w:p>
      <w:pPr>
        <w:ind w:left="200" w:right="100" w:hanging="119"/>
        <w:spacing w:after="0" w:line="208" w:lineRule="auto"/>
        <w:tabs>
          <w:tab w:leader="none" w:pos="200" w:val="left"/>
        </w:tabs>
        <w:numPr>
          <w:ilvl w:val="0"/>
          <w:numId w:val="37"/>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receipt of timely marketing approvals from applicable regulatory authorities, including, if applicable, the determination by the DEA of the controlled substance schedule for a product candidate, taking into account the recommendation of the FDA;</w:t>
      </w:r>
    </w:p>
    <w:p>
      <w:pPr>
        <w:spacing w:after="0" w:line="1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●obtaining differentiating claims in the labels for our product candidates;</w:t>
      </w:r>
    </w:p>
    <w:p>
      <w:pPr>
        <w:spacing w:after="0" w:line="223" w:lineRule="exact"/>
        <w:rPr>
          <w:sz w:val="20"/>
          <w:szCs w:val="20"/>
          <w:color w:val="auto"/>
        </w:rPr>
      </w:pPr>
    </w:p>
    <w:p>
      <w:pPr>
        <w:ind w:left="200" w:right="120" w:hanging="119"/>
        <w:spacing w:after="0" w:line="208" w:lineRule="auto"/>
        <w:tabs>
          <w:tab w:leader="none" w:pos="200" w:val="left"/>
        </w:tabs>
        <w:numPr>
          <w:ilvl w:val="0"/>
          <w:numId w:val="38"/>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6"/>
          <w:szCs w:val="16"/>
          <w:color w:val="auto"/>
        </w:rPr>
        <w:t>obtaining and maintaining patent, trademark and trade secret protection and regulatory exclusivity for our approved products and any of our product candidates and otherwise protecting our rights in our intellectual property portfolio;</w:t>
      </w:r>
    </w:p>
    <w:p>
      <w:pPr>
        <w:spacing w:after="0" w:line="1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●maintaining compliance with regulatory requirements, including cGMPs;</w:t>
      </w:r>
    </w:p>
    <w:p>
      <w:pPr>
        <w:spacing w:after="0" w:line="199" w:lineRule="exact"/>
        <w:rPr>
          <w:sz w:val="20"/>
          <w:szCs w:val="20"/>
          <w:color w:val="auto"/>
        </w:rPr>
      </w:pPr>
    </w:p>
    <w:p>
      <w:pPr>
        <w:ind w:left="80" w:right="100" w:firstLine="1"/>
        <w:spacing w:after="0" w:line="725" w:lineRule="auto"/>
        <w:tabs>
          <w:tab w:leader="none" w:pos="201" w:val="left"/>
        </w:tabs>
        <w:numPr>
          <w:ilvl w:val="0"/>
          <w:numId w:val="39"/>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5"/>
          <w:szCs w:val="15"/>
          <w:color w:val="auto"/>
        </w:rPr>
        <w:t>launching</w:t>
      </w:r>
      <w:r>
        <w:rPr>
          <w:rFonts w:ascii="Times New Roman" w:cs="Times New Roman" w:eastAsia="Times New Roman" w:hAnsi="Times New Roman"/>
          <w:sz w:val="28"/>
          <w:szCs w:val="28"/>
          <w:color w:val="auto"/>
          <w:vertAlign w:val="subscript"/>
        </w:rPr>
        <w:t>others;</w:t>
      </w:r>
      <w:r>
        <w:rPr>
          <w:rFonts w:ascii="Times New Roman" w:cs="Times New Roman" w:eastAsia="Times New Roman" w:hAnsi="Times New Roman"/>
          <w:sz w:val="15"/>
          <w:szCs w:val="15"/>
          <w:color w:val="auto"/>
        </w:rPr>
        <w:t xml:space="preserve"> commercial sales of our approved products, and any of our product candidates, if and when approved, whether alone or in collaboration with ●acceptance of our approved products and any of our product candidates, if approved, by patients, the medical community and third-party payors; ●competing effectively with other therapies;</w:t>
      </w:r>
    </w:p>
    <w:p>
      <w:pPr>
        <w:ind w:left="80"/>
        <w:spacing w:after="0"/>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8"/>
          <w:szCs w:val="18"/>
          <w:color w:val="auto"/>
        </w:rPr>
        <w:t>●obtaining and maintaining healthcare coverage and adequate reimbursement; and</w:t>
      </w:r>
    </w:p>
    <w:p>
      <w:pPr>
        <w:spacing w:after="0" w:line="222" w:lineRule="exact"/>
        <w:rPr>
          <w:rFonts w:ascii="Times New Roman" w:cs="Times New Roman" w:eastAsia="Times New Roman" w:hAnsi="Times New Roman"/>
          <w:sz w:val="29"/>
          <w:szCs w:val="29"/>
          <w:color w:val="auto"/>
          <w:vertAlign w:val="subscript"/>
        </w:rPr>
      </w:pPr>
    </w:p>
    <w:p>
      <w:pPr>
        <w:ind w:left="80"/>
        <w:spacing w:after="0"/>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8"/>
          <w:szCs w:val="18"/>
          <w:color w:val="auto"/>
        </w:rPr>
        <w:t>●maintaining a continued acceptable safety and efficacy profile of any of our products following approval.</w:t>
      </w:r>
    </w:p>
    <w:p>
      <w:pPr>
        <w:spacing w:after="0" w:line="2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60"/>
          </w:cols>
          <w:pgMar w:left="300" w:top="121"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Whether regulatory approval will be granted is unpredictable and depends upon numerous factors, including the substantial discretion of the regulatory authorities. If, following submission, our NDA or marketing authorization application for a product candidate is not accepted for substantive review or approval, the FDA or other comparable foreign regulatory authorities may require that we conduct additional studies or clinical trials, provide additional data, take additional manufacturing steps or require other conditions before they will reconsider our application. If the FDA or other comparable foreign regulatory authorities require additional studies, clinical trials or data, we would incur increased costs and delays in the marketing approval process, which may require us to expend more resources than we have available. In addition, the FDA or other comparable foreign regulatory authorities may not consider sufficient any additional required studies, clinical trials, data or information that we perform and complete or generate, or we may decide to abandon the program.</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It is possible that none of our product candidates in clinical development or any of our future product candidates will ever obtain regulatory approval, even if we expend substantial time and resources seeking such approval.</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we could experience an inability to successfully commercialize any of our approved products or product candidates, if approved, or we could experience an inability to successfully commercialize any of our product candidates approved for marketing in the future, if any, which would harm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required regulatory approvals for any of our product candidates, or the approved labels are not sufficiently differentiated from other competing products, we will not be able to commercialize them and our ability to generate revenue or profits or to raise future capital could be limited.</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and change over time. We are not permitted to market any of our product candidates in the United States until we receive approval of an NDA from the FDA, or in any foreign countries until we receive the requisite approvals in such countries. In the United States, the FDA generally requires the completion of non-clinical testing and clinical trials of each drug to establish its safety and efficacy and extensive pharmaceutical development to ensure its quality and other factors before an NDA is approved. Regulatory authorities in other jurisdictions impose similar requirements. Of the large number of drugs in development, only a small percentage result in the submission of an NDA to the FDA and even fewer are approved for commercialization.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regulatory approval is obtained, subsequent safety, efficacy, quality or other issues can result in a product approval being suspended or withdrawn, or the approved label for any approved product may not be sufficiently differentiated from other competing products to support market adoption thereof. In March 2021, the FDA approved the NDA for AZSTARYS, in December 2022, the FDA approved OLPRUVA, and in September 2024, the FDA approved MIPLYFFA. Even with the regulatory approval of AZSTARYS, OLPRUVA, and MIPLYFFA by the FDA, we cannot guarantee that the FDA will approve any of our product candidates for commercial sale or approve any proposed label we may have for any such product candidate. If our development efforts for our product candidates, including our efforts to obtain regulatory approval, are not successful for their planned indications or are delayed, or if adequate demand for our product candidates that are approved for marketing, if any, is not generated, our business will be harmed.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success of our product candidates will depend on the receipt and maintenance of regulatory approval and the issuance and maintenance of such approval i uncertain and subject to a number of risks, including the following:</w:t>
      </w:r>
    </w:p>
    <w:p>
      <w:pPr>
        <w:spacing w:after="0" w:line="162" w:lineRule="exact"/>
        <w:rPr>
          <w:sz w:val="20"/>
          <w:szCs w:val="20"/>
          <w:color w:val="auto"/>
        </w:rPr>
      </w:pPr>
    </w:p>
    <w:p>
      <w:pPr>
        <w:ind w:left="200" w:right="80" w:hanging="120"/>
        <w:spacing w:after="0" w:line="280" w:lineRule="auto"/>
        <w:rPr>
          <w:sz w:val="20"/>
          <w:szCs w:val="20"/>
          <w:color w:val="auto"/>
        </w:rPr>
      </w:pPr>
      <w:r>
        <w:rPr>
          <w:rFonts w:ascii="Times New Roman" w:cs="Times New Roman" w:eastAsia="Times New Roman" w:hAnsi="Times New Roman"/>
          <w:sz w:val="18"/>
          <w:szCs w:val="18"/>
          <w:color w:val="auto"/>
        </w:rPr>
        <w:t>●the FDA, the EMA, or comparable foreign regulatory authorities, institutional review boards, or IRBs, or ethics committees may disagree with the design or conduct of our clinical trials;</w:t>
      </w:r>
    </w:p>
    <w:p>
      <w:pPr>
        <w:spacing w:after="0" w:line="162" w:lineRule="exact"/>
        <w:rPr>
          <w:sz w:val="20"/>
          <w:szCs w:val="20"/>
          <w:color w:val="auto"/>
        </w:rPr>
      </w:pPr>
    </w:p>
    <w:p>
      <w:pPr>
        <w:ind w:left="200" w:right="80" w:hanging="120"/>
        <w:spacing w:after="0" w:line="280" w:lineRule="auto"/>
        <w:rPr>
          <w:sz w:val="20"/>
          <w:szCs w:val="20"/>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the EMA, or other regulatory agencies for marketing approval or for us to receive approval for claims that are necessary for commercialization;</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the dosing in a particular clinical trial may not be at an optimal level;</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●patients in our clinical trials may suffer adverse effects for reasons that may or may not be related to our product candidates;</w:t>
      </w:r>
    </w:p>
    <w:p>
      <w:pPr>
        <w:spacing w:after="0" w:line="223" w:lineRule="exact"/>
        <w:rPr>
          <w:sz w:val="20"/>
          <w:szCs w:val="20"/>
          <w:color w:val="auto"/>
        </w:rPr>
      </w:pPr>
    </w:p>
    <w:p>
      <w:pPr>
        <w:ind w:left="200" w:right="80" w:hanging="120"/>
        <w:spacing w:after="0" w:line="280" w:lineRule="auto"/>
        <w:rPr>
          <w:sz w:val="20"/>
          <w:szCs w:val="20"/>
          <w:color w:val="auto"/>
        </w:rPr>
      </w:pPr>
      <w:r>
        <w:rPr>
          <w:rFonts w:ascii="Times New Roman" w:cs="Times New Roman" w:eastAsia="Times New Roman" w:hAnsi="Times New Roman"/>
          <w:sz w:val="18"/>
          <w:szCs w:val="18"/>
          <w:color w:val="auto"/>
        </w:rPr>
        <w:t>●the data collected from clinical trials may not be sufficient to support submissions to regulatory authorities or to obtain regulatory approval in the United States or elsewhere;</w:t>
      </w:r>
    </w:p>
    <w:p>
      <w:pPr>
        <w:spacing w:after="0" w:line="162" w:lineRule="exact"/>
        <w:rPr>
          <w:sz w:val="20"/>
          <w:szCs w:val="20"/>
          <w:color w:val="auto"/>
        </w:rPr>
      </w:pPr>
    </w:p>
    <w:p>
      <w:pPr>
        <w:ind w:left="200" w:right="100" w:hanging="120"/>
        <w:spacing w:after="0" w:line="280" w:lineRule="auto"/>
        <w:rPr>
          <w:sz w:val="20"/>
          <w:szCs w:val="20"/>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or may later suspend or withdraw such approval;</w:t>
      </w:r>
    </w:p>
    <w:p>
      <w:pPr>
        <w:spacing w:after="0" w:line="162" w:lineRule="exact"/>
        <w:rPr>
          <w:sz w:val="20"/>
          <w:szCs w:val="20"/>
          <w:color w:val="auto"/>
        </w:rPr>
      </w:pPr>
    </w:p>
    <w:p>
      <w:pPr>
        <w:ind w:left="200" w:right="80" w:hanging="120"/>
        <w:spacing w:after="0" w:line="280" w:lineRule="auto"/>
        <w:rPr>
          <w:sz w:val="20"/>
          <w:szCs w:val="20"/>
          <w:color w:val="auto"/>
        </w:rPr>
      </w:pPr>
      <w:r>
        <w:rPr>
          <w:rFonts w:ascii="Times New Roman" w:cs="Times New Roman" w:eastAsia="Times New Roman" w:hAnsi="Times New Roman"/>
          <w:sz w:val="18"/>
          <w:szCs w:val="18"/>
          <w:color w:val="auto"/>
        </w:rPr>
        <w:t>●the approval policies or regulations of the FDA, the EMA and other EU institutions, or comparable foreign regulatory authorities may significantly change in a manner rendering our clinical data insufficient for approval; and</w:t>
      </w:r>
    </w:p>
    <w:p>
      <w:pPr>
        <w:spacing w:after="0" w:line="162" w:lineRule="exact"/>
        <w:rPr>
          <w:sz w:val="20"/>
          <w:szCs w:val="20"/>
          <w:color w:val="auto"/>
        </w:rPr>
      </w:pPr>
    </w:p>
    <w:p>
      <w:pPr>
        <w:ind w:left="200" w:right="80" w:hanging="120"/>
        <w:spacing w:after="0" w:line="280" w:lineRule="auto"/>
        <w:rPr>
          <w:sz w:val="20"/>
          <w:szCs w:val="20"/>
          <w:color w:val="auto"/>
        </w:rPr>
      </w:pPr>
      <w:r>
        <w:rPr>
          <w:rFonts w:ascii="Times New Roman" w:cs="Times New Roman" w:eastAsia="Times New Roman" w:hAnsi="Times New Roman"/>
          <w:sz w:val="18"/>
          <w:szCs w:val="18"/>
          <w:color w:val="auto"/>
        </w:rPr>
        <w:t>●even if we obtain marketing approval in one or more countries, future safety or other issues could result in the suspension or withdrawal of regulatory approval in such countries.</w:t>
      </w:r>
    </w:p>
    <w:p>
      <w:pPr>
        <w:spacing w:after="0" w:line="162" w:lineRule="exact"/>
        <w:rPr>
          <w:sz w:val="20"/>
          <w:szCs w:val="20"/>
          <w:color w:val="auto"/>
        </w:rPr>
      </w:pPr>
    </w:p>
    <w:p>
      <w:pPr>
        <w:jc w:val="both"/>
        <w:ind w:left="20" w:right="80"/>
        <w:spacing w:after="0" w:line="255" w:lineRule="auto"/>
        <w:rPr>
          <w:sz w:val="20"/>
          <w:szCs w:val="20"/>
          <w:color w:val="auto"/>
        </w:rPr>
      </w:pPr>
      <w:r>
        <w:rPr>
          <w:rFonts w:ascii="Times New Roman" w:cs="Times New Roman" w:eastAsia="Times New Roman" w:hAnsi="Times New Roman"/>
          <w:sz w:val="18"/>
          <w:szCs w:val="18"/>
          <w:color w:val="auto"/>
        </w:rPr>
        <w:t>We have only limited experience in submitting the applications necessary to gain regulatory approvals and have relied, and expect to continue to rely, on consultants and third-party contract research organizations, or CROs, with expertise in this area to assist us in this process. Securing FDA or comparable foreign approval requires the submission of extensive non-clinical and clinical data, information about product manufacturing processes and inspection of facilities and supporting information to the FDA and comparable foreign regulatory authorities for each therapeutic indication to establish a product candidate’s safety and efficacy for each indication and manufacturing quality. Additionally, we cannot guarantee that regulators will agree with our assessment of the results of the clinical trials we have conducted or that any future trials will be successful.</w:t>
      </w:r>
    </w:p>
    <w:p>
      <w:pPr>
        <w:spacing w:after="0" w:line="185" w:lineRule="exact"/>
        <w:rPr>
          <w:sz w:val="20"/>
          <w:szCs w:val="20"/>
          <w:color w:val="auto"/>
        </w:rPr>
      </w:pPr>
    </w:p>
    <w:p>
      <w:pPr>
        <w:jc w:val="both"/>
        <w:ind w:left="20" w:right="80"/>
        <w:spacing w:after="0" w:line="280" w:lineRule="auto"/>
        <w:rPr>
          <w:sz w:val="20"/>
          <w:szCs w:val="20"/>
          <w:color w:val="auto"/>
        </w:rPr>
      </w:pPr>
      <w:r>
        <w:rPr>
          <w:rFonts w:ascii="Times New Roman" w:cs="Times New Roman" w:eastAsia="Times New Roman" w:hAnsi="Times New Roman"/>
          <w:sz w:val="18"/>
          <w:szCs w:val="18"/>
          <w:color w:val="auto"/>
        </w:rPr>
        <w:t>Any product candidates we develop may prove to have undesirable or unintended side effects, toxicities or other characteristics that may preclude our obtaining regulatory approval or prevent or limit commercial use with respect to one or all intended indications.</w:t>
      </w:r>
    </w:p>
    <w:p>
      <w:pPr>
        <w:spacing w:after="0" w:line="162" w:lineRule="exact"/>
        <w:rPr>
          <w:sz w:val="20"/>
          <w:szCs w:val="20"/>
          <w:color w:val="auto"/>
        </w:rPr>
      </w:pPr>
    </w:p>
    <w:p>
      <w:pPr>
        <w:jc w:val="both"/>
        <w:ind w:left="20" w:right="80"/>
        <w:spacing w:after="0" w:line="253" w:lineRule="auto"/>
        <w:rPr>
          <w:sz w:val="20"/>
          <w:szCs w:val="20"/>
          <w:color w:val="auto"/>
        </w:rPr>
      </w:pPr>
      <w:r>
        <w:rPr>
          <w:rFonts w:ascii="Times New Roman" w:cs="Times New Roman" w:eastAsia="Times New Roman" w:hAnsi="Times New Roman"/>
          <w:sz w:val="18"/>
          <w:szCs w:val="18"/>
          <w:color w:val="auto"/>
        </w:rPr>
        <w:t>The process of obtaining regulatory approvals is expensive, often takes many years, if approval is obtained at all, and can vary substantially based upon, among other things, the type, complexity and novelty of the product candidates involved, the jurisdiction in which regulatory approval is sought and the substantial discretion of the regulatory authorities. Changes in the regulatory approval policy during the development period, changes in or the enactment of additional statutes or regulations, or changes in regulatory review for a submitted product application may cause delays in the approval or rejection of an application or may result in future withdrawal of approval. Regulatory approval obtained in one jurisdiction does not necessarily mean that a product candidate will receive regulatory approval in all jurisdictions in which we may seek approval, but the failure to obtain approval in one jurisdiction may negatively impact our ability to seek approval in a different jurisdiction. Failure to obtain regulatory marketing approval of our product candidates in any indication will prevent us from commercializing those product candidates for that indication, and our ability to generate revenue will be impaired.</w:t>
      </w: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00" w:top="121" w:right="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EMA and other government agencies, including those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or approve new products can be affected by a variety of factors, including government priorities, budget and funding levels, statutory, regulatory, and policy changes, the FDA’s and foreign regulatory authorities' ability to hire and retain key personnel and accept the payment of user fees, and other events that may otherwise affect the FDA’s ability to perform routine functions. Average review times at the FDA and foreign regulatory authorities have fluctuated in recent years as a result. In addition, government funding of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If a prolonged government shutdown or similar constraints on funding or staffing occur, or if renewed global health concerns prevent the FDA or other regulatory authorities or notified bodies from conducting their regular inspections, reviews, or other regulatory activities, it could significantly impact the ability of the FDA or other regulatory authorities or notified bodies to timely review and process our regulatory submissions, which could have a material adverse effect on our business.</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our product candidates satisfy the requirements for the 505(b)(2) NDA pathway as anticipated, the approval pathway for our product candidates will likely take significantly longer, cost significantly more and entail significantly greater complications and risks than anticipated, and the FDA may not ultimately approve our product candidates.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key element of our strategy is to seek FDA approval for most of our product candidates under Section 505(b)(2) of the FFDCA, otherwise known as the 505(b)(2) NDA pathway with any NDA submitted thereunder a 505(b)(2) NDA, where possible. The 505(b)(2) NDA pathway permits the filing of an NDA where at least some of the information required for approval comes from studies not conducted by or for the applicant and for which the applicant has not obtained a right of reference. Section 505(b)(2), if applicable to us under the FFDCA, would allow an NDA we submit to the FDA to rely in part on data in the public domain or the FDA’s prior conclusions regarding the safety and effectiveness of approved compounds, which could expedite the development program for our future product candidates by potentially decreasing the amount of nonclinical and/or clinical data that we would need to generate in order to obtain FDA approval. Such reliance is typically predicated on a showing of bioequivalence or comparable bioavailability to an approved drug. AZSTARYS was approved via the 505(b)(2) NDA pathway on March 2, 2021.</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FDA does not allow us to pursue the 505(b)(2) NDA pathway as anticipated, or if we cannot demonstrate bioequivalence or comparable bioavailability of our product candidates to approved products, we may need to conduct additional clinical trials, provide additional data and information, and meet additional standards for regulatory approval. Moreover, even if the FDA does allow us to pursue the 505(b)(2) NDA pathway, depending on the product candidate, we may still need to conduct additional clinical trials, including clinical trials to assess product safety or efficacy. If this were to occur, the time and financial resources required to obtain FDA approval for our product candidates, and complications and risks associated with our product candidates, would likely substantially increase.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our inability to pursue the 505(b)(2) NDA pathway could result in new competitive products reaching the market more quickly than our product candidates, which could hurt our competitive position and our business prospects. Even if we are allowed to pursue the 505(b)(2) NDA pathway, we cannot assure you that our product candidates will receive the requisite approvals for commercialization on a timely basis, if at all. Other companies may achieve product approval of similar products before we do, which would delay our ability to obtain product approval, expose us to greater competition, and would require that we seek approval via alternative pathways.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notwithstanding the approval of several products by the FDA under Section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under Section 505(b)(2). In addition, the pharmaceutical industry is highly competitive, and Section 505(b)(2) NDAs are subject to certain requirements designed to protect the patent rights of sponsors of previously approved drugs that are referenced in a Section 505(b)(2) NDA. These requirements may give rise to patent litigation and mandatory delays in approval of our NDAs for up to 30 months or longer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a new product. Even if the FDA ultimately denies such a petition, the FDA may substantially delay approval while it considers and responds to the petition. In addition, even if we are able to utilize the Section 505(b)(2) regulatory pathway, there is no guarantee this would ultimately lead to streamlined product development or earlier approval.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risk of failure for our product candidates is high. It is impossible to predict when or if any of our current product candidates will prove effective or safe in humans and will receive regulatory approval. Before obtaining marketing approval from regulatory authorities for the sale of any product candidate, we must complete preclinical development and then conduct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Interpretation of results from early, usually smaller, studies that suggest positive trends in some subjects, requires caution. Results from later stages of clinical trials enrolling more subjects may fail to show the desired safety and efficacy results or otherwise fail to be consistent with the results of earlier trials of the same product candidates.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87"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162" w:lineRule="exact"/>
        <w:rPr>
          <w:sz w:val="20"/>
          <w:szCs w:val="20"/>
          <w:color w:val="auto"/>
        </w:rPr>
      </w:pPr>
    </w:p>
    <w:p>
      <w:pPr>
        <w:ind w:left="460" w:hanging="224"/>
        <w:spacing w:after="0" w:line="280"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ethics committees may not authorize us or our investigators to commence a clinical trial, conduct a clinical trial at a prospective trial site or amend clinical trial protocols as needed;</w:t>
      </w:r>
    </w:p>
    <w:p>
      <w:pPr>
        <w:spacing w:after="0" w:line="161"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CROs;</w:t>
      </w:r>
    </w:p>
    <w:p>
      <w:pPr>
        <w:spacing w:after="0" w:line="161" w:lineRule="exact"/>
        <w:rPr>
          <w:rFonts w:ascii="Times New Roman" w:cs="Times New Roman" w:eastAsia="Times New Roman" w:hAnsi="Times New Roman"/>
          <w:sz w:val="18"/>
          <w:szCs w:val="18"/>
          <w:color w:val="auto"/>
        </w:rPr>
      </w:pPr>
    </w:p>
    <w:p>
      <w:pPr>
        <w:jc w:val="both"/>
        <w:ind w:left="460" w:hanging="224"/>
        <w:spacing w:after="0" w:line="264"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including failure to demonstrate statistical significance in cases where that is required, and we may decide, or regulators may require us, to conduct additional clinical trials or abandon prodrug development programs;</w:t>
      </w:r>
    </w:p>
    <w:p>
      <w:pPr>
        <w:spacing w:after="0" w:line="176"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sufficient or adequate supply or quality of product candidates or other materials necessary for use in clinical trials, or experience delays in sufficiently developing, characterizing or controlling a manufacturing process suitable for clinical trials;</w:t>
      </w:r>
    </w:p>
    <w:p>
      <w:pPr>
        <w:spacing w:after="0" w:line="161" w:lineRule="exact"/>
        <w:rPr>
          <w:rFonts w:ascii="Times New Roman" w:cs="Times New Roman" w:eastAsia="Times New Roman" w:hAnsi="Times New Roman"/>
          <w:sz w:val="18"/>
          <w:szCs w:val="18"/>
          <w:color w:val="auto"/>
        </w:rPr>
      </w:pPr>
    </w:p>
    <w:p>
      <w:pPr>
        <w:ind w:left="460" w:right="20" w:hanging="224"/>
        <w:spacing w:after="0" w:line="280"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manufacturing, testing, releasing, validating or importing/exporting sufficient stable quantities of our product candidates for use in clinical trials or the inability to do any of the foregoing;</w:t>
      </w:r>
    </w:p>
    <w:p>
      <w:pPr>
        <w:spacing w:after="0" w:line="161" w:lineRule="exact"/>
        <w:rPr>
          <w:rFonts w:ascii="Times New Roman" w:cs="Times New Roman" w:eastAsia="Times New Roman" w:hAnsi="Times New Roman"/>
          <w:sz w:val="18"/>
          <w:szCs w:val="18"/>
          <w:color w:val="auto"/>
        </w:rPr>
      </w:pPr>
    </w:p>
    <w:p>
      <w:pPr>
        <w:ind w:left="460" w:right="20" w:hanging="224"/>
        <w:spacing w:after="0" w:line="280"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61"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trial protocols, or meet their contractual obligations to us in a timely manner, or at all;</w:t>
      </w:r>
    </w:p>
    <w:p>
      <w:pPr>
        <w:spacing w:after="0" w:line="161"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61"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including if we are not able to pursue the 505(b)(2) NDA pathway for approval of our product candidates;</w:t>
      </w:r>
    </w:p>
    <w:p>
      <w:pPr>
        <w:spacing w:after="0" w:line="161"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pay substantial application user fees, which we may not be able to afford;</w:t>
      </w:r>
    </w:p>
    <w:p>
      <w:pPr>
        <w:spacing w:after="0" w:line="249"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transfer manufacturing processes to larger-scale facilities operated by a contract manufacturing organization, and we may experience delays or failures by our contract manufacturers to make any necessary changes to such manufacturing process;</w:t>
      </w:r>
    </w:p>
    <w:p>
      <w:pPr>
        <w:spacing w:after="0" w:line="161"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abandon our development program or programs based on the changing regulatory or commercial environment;</w:t>
      </w:r>
    </w:p>
    <w:p>
      <w:pPr>
        <w:spacing w:after="0" w:line="249"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not agree with our trial design or implementation; and</w:t>
      </w:r>
    </w:p>
    <w:p>
      <w:pPr>
        <w:spacing w:after="0" w:line="249"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to suspend or terminate the trials.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77" w:lineRule="exact"/>
        <w:rPr>
          <w:sz w:val="20"/>
          <w:szCs w:val="20"/>
          <w:color w:val="auto"/>
        </w:rPr>
      </w:pPr>
    </w:p>
    <w:p>
      <w:pPr>
        <w:ind w:left="460" w:hanging="224"/>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49"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49"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49"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but without the claims necessary for us to successfully commercialize our product candidates;</w:t>
      </w:r>
    </w:p>
    <w:p>
      <w:pPr>
        <w:spacing w:after="0" w:line="249"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249"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surveillance, or other requirements, such as REMS; or</w:t>
      </w:r>
    </w:p>
    <w:p>
      <w:pPr>
        <w:spacing w:after="0" w:line="249"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inability to successfully initiate or complete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seriously harm our business.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Clinical trials must be conducted in accordance with the FDA, the EMA and other applicable regulatory authorities’ legal requirements, regulations or guidelines, and are subject to oversight by these governmental agencies and ethics committees or IRBs at the medical institutions where the clinical trials are conducted. We could encounter delays if a clinical trial is suspended or terminated by us, by the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because of differences in healthcare services or cultural customs, managing additional administrative burdens associated with foreign regulatory schemes, as well as political and economic risks relevant to such foreign countries.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authority. The FDA, the EMA, or comparable foreign regulatory authority may conclude that a financial relationship between us and a principal investigator has created a conflict of interest or otherwise affected interpretation of the study. The FDA, the EMA,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the EMA, or comparable foreign regulatory authority, as the case may be, and may ultimately lead to the denial of marketing approval of one or more of our product candidates.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Delays in the completion of any clinical trial of our product candidates will increase our costs, slow down our product development and the regulatory approval processes and delay or potentially jeopardize our ability to commence product sales and generate product revenue. Any of these occurrences may harm our business, financial condition and prospects significantly.</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policies of the FDA and other regulatory authorities with respect to clinical trials, may change and additional government regulations may be enacted. For instance, the regulatory landscape related to clinical trials in the EU recently evolved. The CTR which was adopted in April 2014 and repeals the EU Clinical Trials Directive, became applicable on January 31, 2022. While the EU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developments plans.</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subjects in clinical trials, our receipt of necessary regulatory approvals could be delayed or prevented.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subjects to participate in these trials as may be required by the FDA or similar regulatory authorities outside the United States. We cannot predict how successful we will be at enrolling subjects in future clinical trials. If we are not successful at enrolling subjects in one clinical trial, it may affect when we are able to initiate our next clinical trial, which could result in significant delays in our efforts to pursue regulatory approval of and commercialize our product candidates. In addition, some of our competitors have ongoing clinical trials to treat the same indications as our product candidates, and subjects who would otherwise be eligible for our clinical trials may instead enroll in clinical trials of our competitors. Subject enrollment is affected by other factors including:</w:t>
      </w:r>
    </w:p>
    <w:p>
      <w:pPr>
        <w:spacing w:after="0" w:line="186" w:lineRule="exact"/>
        <w:rPr>
          <w:sz w:val="20"/>
          <w:szCs w:val="20"/>
          <w:color w:val="auto"/>
        </w:rPr>
      </w:pPr>
    </w:p>
    <w:p>
      <w:pPr>
        <w:ind w:left="460" w:hanging="224"/>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subject population specified in the trial protocol;</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study in question;</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product candidate is a controlled substance;</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adverse events experienced by subjects in a clinical trial;</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drugs approved to treat the diseases or conditions under study;</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or condition under investigation;</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subject informed consent;</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subjects in the clinical trial and their return for follow-up;</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trial design, including required tests, procedures and follow-up;</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subjects adequately during and after treatment;</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adding new investigators and clinical sites;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sites from clinical trials; and</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subjects.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inability to enroll a sufficient number of subjects for clinical trials would result in significant delays and could require us to abandon one or more clinical trials altogether. Enrollment delays in these clinical trials may result in increased development costs for our product candidates, which could cause our value to decline and limit our ability to obtain additional financing.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preliminary or topline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preliminary or topline data should be viewed with caution until the final data are available.</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disclosure of interim data by us or by our competitors could result in volatility in the price of our common stock.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that we report differs from actual results, or if others, including regulatory authorities, disagree with the conclusions reached, our ability to obtain approval for, and commercialize, any of our potential product candidates may be harmed, which could harm our business, operating results, prospects, or financial condition.</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designations which we pursue for any of our product candidates, and we may be unable to maintain the benefits associated with orphan drug designation, including the potential for market exclusivity.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may designate drugs for relatively small patient populations as orphan drugs. Under the Orphan Drug Act of 1983, the FDA may designate a drug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While the FDA has granted KP1077 orphan drug designation for the treatment of IH, and celiprolol received orphan drug designation from the FDA for the treatment of VEDS, we have not received orphan drug designation for any other product candidate. We may seek to obtain orphan drug designation for product but there can be no assurance that the FDA will grant orphan designation for any indication for which we apply, or that we will be able to maintain such designation.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an NDA,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EU, orphan designation is granted by the EC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marketing authorization. Orphan designation entitles a party to financial incentives such as reduction of fees, fee waivers, protocol assistance, and access to the centralized marketing authorization procedure. Moreover, upon grant of a marketing authorization and assuming the requirement for orphan designation are also met at the time the marketing authorization is granted, orphan medicinal products are entitled to a ten-year period of market exclusivity for the approved therapeutic indication. The period of market exclusivity is extended by two years for orphan medicinal products that have also complied with an agreed Pediatric Investigation Plan.</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different drugs can be approved for the same condition. Even after an orphan drug is approved, the FDA or comparable foreign regulatory authority can subsequently approve the same drug for the same condition if such regulatory authority concludes that the later drug is clinically superior because it is shown to be safer, more effective or makes a major contribution to patient care.</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Orphan drug exclusivity may also be lost if the FDA later determines that the initial request for designation was materially defective. In addition, orphan drug exclusivity does not prevent the FDA from approving competing drugs for the same or similar indication containing a different active ingredient. In addition, if a subsequent drug is approved for marketing for the same or a similar indication as any of our product candidates that receive marketing approval, we may face increased competition and lose market share regardless of orphan drug exclusivity. In the EU, during the market exclusivity period, marketing authorizations may be granted to a similar medicinal product with the same orphan indication if: (i) the applicant can establish that the second medicinal product, although similar to the orphan medicinal product already authorized is safer, more effective or otherwise clinically superior to the orphan medicinal product already authorized; (ii) the marketing authorization holder for the orphan medicinal product grants its consent; or (iii) if the marketing authorization holder of the orphan medicinal product is unable to supply sufficient quantities of product. The European exclusivity period can be reduced to six years, if, at the end of the fifth year a medicine no longer meets the criteria for orphan designation (i.e. the prevalence of the condition has increased above the orphan designation threshold, or it is judged that the product is sufficiently profitable so as not to justify maintenance of market exclusivity).</w:t>
      </w:r>
    </w:p>
    <w:p>
      <w:pPr>
        <w:spacing w:after="0" w:line="17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Orphan drug designation neither shortens the development time or regulatory review time of a drug nor gives the drug any advantage in the regulatory review or approval process.</w:t>
      </w:r>
    </w:p>
    <w:p>
      <w:pPr>
        <w:sectPr>
          <w:pgSz w:w="11900" w:h="16838" w:orient="portrait"/>
          <w:cols w:equalWidth="0" w:num="1">
            <w:col w:w="11240"/>
          </w:cols>
          <w:pgMar w:left="320" w:top="121" w:right="339" w:bottom="36"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36"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Certain of our approved products and product candidates contain controlled substances, the manufacture, use, sale, importation, exportation, prescribing and distribution of which are subject to regulation by the DEA and other regulatory agencies.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approved products and certain of our product candidates are regulated as controlled substances, which are subject to state, federal, and foreign laws and regulations regarding their manufacture, use, sale, importation, exportation, and distribution. Among other things, controlled substances are regulated under the Controlled Substances Act of 1970 and regulations of the DEA. Before we can commercialize any of our products or product candidates, if approved, the DEA will need to determine the controlled substance schedule, taking into account the recommendation of the FDA. This may be a lengthy process that could delay our marketing of a product candidate and could potentially diminish any regulatory exclusivity periods for which we may be eligible.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The DEA determined AZSTARYS to be a Schedule II controlled substance. In addition, the DEA scheduled SDX as a Schedule IV substance. We expect that most of our product candidates, including KP1077, if approved, will also be regulated as “controlled substances” by the DEA, which subjects AZSTARYS and this product candidate to additional restrictions regarding their manufacture, shipment, storage, sale and use, depending on the scheduling of the active ingredients, and may limit the commercial potential of our products and any of our product candidates, if approved.</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Various states also independently regulate controlled substances. Though state-controlled substances laws often mirror federal law, because the states are separate jurisdictions, they may separately schedule drugs as well. While some states automatically schedule a drug when the DEA does so, in other states there must be rulemaking or a legislative action. State scheduling may delay commercial sale of any controlled substance drug product for which we obtain federal regulatory approval and adverse scheduling could impair the commercial attractiveness of such product. We or our collaborators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any of our products or product candidates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future, the ability to produce and distribute our products in the volume needed to meet commercial demand. For example, a DEA quota system controls and limits the availability and production of controlled substances in Schedule I or II. Because our products and most of our product candidates are or may be regulated as Schedule II controlled substances, they may be subject to the DEA’s production and procurement quota scheme. The DEA establishes annually an aggregate quota for how much of a controlled substance may be produced in total in the United States based on the DEA’s estimate of the quantity needed to meet legitimate scientific and medicinal needs. Manufacturers of Schedule I and II controlled substances are required to apply for quotas on an annual basis. If we or our contract manufacturers or suppliers do not obtain a sufficient quota from the DEA, we may not be able to obtain sufficient quantities of these controlled substances in order to complete our clinical trials or meet commercial demand for any of our products or product candidates classified under Schedule II.</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Regulations associated with controlled substances govern manufacturing, labeling, packaging, testing, dispensing, production and procurement quotas, recordkeeping,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products or product candidates that are classified as controlled substances.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EU legislation does not establish different classes of narcotic or psychotropic substances. However, the United Nations (“UN”) Single Convention on Narcotic Drugs of 1961 and the UN Convention on Psychotropic Substances of 1971 (“UN Conventions”) codify internationally applicable control measures to ensure the availability of narcotic drugs and psychotropic substances for medical and scientific purposes. The individual EU member states are all signatories to these UN Conventions. All signatories have a dual obligation to ensure that these substances are available for medical purposes and to protect populations against abuse and dependence. The UN Conventions regulate narcotic drugs and psychotropic substances as Schedule I, II, III, IV substances with Schedule II substances presenting the lowest relative risk of abuse among such substances and Schedule I and IV substances considered to present the highest risk of abuse.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 Conventions require signatories to require all persons manufacturing, trading (including exporting and importing) or distributing controlled substances to obtain a license from the relevant authority. Each individual export or import of a controlled substance must also be subject to an authorization. The obligations provided in the UN Conventions and additional requirements are implemented at national level and requirements may vary from one member state to another. In order to develop and commercialize our products in the EU, we would need to comply with the national requirements related to controlled substances which is costly and may affect our development plans in the EU.</w:t>
      </w: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be associated with serious adverse events, undesirable side effects or have other properties that could halt their clinical development, prevent their regulatory approval, limit their commercial potential or result in significant negative consequences.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Adverse events or other undesirable side effects caused by our products or product candidates could cause us or regulatory authorities to interrupt, delay or halt clinical trials and could result in a more restrictive label or the delay or denial of regulatory approvals by the FDA or other comparable foreign regulatory authorities.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serious adverse events occur, clinical trials or commercial distribution of any product candidates or products we develop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to cease further development of, deny approval of, and/or require us to cease selling our products or product candidates, if approved, for any or all targeted indications. If we are required to delay, suspend or terminate any clinical trial or commercialization efforts, the commercial prospects of our products or product candidates may be harmed, and our ability to generate product revenues from them or other product candidates that we develop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89" w:lineRule="exact"/>
        <w:rPr>
          <w:sz w:val="20"/>
          <w:szCs w:val="20"/>
          <w:color w:val="auto"/>
        </w:rPr>
      </w:pPr>
    </w:p>
    <w:p>
      <w:pPr>
        <w:ind w:left="460" w:hanging="224"/>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limit or withdraw approvals of such product, or seek an injunction against its manufacture or distribution;</w:t>
      </w:r>
    </w:p>
    <w:p>
      <w:pPr>
        <w:spacing w:after="0" w:line="222"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161"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 or post-approval studies;</w:t>
      </w:r>
    </w:p>
    <w:p>
      <w:pPr>
        <w:spacing w:after="0" w:line="222"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risk evaluation and mitigation strategy, or REMS, which could include a medication guide outlining the risks of such side effects for distribution to patients;</w:t>
      </w:r>
    </w:p>
    <w:p>
      <w:pPr>
        <w:spacing w:after="0" w:line="161"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criminal penalties;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products or any of our product candidates, if approved, and could seriously harm our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the EAP is terminated prior to commercialization of arimoclomol in the EU, if approved, it will have a material adverse effect on our business, results of operations, cash flows, financial condition and/or prospects.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Arimoclomol is currently available to NPC patients in France, Germany, and other EU member states through the EAP. The EAP is expected to remain in place until arimoclomol becomes commercially available in each of the current EAP markets. If the EAP is terminated prior to commercialization of arimoclomol, it will have a material adverse effect on our business, results of operations, cash flows, financial condition and/or prospects.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Our Business, Our Financial Position and Our Capital Needs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Our future results will suffer if we do not effectively manage our expanded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additional of our commercialization capabilities and through our strategic transactions, the size and scope of our operations increased. We ma continue to expand our size and operations through further expansion of capabilities, additional acquisitions or other strategic transactions. Our future succes depends, in part, upon our ability to manage our expanded business, which may pose substantial challenges for our management, including challenges relate to the management and monitoring of new operations and locations and associated increased costs and complexity. There can be no assurances that we will b successful in managing our expanded business or that we will realize the expected economies of scale, synergies and other benefits currently anticipated from the Merger or anticipated from any additional acquisitions or strategic transactions.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expect to engage in significant cross-border activities, and we will be subject to risks related to international operations, including:</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●different regulatory requirements for maintaining approval of drugs in foreign countries;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●reduced protection for contractual and intellectual property rights in some countries;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223" w:lineRule="exact"/>
        <w:rPr>
          <w:sz w:val="20"/>
          <w:szCs w:val="20"/>
          <w:color w:val="auto"/>
        </w:rPr>
      </w:pPr>
    </w:p>
    <w:p>
      <w:pPr>
        <w:ind w:left="200" w:right="120" w:hanging="120"/>
        <w:spacing w:after="0" w:line="280" w:lineRule="auto"/>
        <w:rPr>
          <w:sz w:val="20"/>
          <w:szCs w:val="20"/>
          <w:color w:val="auto"/>
        </w:rPr>
      </w:pPr>
      <w:r>
        <w:rPr>
          <w:rFonts w:ascii="Times New Roman" w:cs="Times New Roman" w:eastAsia="Times New Roman" w:hAnsi="Times New Roman"/>
          <w:sz w:val="18"/>
          <w:szCs w:val="18"/>
          <w:color w:val="auto"/>
        </w:rPr>
        <w:t>●economic weakness, including inflation, labor shortages, supply chain shortages, or other economic or political uncertainties or instability in particular foreign economies and markets;</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3" w:lineRule="exact"/>
        <w:rPr>
          <w:sz w:val="20"/>
          <w:szCs w:val="20"/>
          <w:color w:val="auto"/>
        </w:rPr>
      </w:pPr>
    </w:p>
    <w:p>
      <w:pPr>
        <w:ind w:left="200" w:right="100" w:hanging="120"/>
        <w:spacing w:after="0" w:line="280" w:lineRule="auto"/>
        <w:rPr>
          <w:sz w:val="20"/>
          <w:szCs w:val="20"/>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●workforce uncertainty in countries where labor unrest is more common than in North America;</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●tighter restrictions on privacy and the collection and use of patient and clinical trial participant data; and</w:t>
      </w:r>
    </w:p>
    <w:p>
      <w:pPr>
        <w:spacing w:after="0" w:line="223" w:lineRule="exact"/>
        <w:rPr>
          <w:sz w:val="20"/>
          <w:szCs w:val="20"/>
          <w:color w:val="auto"/>
        </w:rPr>
      </w:pPr>
    </w:p>
    <w:p>
      <w:pPr>
        <w:ind w:left="200" w:right="100" w:hanging="120"/>
        <w:spacing w:after="0" w:line="280" w:lineRule="auto"/>
        <w:rPr>
          <w:sz w:val="20"/>
          <w:szCs w:val="20"/>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58" w:lineRule="exact"/>
        <w:rPr>
          <w:sz w:val="20"/>
          <w:szCs w:val="20"/>
          <w:color w:val="auto"/>
        </w:rPr>
      </w:pPr>
    </w:p>
    <w:p>
      <w:pPr>
        <w:jc w:val="both"/>
        <w:ind w:left="20" w:right="1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retain suppliers or distributors, or suppliers or distributors may seek to modify contractual relationships with us, which could have an adverse effect on our business and operations. Third parties may terminate or alter existing contracts or relationships with us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20" w:right="100"/>
        <w:spacing w:after="0" w:line="256" w:lineRule="auto"/>
        <w:rPr>
          <w:sz w:val="20"/>
          <w:szCs w:val="20"/>
          <w:color w:val="auto"/>
        </w:rPr>
      </w:pPr>
      <w:r>
        <w:rPr>
          <w:rFonts w:ascii="Times New Roman" w:cs="Times New Roman" w:eastAsia="Times New Roman" w:hAnsi="Times New Roman"/>
          <w:sz w:val="18"/>
          <w:szCs w:val="18"/>
          <w:color w:val="auto"/>
        </w:rPr>
        <w:t>We may experience impacts on relationships with customers, suppliers and distributors that may harm our business and results of operations. Certain suppliers or distributors may seek to terminate or modify contractual obligations following the Merger whether or not contractual rights are triggered as a result of the Merger. There can be no guarantee that our or Acer's prior customers, suppliers and distributors will remain with or continue to have a relationship with us or do so on contractual terms amenable to us. If any suppliers or distributors seek to terminate or modify contractual obligations or discontinue their relationship with us, then our business and results of operations may be harmed.</w:t>
      </w:r>
    </w:p>
    <w:p>
      <w:pPr>
        <w:spacing w:after="0" w:line="182" w:lineRule="exact"/>
        <w:rPr>
          <w:sz w:val="20"/>
          <w:szCs w:val="20"/>
          <w:color w:val="auto"/>
        </w:rPr>
      </w:pPr>
    </w:p>
    <w:p>
      <w:pPr>
        <w:jc w:val="both"/>
        <w:ind w:left="20" w:right="1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and disclosure controls and procedures, we may not be able to accurately report our financial results or report them in a timely manner, which may adversely affect investor confidence in us and, as a result, the value of our common stock</w:t>
      </w:r>
      <w:r>
        <w:rPr>
          <w:rFonts w:ascii="Times New Roman" w:cs="Times New Roman" w:eastAsia="Times New Roman" w:hAnsi="Times New Roman"/>
          <w:sz w:val="18"/>
          <w:szCs w:val="18"/>
          <w:i w:val="1"/>
          <w:iCs w:val="1"/>
          <w:color w:val="auto"/>
        </w:rPr>
        <w:t>.</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management is required to report annually on the effectiveness of our internal control over financial reporting pursuant to Section 404 of the Sarbanes Oxley Act, or Section 404. The rules governing the standards that must be met for our management to assess our internal control over financial reporting ar complex and require significant documentation, testing and possible remediation.</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failure to certify the effectiveness of our internal control over financial reporting or our disclosure controls and procedures, or the identification of th material weakness, could subject us to regulatory scrutiny and a loss of public confidence, which could have a material adverse effect on our business and ou stock price. If we identify material weaknesses or significant deficiencies, we may not be able to remediate them in time to meet the deadline imposed by th Sarbanes-Oxley Act for compliance with the requirements of Section 404. In addition, we may encounter problems or delays in completing th implementation of any requested improvements and, if and when such a report is required, receiving a favorable attestation report from our independen registered public accounting firm. If we do not maintain adequate financial and management personnel, processes and controls, we may not be able to manag our business effectively or accurately report our financial performance on a timely basis, which could cause a decline in our common stock price and adversel affect our results of operations and financial condition.</w:t>
      </w:r>
    </w:p>
    <w:p>
      <w:pPr>
        <w:spacing w:after="0" w:line="185" w:lineRule="exact"/>
        <w:rPr>
          <w:sz w:val="20"/>
          <w:szCs w:val="20"/>
          <w:color w:val="auto"/>
        </w:rPr>
      </w:pPr>
    </w:p>
    <w:p>
      <w:pPr>
        <w:jc w:val="both"/>
        <w:ind w:left="20" w:right="1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recurring negative net operating cash flows. We cannot predict if we will incur positive or negative net operating cash flows over the next several years, which may impact our ability to continue as a going concern, and we may never achieve or maintain profitability.</w:t>
      </w:r>
    </w:p>
    <w:p>
      <w:pPr>
        <w:spacing w:after="0" w:line="159" w:lineRule="exact"/>
        <w:rPr>
          <w:sz w:val="20"/>
          <w:szCs w:val="20"/>
          <w:color w:val="auto"/>
        </w:rPr>
      </w:pPr>
    </w:p>
    <w:p>
      <w:pPr>
        <w:jc w:val="both"/>
        <w:ind w:left="20" w:right="100"/>
        <w:spacing w:after="0" w:line="256" w:lineRule="auto"/>
        <w:rPr>
          <w:sz w:val="20"/>
          <w:szCs w:val="20"/>
          <w:color w:val="auto"/>
        </w:rPr>
      </w:pPr>
      <w:r>
        <w:rPr>
          <w:rFonts w:ascii="Times New Roman" w:cs="Times New Roman" w:eastAsia="Times New Roman" w:hAnsi="Times New Roman"/>
          <w:sz w:val="18"/>
          <w:szCs w:val="18"/>
          <w:color w:val="auto"/>
        </w:rPr>
        <w:t>We have historically had significant negative net operating cash flows since inception. For the years ended December 31, 2024, and 2023, net cash used in operations was $69.7 million and $33.5 million, respectively. We have financed our operations through December 31, 2024, with funds raised in private placements of redeemable convertible preferred stock, the issuance of convertible promissory notes and term debt, our initial public offering and other public and private offerings of our common stock, as well as through royalties and milestone payments received under the AZSTARYS License Agreement, reimbursements related to arimoclomol under the EAP, and product sales of OLPRUVA and MIPLYFFA.</w:t>
      </w:r>
    </w:p>
    <w:p>
      <w:pPr>
        <w:sectPr>
          <w:pgSz w:w="11900" w:h="16838" w:orient="portrait"/>
          <w:cols w:equalWidth="0" w:num="1">
            <w:col w:w="11360"/>
          </w:cols>
          <w:pgMar w:left="300" w:top="121" w:right="239" w:bottom="0" w:gutter="0" w:footer="0" w:header="0"/>
        </w:sectPr>
      </w:pPr>
    </w:p>
    <w:p>
      <w:pPr>
        <w:spacing w:after="0" w:line="1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60"/>
          </w:cols>
          <w:pgMar w:left="300" w:top="121" w:right="239"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devoted substantially all of our financial resources and efforts to research and development, including preclinical studies and clinical trials, and commercialization. We are still in the early stages of commercializing our approved products. We have devoted substantial financial resources and efforts to research and development, including preclinical studies and clinical trials, and our product candidates are in various stages of development. We have only completed development of, and received regulatory approval for, AZSTARYS and MIPLYFFA. We expect to continue to incur significant expenses and operating losses over the next several years and our net losses may fluctuate significantly from quarter to quarter and year to year as we:</w:t>
      </w:r>
    </w:p>
    <w:p>
      <w:pPr>
        <w:spacing w:after="0" w:line="186" w:lineRule="exact"/>
        <w:rPr>
          <w:sz w:val="20"/>
          <w:szCs w:val="20"/>
          <w:color w:val="auto"/>
        </w:rPr>
      </w:pPr>
    </w:p>
    <w:p>
      <w:pPr>
        <w:ind w:left="460" w:hanging="224"/>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 clinical trials and our product development activities for our pipeline of product candidates;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product candidates that successfully complete clinical trials;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preclinical development and initiate clinical trials of our product candidates;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 either internally or in partnership with other pharmaceutical companies;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 and</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systems and personnel, if needed, to support any future commercialization efforts.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prodrugs that generate significant revenue. This will require us to be successful in a range of challenging activities, including completing preclinical studies and clinical trials and obtaining regulatory approval of our product candidates, and manufacturing, marketing and selling, whether ourselves or through a license with a third party, any of our product candidates for which we may obtain regulatory approval, as well as discovering and developing additional product candidates. We are in various stages of these activities for our product candidates and we cannot guarantee that any strategy we adopt will be successful. We may never succeed in commercialization activities and, even if we do, may never generate revenue that is significant enough to achieve profitability.</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prodrug development,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Even if we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obtain product approvals, diversify our product offerings or continue our operations. A decline in our value could also cause you to lose all or part of your investment.</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years to complete, and we may not generate the necessary data or results required to obtain regulatory approval for our product candidates or claims necessary to make such candidates profitable and achieve product sales. In addition, our approved products or any of our product candidates, if approved, may not achieve commercial success. Our commercial revenue will be derived from sales of prodrug products. We cannot guarantee that we or Corium will be able to successfully commercialize OLPRUVA, MIPLYFFA, or AZSTARYS to any certain level, or any of the product candidates subject to the AZSTARYS License Agreement, even if approved, or that we will ever receive any additional payments under the AZSTARYS License Agreement from the commercial sales of AZSTARYS or any future payments under the AZSTARYS License Agreement. Accordingly, we will need to continue to rely on additional financing to achieve our business objectives. Adequate additional financing may not be available to us on acceptable terms, or at all. To the extent that we raise additional capital through the sale of equity or debt securities, the terms of those securities or debt may restrict our ability to operate. Any future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future commercialization efforts.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to pursue our business objectives. If we are unable to raise capital when needed, we could be forced to delay, reduce or altogether cease our development programs or commercialization efforts or cease operations altogether.</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Based on our current operating plan, excluding the expected net proceeds from our sale of the MIPLYFFA PRV (subject to customary closing conditions), our existing resources are expected to be sufficient to fund operating expense and capital investment requirements into 2029. Our liquidity needs will be largely determined by the success of operations through the progression of our products and product candidates in the future. We also may consider other sources to fund operations including: (1) out-licensing rights to certain of our technologies and product candidates, pursuant to which we would receive cash royalties and milestones; (2) raising additional capital through equity or debt financings or from other sources; (3) obtaining product candidate regulatory approvals, which would generate revenue, milestones and cash flow; (4) reducing spending on one or more research and development programs, including by discontinuing development; and/or (5) restructuring operations to change our overhead structure. We are in the early stages of our commercialization effort for OLPRUVA and MIPLYFFA and do not yet have a substantial basis to project future earnings, and our other sources of revenue are not sufficient to sustain our present activities on their own. Accordingly, our ability to continue as a going concern may require us to obtain additional financing to fund our operations.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our only sources of revenues will be through payments arising from sales of our approved products and any other future arrangements related to one of our product candidates. We cannot guarantee that we will be able to generate sufficient proceeds from the sale of our approved products or product candidates, if approved, or be successful in completing other transactions that will fully fund our operating expenses. Further, the recent economic uncertainty, may dramatically reduce our ability to secure debt or equity financing necessary to support our operations. If we are delayed in obtaining additional funding or are unable to complete a strategic transaction, we may discontinue our development activities on our product candidates or discontinue our operations. Our future capital requirements will depend on many factors, including:</w:t>
      </w:r>
    </w:p>
    <w:p>
      <w:pPr>
        <w:spacing w:after="0" w:line="185" w:lineRule="exact"/>
        <w:rPr>
          <w:sz w:val="20"/>
          <w:szCs w:val="20"/>
          <w:color w:val="auto"/>
        </w:rPr>
      </w:pPr>
    </w:p>
    <w:p>
      <w:pPr>
        <w:ind w:left="460" w:hanging="224"/>
        <w:spacing w:after="0"/>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in commercializing our approved products;</w:t>
      </w:r>
    </w:p>
    <w:p>
      <w:pPr>
        <w:spacing w:after="0" w:line="222" w:lineRule="exact"/>
        <w:rPr>
          <w:rFonts w:ascii="Times New Roman" w:cs="Times New Roman" w:eastAsia="Times New Roman" w:hAnsi="Times New Roman"/>
          <w:sz w:val="18"/>
          <w:szCs w:val="18"/>
          <w:color w:val="auto"/>
        </w:rPr>
      </w:pPr>
    </w:p>
    <w:p>
      <w:pPr>
        <w:jc w:val="both"/>
        <w:ind w:left="4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commercial revenue received from commercial sales of our approved products, MIPLYFFA and OLPRUVA, or any of our product candidates subject to the terms of the AZSTARYS License Agreement, or sales of our product candidates for which we receive marketing approval in the future,</w:t>
      </w:r>
    </w:p>
    <w:p>
      <w:pPr>
        <w:jc w:val="both"/>
        <w:ind w:left="460" w:hanging="224"/>
        <w:spacing w:after="0" w:line="253"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may be affected by market conditions, including obtaining coverage and adequate reimbursement of our approved products, or any of our product candidates, from third-party payors, including government programs and managed care organizations, and competition within the therapeutic class to which our approved products, or any our product candidates are assigned;</w:t>
      </w:r>
    </w:p>
    <w:p>
      <w:pPr>
        <w:spacing w:after="0" w:line="186" w:lineRule="exact"/>
        <w:rPr>
          <w:rFonts w:ascii="Times New Roman" w:cs="Times New Roman" w:eastAsia="Times New Roman" w:hAnsi="Times New Roman"/>
          <w:sz w:val="18"/>
          <w:szCs w:val="18"/>
          <w:color w:val="auto"/>
        </w:rPr>
      </w:pPr>
    </w:p>
    <w:p>
      <w:pPr>
        <w:ind w:left="460" w:hanging="224"/>
        <w:spacing w:after="0" w:line="183" w:lineRule="auto"/>
        <w:tabs>
          <w:tab w:leader="none" w:pos="460" w:val="left"/>
        </w:tabs>
        <w:numPr>
          <w:ilvl w:val="0"/>
          <w:numId w:val="4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progress and results of our preclinical studies, clinical trials, chemistry, manufacturing and controls, and other product development and commercialization activities;</w:t>
      </w:r>
    </w:p>
    <w:p>
      <w:pPr>
        <w:spacing w:after="0" w:line="197" w:lineRule="exact"/>
        <w:rPr>
          <w:rFonts w:ascii="Times New Roman" w:cs="Times New Roman" w:eastAsia="Times New Roman" w:hAnsi="Times New Roman"/>
          <w:sz w:val="34"/>
          <w:szCs w:val="34"/>
          <w:color w:val="auto"/>
          <w:vertAlign w:val="subscript"/>
        </w:rPr>
      </w:pPr>
    </w:p>
    <w:p>
      <w:pPr>
        <w:ind w:left="460" w:hanging="224"/>
        <w:spacing w:after="0"/>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product candidates;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differentiating claims in the labels for our product candidates;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may pursue;</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necessary to institute post-approval regulatory compliance requirements;</w:t>
      </w:r>
    </w:p>
    <w:p>
      <w:pPr>
        <w:spacing w:after="0" w:line="222" w:lineRule="exact"/>
        <w:rPr>
          <w:rFonts w:ascii="Times New Roman" w:cs="Times New Roman" w:eastAsia="Times New Roman" w:hAnsi="Times New Roman"/>
          <w:sz w:val="18"/>
          <w:szCs w:val="18"/>
          <w:color w:val="auto"/>
        </w:rPr>
      </w:pPr>
    </w:p>
    <w:p>
      <w:pPr>
        <w:ind w:left="460" w:hanging="224"/>
        <w:spacing w:after="0" w:line="183" w:lineRule="auto"/>
        <w:tabs>
          <w:tab w:leader="none" w:pos="460" w:val="left"/>
        </w:tabs>
        <w:numPr>
          <w:ilvl w:val="0"/>
          <w:numId w:val="4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costs and timing of future commercialization activities, including product manufacturing, marketing, sales and distribution, for any of our product candidates for which we receive marketing approval;</w:t>
      </w:r>
    </w:p>
    <w:p>
      <w:pPr>
        <w:spacing w:after="0" w:line="197" w:lineRule="exact"/>
        <w:rPr>
          <w:rFonts w:ascii="Times New Roman" w:cs="Times New Roman" w:eastAsia="Times New Roman" w:hAnsi="Times New Roman"/>
          <w:sz w:val="34"/>
          <w:szCs w:val="34"/>
          <w:color w:val="auto"/>
          <w:vertAlign w:val="subscript"/>
        </w:rPr>
      </w:pPr>
    </w:p>
    <w:p>
      <w:pPr>
        <w:ind w:left="460" w:hanging="224"/>
        <w:spacing w:after="0" w:line="183" w:lineRule="auto"/>
        <w:tabs>
          <w:tab w:leader="none" w:pos="460" w:val="left"/>
        </w:tabs>
        <w:numPr>
          <w:ilvl w:val="0"/>
          <w:numId w:val="4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costs and timing of preparing, filing and prosecuting patent applications, maintaining and enforcing our intellectual property rights and defending any intellectual property-related claims; and</w:t>
      </w:r>
    </w:p>
    <w:p>
      <w:pPr>
        <w:spacing w:after="0" w:line="197" w:lineRule="exact"/>
        <w:rPr>
          <w:rFonts w:ascii="Times New Roman" w:cs="Times New Roman" w:eastAsia="Times New Roman" w:hAnsi="Times New Roman"/>
          <w:sz w:val="34"/>
          <w:szCs w:val="34"/>
          <w:color w:val="auto"/>
          <w:vertAlign w:val="subscript"/>
        </w:rPr>
      </w:pPr>
    </w:p>
    <w:p>
      <w:pPr>
        <w:ind w:left="460" w:hanging="224"/>
        <w:spacing w:after="0"/>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rely on and expect to continue to rely on third parties to conduct our clinical trials for our product candidates, and those third parties may not perform satisfactorily, including failing to meet deadlines for the completion of such trials.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engaged and expect to continue to engage CROs for our planned clinical trials of our product candidates. We rely on and expect to continue to rely on CROs, as well as other third parties, such as clinical data management organizations, medical institutions and clinical investigators, to conduct those clinical trials. Agreements with such third parties might terminate for a variety of reasons, including a failure to perform by the third parties. If we need to enter into alternative arrangements, our drug development activities would be delayed.</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investigators and trial sites. We also are required to register specified ongoing clinical trials and post the results of completed clinical trials on a government-sponsored database, ClinicalTrials.gov, within specified timeframes. In addition, we must conduct our clinical trials with product produced under cGMP requirements. Similar requirements apply in foreign jurisdictions. Failure to comply with these regulations may require us to repeat preclinical studies and clinical trials, which would delay the regulatory approval process. Failure to comply with the applicable requirements related to clinical investigations by us, our CROs or clinical trial sites can also result in clinical holds and termination of clinical trials, debarment, FDA or foreign regulatory authorities refusal to approve applications based on the clinical data, warning letters, withdrawal of marketing approval if the product has already been approved, fines and other monetary penalties, delays, adverse publicity and civil and criminal sanctions, among other consequences.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or foreign regulatory authorities conclude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or foreign marketing authorization application we submit by the FDA or foreign regulatory authorities. Any such delay or rejection could prevent us from commercializing our product candidates. Further, our arrangements with investigators are also subject to scrutiny under other health care regulatory laws, such as the Anti-Kickback Statute and comparable foreign laws.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also rely on and expect to continue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third parties with whom we contract do not successfully carry out their contractual duties or obligations or meet expected deadlines or if the quality or accuracy of the clinical data they obtain is compromised due to the failure to adhere to our clinical protocols or regulatory requirements or for other reasons, our clinical trials may be extended, delayed or terminated, we may need to conduct additional trials, and we may not be able to obtain regulatory approval for or successfully commercialize our product candidates. As a result,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adversely affected.</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contract with third parties for the manufacture of our approved products, partnered products and product candidates that utilize SDX, sodium phenylbutyrate, and arimoclomol, and we expect to continue to do so. This reliance on third-party manufacturers increases the risk that we will not have sufficient quantities of SDX, sodium phenylbutyrate and arimoclomol, or such quantities at an acceptable cost, which could delay, prevent or impair commercialization or development efforts.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do not have any manufacturing facilities. We procure the bulk drug substances for our approved products and product candidates from sole-source, third-party manufacturers and the partnered products and product candidates that utilize these moieties as the API used in our clinical trials from other third parties. We anticipate we will continue to do so for the foreseeable future. We also expect to continue to rely on third parties as we proceed with preclinical and clinical testing of our product candidates, as well as for commercial manufacture of our approved products, or any of our product candidates should such candidates receive marketing approval. This reliance on third parties increases the risk that we will not have sufficient quantities of SDX, sodium phenylbutyrate, arimoclomol, or other bulk drug substances or our approved products, partnered product or product candidates, or such quantities at an acceptable cost or quality, which could delay, prevent or impair our ability to timely conduct our clinical trials or our other development or commercialization efforts.</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may be unable to establish any future agreements with third-party manufacturers or to do so on acceptable terms. Even if we are able to maintain our existing third-party relationships or establish any such agreements with other third-party manufacturers, reliance on third-party manufacturers entails additional risks, including:</w:t>
      </w:r>
    </w:p>
    <w:p>
      <w:pPr>
        <w:spacing w:after="0" w:line="177" w:lineRule="exact"/>
        <w:rPr>
          <w:sz w:val="20"/>
          <w:szCs w:val="20"/>
          <w:color w:val="auto"/>
        </w:rPr>
      </w:pPr>
    </w:p>
    <w:p>
      <w:pPr>
        <w:ind w:left="460" w:hanging="224"/>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FDA, DEA, EMA and comparable foreign authorities, regulatory compliance and quality assurance;</w:t>
      </w:r>
    </w:p>
    <w:p>
      <w:pPr>
        <w:spacing w:after="0" w:line="249"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49"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and costs associated with changing suppliers, including additional regulatory filings;</w:t>
      </w:r>
    </w:p>
    <w:p>
      <w:pPr>
        <w:spacing w:after="0" w:line="249"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termination or nonrenewal of the agreement by the third party at a time that is costly or inconvenient for us;</w:t>
      </w:r>
    </w:p>
    <w:p>
      <w:pPr>
        <w:spacing w:after="0" w:line="249"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or inability to procure or expand sufficient manufacturing capacity;</w:t>
      </w:r>
    </w:p>
    <w:p>
      <w:pPr>
        <w:spacing w:after="0" w:line="249"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product quality issues related to scale-up of manufacturing;</w:t>
      </w:r>
    </w:p>
    <w:p>
      <w:pPr>
        <w:spacing w:after="0" w:line="249"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validation of new equipment and facilities required for scale-up;</w:t>
      </w:r>
    </w:p>
    <w:p>
      <w:pPr>
        <w:spacing w:after="0" w:line="249"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negotiate manufacturing agreements with third parties under commercially reasonable terms;</w:t>
      </w:r>
    </w:p>
    <w:p>
      <w:pPr>
        <w:spacing w:after="0" w:line="249"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is costly or damaging to us;</w:t>
      </w:r>
    </w:p>
    <w:p>
      <w:pPr>
        <w:spacing w:after="0" w:line="249" w:lineRule="exact"/>
        <w:rPr>
          <w:rFonts w:ascii="Times New Roman" w:cs="Times New Roman" w:eastAsia="Times New Roman" w:hAnsi="Times New Roman"/>
          <w:sz w:val="18"/>
          <w:szCs w:val="18"/>
          <w:color w:val="auto"/>
        </w:rPr>
      </w:pPr>
    </w:p>
    <w:p>
      <w:pPr>
        <w:jc w:val="both"/>
        <w:ind w:left="460" w:right="20" w:hanging="224"/>
        <w:spacing w:after="0" w:line="264"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a limited number of sources, and in some cases, single sources for product components, such that if we are unable to secure a sufficient supply of these product components, we will be unable to manufacture and sell our product candidates in a timely fashion, in sufficient quantities or under acceptable terms; and</w:t>
      </w:r>
    </w:p>
    <w:p>
      <w:pPr>
        <w:spacing w:after="0" w:line="1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w:t>
      </w:r>
    </w:p>
    <w:p>
      <w:pPr>
        <w:spacing w:after="0" w:line="2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trade policies and geopolitical disputes and other international conflicts can result in tariffs, sanctions and other measures that restrict international trade, and can materially adversely affect our business, particularly if these measures affect regions where manufacturing and product development activities take place or raw materials are sourced. For example, tensions between the United States and China have led to a series of tariffs being imposed by the United States on imports from China, as well as other business restrictions. Countries may also adopt other measures, such as controls on imports or exports of goods, technology or data, that could adversely impact supply chains. As these tensions continue to rise, more targeted approaches on certain products, industries or companies could significantly impact our development and commercialization efforts. The U.S. government has recently imposed tariffs on certain foreign goods, and some foreign governments have threatened or instituted retaliatory tariffs on certain U.S. goods and have indicated a willingness to impose additional tariffs on U.S. products, which could increase the cost of goods needed to commercialize our products and continue development of our product candidates. Further, such actions by the U.S. could result in other retaliatory actions by those countries which could impact our ability to profitably commercialize our products in those jurisdictions. As a result, our business, operations, and financial condition could be materially harmed.</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Any of these events could lead to clinical trial delays, failure to obtain regulatory approval or impact our ability to successfully commercialize our products, if approved. Some of these events could be the basis for FDA or foreign regulatory authorities action, including injunction, recall, seizure or total or partial suspension of production.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The facilities used by our contract manufacturers to manufacture our approved products, and any of our product candidates are subject to review by the FDA or comparable foreign regulatory authorities pursuant to inspections that will be conducted after we submit our marketing application to the FDA or the EMA, and such inspections could result in findings that lead to failure to obtain FDA or comparable foreign approval of such marketing applications.</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do not, other than through our contractual arrangements, control the manufacturing process of our approved products, or any of our other product candidates, and we are completely dependent on, our contract manufacturing partners for compliance with cGMP requirements and for manufacture of both active drug substances and finished drug products. If our contract manufacturers cannot successfully manufacture material that conforms to our specifications and the strict regulatory requirements of the FDA or other regulatory authorities, we will not be able to secure and maintain regulatory approval of our marketing applications for the use of their manufacturing facilities for our products. In addition, other than through our contractual agreements, we have no control over the ability of our contract manufacturers to maintain adequate quality control, quality assurance and qualified personnel. If the FDA, or a comparable foreign regulatory authority, does not approve these facilities for the manufacturing of our approved products, or any of our other product candidates, or if it withdraws any such approval in the future, we may need to find alternative manufacturing facilities, which would significantly impact our ability to develop, obtain marketing approval for or market our approved products, or any of our other product candidates, if approved.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for our approved products and any of our product candidates, if approved, our suppliers will be subject to regulatory requirements, covering manufacturing, testing, quality control and record keeping relating to our approved products or any of our product candidates, if approved, and subject to ongoing inspections by the regulatory agencies.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warning letters, clinical holds or termination of clinical trials, fines, injunctions, restitution, disgorgement, civil penalties, delays, suspension or withdrawal of approvals or other permits, FDA refusal to approve pending applications, product detentions, FDA or DEA consent decrees placing significant restrictions on or suspending manufacturing and distribution operations, debarment, refusal to allow import or export, product detentions, adverse publicity, dear-health-care-provider letters or other warnings, license revocation, seizures or recalls of product candidates, operating restrictions, refusal of government contracts or future orders under existing contracts and civil and criminal liability, including False Claims Act liability, exclusion from participation in federal health care programs, and corporate integrity agreements among other consequences, any of which could significantly and adversely affect supplies of our prodrugs.</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approved products that we are commercializing, and product candidates that we are currently developing, or may develop in the future, may compete with other product candidates and drugs for access to manufacturing facilities, and we may be unable to obtain access to these facilities on favorable terms.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a limited number of manufacturers that operate under cGMP or comparable foreign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our approved products or product candidates bulk drug substance. If our current contract manufacturer for our approved products or product candidates bulk drug substance cannot perform as agreed, we may be required to replace such manufacturer and we may incur added costs and delays in identifying and qualifying any such replacement. Any performance failure or significant delay could negatively affect our business, results of operations and financial condition.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collaborations with Commave, to develop, manufacture and commercialize AZSTARYS worldwide. In addition, we may seek collaborations with third parties for the development or commercialization of our other product candidates, or in other territories. If those collaborations are not successful, we may not be able to capitalize on the market potential of AZSTARYS or any of our other product candidates, if approved.</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entered into the AZSTARYS License Agreement with Commave pursuant to which we granted an exclusive, worldwide license to Commave to develop, manufacture and commercialize AZSTARYS. On behalf of Commave, Corium leads all commercialization activities in the United States for AZSTARYS under the AZSTARYS License Agreement. We cannot guarantee that the AZSTARYS License Agreement will be successful or that we will receive any future payments under the AZSTARYS License Agreement. For instance, Commave has the option to terminate the AZSTARYS License Agreement, in its entirety or on a product-by-product and country-by-country basis, at their convenience either (i) prior to the first regulatory approval of a product upon sixty days prior written notice or (ii) subsequent to the first regulatory approval of a product upon one hundred twenty days prior written notice. Further, even if Commave does not terminate the AZSTARYS License Agreement, we cannot guarantee that we will receive any additional milestone or royalty payments under the AZSTARYS License Agreement. In addition, under the AZSTARYS License Agreement, we have limited control over the amount and timing of resources that Corium will dedicate to the development, manufacturing or commercialization of AZSTARYS. Our ability to generate revenue under the AZSTARYS License Agreement will depend, in part, on Corium’s ability to successfully perform the functions assigned to it under the AZSTARYS License Agreement.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also seek additional third-party collaborators for the development or commercialization of any of our other product candidates, which are not subject to the AZSTARYS License Agreement, or those that are subject to the AZSTARYS License Agreement, but the option is not exercised by Commave. In such cases, our likely collaborators would include large and mid-size pharmaceutical companies, regional, national and international pharmaceutical companies and biotechnology companies. If we do enter into any such collaboration arrangements with any third parties, we will likely have limited control over the amount and timing of resources that our collaborators dedicate to the development or commercialization of our approved products or any of our other product candidates. Our ability to generate revenue from these arrangements will depend on our collaborators’ abilities to successfully perform the functions assigned to them in these arrangements.</w:t>
      </w:r>
    </w:p>
    <w:p>
      <w:pPr>
        <w:sectPr>
          <w:pgSz w:w="11900" w:h="16838" w:orient="portrait"/>
          <w:cols w:equalWidth="0" w:num="1">
            <w:col w:w="11240"/>
          </w:cols>
          <w:pgMar w:left="320" w:top="121" w:right="339" w:bottom="1111"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111"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collaboration with Commave, or Collaborator, poses the following risks to us:</w:t>
      </w:r>
    </w:p>
    <w:p>
      <w:pPr>
        <w:spacing w:after="0" w:line="223" w:lineRule="exact"/>
        <w:rPr>
          <w:sz w:val="20"/>
          <w:szCs w:val="20"/>
          <w:color w:val="auto"/>
        </w:rPr>
      </w:pPr>
    </w:p>
    <w:p>
      <w:pPr>
        <w:ind w:left="460" w:hanging="224"/>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has significant discretion in determining the efforts and resources that they will apply to these collaborations;</w:t>
      </w:r>
    </w:p>
    <w:p>
      <w:pPr>
        <w:spacing w:after="0" w:line="249"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may not perform their obligations as expected;</w:t>
      </w:r>
    </w:p>
    <w:p>
      <w:pPr>
        <w:spacing w:after="0" w:line="249" w:lineRule="exact"/>
        <w:rPr>
          <w:rFonts w:ascii="Times New Roman" w:cs="Times New Roman" w:eastAsia="Times New Roman" w:hAnsi="Times New Roman"/>
          <w:sz w:val="18"/>
          <w:szCs w:val="18"/>
          <w:color w:val="auto"/>
        </w:rPr>
      </w:pPr>
    </w:p>
    <w:p>
      <w:pPr>
        <w:jc w:val="both"/>
        <w:ind w:left="460" w:hanging="224"/>
        <w:spacing w:after="0" w:line="264"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may not pursue commercialization of AZSTARYS, any of our product candidates covered under the AZSTARYS License Agreement, if approved, or may elect not to continue or renew commercialization programs based on post-approval clinical trial results, changes in a Collaborator's strategic focus or available funding, or external factors, such as an acquisition, that divert resources or create competing priorities;</w:t>
      </w:r>
    </w:p>
    <w:p>
      <w:pPr>
        <w:spacing w:after="0" w:line="176" w:lineRule="exact"/>
        <w:rPr>
          <w:rFonts w:ascii="Times New Roman" w:cs="Times New Roman" w:eastAsia="Times New Roman" w:hAnsi="Times New Roman"/>
          <w:sz w:val="18"/>
          <w:szCs w:val="18"/>
          <w:color w:val="auto"/>
        </w:rPr>
      </w:pPr>
    </w:p>
    <w:p>
      <w:pPr>
        <w:jc w:val="both"/>
        <w:ind w:left="460" w:hanging="224"/>
        <w:spacing w:after="0" w:line="264"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could independently develop, or develop with third parties, products that compete directly or indirectly with AZSTARYS, or any of our other products covered under the AZSTARYS License Agreement, as applicable, if the Collaborator believes that competitive products are more likely to be successfully developed or can be commercialized under terms that are more economically attractive than ours;</w:t>
      </w:r>
    </w:p>
    <w:p>
      <w:pPr>
        <w:spacing w:after="0" w:line="176" w:lineRule="exact"/>
        <w:rPr>
          <w:rFonts w:ascii="Times New Roman" w:cs="Times New Roman" w:eastAsia="Times New Roman" w:hAnsi="Times New Roman"/>
          <w:sz w:val="18"/>
          <w:szCs w:val="18"/>
          <w:color w:val="auto"/>
        </w:rPr>
      </w:pPr>
    </w:p>
    <w:p>
      <w:pPr>
        <w:jc w:val="both"/>
        <w:ind w:left="460" w:hanging="224"/>
        <w:spacing w:after="0" w:line="264"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AZSTARYS, any of our other products covered under the AZSTARYS License Agreement, if approved, may be viewed by the Collaborator as competitive with their own product candidates or products, which may cause the Collaborator to cease to devote resources to the commercialization of AZSTARYS, or any of our other products covered under the AZSTARYS License Agreement, if approved;</w:t>
      </w:r>
    </w:p>
    <w:p>
      <w:pPr>
        <w:spacing w:after="0" w:line="176"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may not commit sufficient resources to the development, marketing and distribution of AZSTARYS and any of our other products covered under the AZSTARYS License Agreement, as applicable;</w:t>
      </w:r>
    </w:p>
    <w:p>
      <w:pPr>
        <w:spacing w:after="0" w:line="161" w:lineRule="exact"/>
        <w:rPr>
          <w:rFonts w:ascii="Times New Roman" w:cs="Times New Roman" w:eastAsia="Times New Roman" w:hAnsi="Times New Roman"/>
          <w:sz w:val="18"/>
          <w:szCs w:val="18"/>
          <w:color w:val="auto"/>
        </w:rPr>
      </w:pPr>
    </w:p>
    <w:p>
      <w:pPr>
        <w:jc w:val="both"/>
        <w:ind w:left="460" w:hanging="224"/>
        <w:spacing w:after="0" w:line="256"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the Collaborator, including disagreements over proprietary rights, contract interpretation or the preferred course of development or commercialization, might cause delays or termination of the development or commercialization of AZSTARYS, or any of our other products covered under the AZSTARYS License Agreement, as applicable, might lead to additional responsibilities for us with respect to AZSTARYS or any of our other products covered under the AZSTARYS License Agreement, or might result in litigation or arbitration, any of which would be time-consuming and expensive;</w:t>
      </w:r>
    </w:p>
    <w:p>
      <w:pPr>
        <w:spacing w:after="0" w:line="186" w:lineRule="exact"/>
        <w:rPr>
          <w:rFonts w:ascii="Times New Roman" w:cs="Times New Roman" w:eastAsia="Times New Roman" w:hAnsi="Times New Roman"/>
          <w:sz w:val="18"/>
          <w:szCs w:val="18"/>
          <w:color w:val="auto"/>
        </w:rPr>
      </w:pPr>
    </w:p>
    <w:p>
      <w:pPr>
        <w:ind w:left="460" w:hanging="224"/>
        <w:spacing w:after="0" w:line="310" w:lineRule="auto"/>
        <w:tabs>
          <w:tab w:leader="none" w:pos="4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Collaborator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39" w:lineRule="exact"/>
        <w:rPr>
          <w:rFonts w:ascii="Times New Roman" w:cs="Times New Roman" w:eastAsia="Times New Roman" w:hAnsi="Times New Roman"/>
          <w:sz w:val="17"/>
          <w:szCs w:val="17"/>
          <w:color w:val="auto"/>
        </w:rPr>
      </w:pPr>
    </w:p>
    <w:p>
      <w:pPr>
        <w:ind w:left="460" w:hanging="224"/>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may infringe the intellectual property rights of third parties, which may expose us to litigation and potential liability; and</w:t>
      </w:r>
    </w:p>
    <w:p>
      <w:pPr>
        <w:spacing w:after="0" w:line="249" w:lineRule="exact"/>
        <w:rPr>
          <w:rFonts w:ascii="Times New Roman" w:cs="Times New Roman" w:eastAsia="Times New Roman" w:hAnsi="Times New Roman"/>
          <w:sz w:val="18"/>
          <w:szCs w:val="18"/>
          <w:color w:val="auto"/>
        </w:rPr>
      </w:pPr>
    </w:p>
    <w:p>
      <w:pPr>
        <w:jc w:val="both"/>
        <w:ind w:left="460" w:hanging="224"/>
        <w:spacing w:after="0" w:line="264"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 agreements may be terminated by the Collaborator under specified circumstances and, if terminated, we could be required to raise additional capital to pursue further development or commercialization of AZSTARYS or any of our other products covered under the AZSTARYS License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enter into any future collaborations we will face similar risks with any future collaborators as well.</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AZSTARYS License Agreement and any other licensing or collaboration agreements we may enter into may not lead to commercialization of AZSTARYS, or development of KP1077, or any of our other product candidates in the most efficient manner or at all. If Commave or a future collaborator of ours were to be involved in a business combination, the continued pursuit and emphasis on our drug development or commercialization program could be delayed, diminished or terminated.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for our product candidates, we may have to alter our development and commercialization plans.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prodrug development programs and the potential commercialization of our product candidates, if approved, will require substantial additional capital. For our product candidates, which are not subject to the terms of the AZSTARYS License Agreement, we may need to collaborate with pharmaceutical and biotechnology companies for the development and potential commercialization of those product candidates.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several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product candidates, reduce or delay one or more of our development programs, delay potential commercialization of our product candidates or reduce the scope of any sales or marketing activities of our product candidates, or increase our expenditures and undertake development or commercialization activities at our own expense of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our product candidates to market and generate product revenue.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trade secret protection or patent protection for our technology, our approved products or our product candidates, or if the scope of the patent protection obtained is not sufficiently broad, our competitors could develop and commercialize technology and drugs similar or identical to ours, and our ability to successfully commercialize our technology, our approved products, or our product candidates, if approved, may be impaired.</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trade secret protection of our proprietary LAT platform technology as well as patent protection in the United States and other countries with respect to our approved products, and any of our product candidates. We seek to protect our proprietary position by filing patent applications in the United States and abroad related to our product technology and product candidates. As part of the AZSTARYS License Agreement, Commave obtained from us an exclusive, worldwide license to certain patents that cover AZSTARYS.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We may not have the right to control the preparation, filing and prosecution of patent applications, or to maintain the rights to patents, licensed to third parties by us.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Further, we may also not have the right to control the preparation, filing and prosecution of patent applications, or to maintain the rights to patents, licensed from third parties to us. Therefore, any such patents and applications may not be prosecuted and enforced in a manner consistent with the best interests of our business. If such licensors or licensees fail to maintain such patents, or lose rights to those patents, the rights we have in- or out-licensed may be reduced or eliminated.</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visa-versa. For example, European patent law restricts the patentability of methods of treatment of the human body more than United States law. Publications of discoveries in the scientific literature often lag behind the actual discoveries, and utility, or equivalent, patent applications in the United States and other jurisdictions are typically, for example, not published until 18 months after the filing date of such patent applications, or in some cases not at all. Therefore, we cannot know with certainty whether we were the first to make and/or use the inventions claimed in our owned or licensed patents or pending patent applications, or that we were the first to file for patent protection of such inventions. As a result, the issuance, scope, priority, validity, enforceability and commercial value of our patent rights are highly uncertain. Our pending and future patent applications may not result in patents being issued that protect our product candidates,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patent position is subject to numerous additional risks, including the following:</w:t>
      </w:r>
    </w:p>
    <w:p>
      <w:pPr>
        <w:spacing w:after="0" w:line="223" w:lineRule="exact"/>
        <w:rPr>
          <w:sz w:val="20"/>
          <w:szCs w:val="20"/>
          <w:color w:val="auto"/>
        </w:rPr>
      </w:pPr>
    </w:p>
    <w:p>
      <w:pPr>
        <w:ind w:left="460" w:hanging="224"/>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seek patent protection for inventions that are important to our success;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patent applications may not result in issued patents;</w:t>
      </w:r>
    </w:p>
    <w:p>
      <w:pPr>
        <w:spacing w:after="0" w:line="222" w:lineRule="exact"/>
        <w:rPr>
          <w:rFonts w:ascii="Times New Roman" w:cs="Times New Roman" w:eastAsia="Times New Roman" w:hAnsi="Times New Roman"/>
          <w:sz w:val="18"/>
          <w:szCs w:val="18"/>
          <w:color w:val="auto"/>
        </w:rPr>
      </w:pPr>
    </w:p>
    <w:p>
      <w:pPr>
        <w:ind w:left="460" w:right="20" w:hanging="224"/>
        <w:spacing w:after="0" w:line="280"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that we are the first to invent the inventions covered by pending patent applications or that we are the first to file such applications and, if we are not, we may be subject to priority disputes or lose rights;</w:t>
      </w:r>
    </w:p>
    <w:p>
      <w:pPr>
        <w:spacing w:after="0" w:line="161"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disclaim part or all of the term of certain patents or all of the term of certain patent applications;</w:t>
      </w:r>
    </w:p>
    <w:p>
      <w:pPr>
        <w:spacing w:after="0" w:line="222"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acquire patent term extensions or supplemental certificates of certain patents, domestic or foreign, due to regulatory delays, among others, which may affect the term of enforceability of such patents over time;</w:t>
      </w:r>
    </w:p>
    <w:p>
      <w:pPr>
        <w:spacing w:after="0" w:line="161" w:lineRule="exact"/>
        <w:rPr>
          <w:rFonts w:ascii="Times New Roman" w:cs="Times New Roman" w:eastAsia="Times New Roman" w:hAnsi="Times New Roman"/>
          <w:sz w:val="18"/>
          <w:szCs w:val="18"/>
          <w:color w:val="auto"/>
        </w:rPr>
      </w:pPr>
    </w:p>
    <w:p>
      <w:pPr>
        <w:jc w:val="both"/>
        <w:ind w:left="460" w:hanging="224"/>
        <w:spacing w:after="0" w:line="264"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file patent applications but have claims restricted or we may not be able to supply sufficient data to support our claims and, as a result, may not obtain the original claims desired or we may receive restricted claims; alternatively, it is possible that we may not receive any patent protection from an application;</w:t>
      </w:r>
    </w:p>
    <w:p>
      <w:pPr>
        <w:spacing w:after="0" w:line="176"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owned and licensed patent applications issue as patents, they may not issue in a form that will provide us with any meaningful protection, and may not be of sufficient scope or strength to provide us with any commercial advantage;</w:t>
      </w:r>
    </w:p>
    <w:p>
      <w:pPr>
        <w:spacing w:after="0" w:line="161" w:lineRule="exact"/>
        <w:rPr>
          <w:rFonts w:ascii="Times New Roman" w:cs="Times New Roman" w:eastAsia="Times New Roman" w:hAnsi="Times New Roman"/>
          <w:sz w:val="18"/>
          <w:szCs w:val="18"/>
          <w:color w:val="auto"/>
        </w:rPr>
      </w:pPr>
    </w:p>
    <w:p>
      <w:pPr>
        <w:ind w:left="460" w:right="20" w:hanging="224"/>
        <w:spacing w:after="0" w:line="280"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be able to design around our owned or licensed patents by developing similar or alternative technologies or drugs without infringing on our intellectual property rights;</w:t>
      </w:r>
    </w:p>
    <w:p>
      <w:pPr>
        <w:spacing w:after="0" w:line="161" w:lineRule="exact"/>
        <w:rPr>
          <w:rFonts w:ascii="Times New Roman" w:cs="Times New Roman" w:eastAsia="Times New Roman" w:hAnsi="Times New Roman"/>
          <w:sz w:val="18"/>
          <w:szCs w:val="18"/>
          <w:color w:val="auto"/>
        </w:rPr>
      </w:pPr>
    </w:p>
    <w:p>
      <w:pPr>
        <w:jc w:val="both"/>
        <w:ind w:left="460" w:hanging="224"/>
        <w:spacing w:after="0" w:line="264"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inadvertently abandon a patent or patent application, resulting in the loss of protection of intellectual property rights in a particular country, and we, our collaborators or our patent counsel may take action resulting in a patent or patent application becoming abandoned which may not be able to be reinstated or if reinstated, may suffer patent term adjustments or loss;</w:t>
      </w:r>
    </w:p>
    <w:p>
      <w:pPr>
        <w:spacing w:after="0" w:line="1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issued patents or patent applications when issued may not cover our product candidates;</w:t>
      </w:r>
    </w:p>
    <w:p>
      <w:pPr>
        <w:spacing w:after="0" w:line="222" w:lineRule="exact"/>
        <w:rPr>
          <w:rFonts w:ascii="Times New Roman" w:cs="Times New Roman" w:eastAsia="Times New Roman" w:hAnsi="Times New Roman"/>
          <w:sz w:val="18"/>
          <w:szCs w:val="18"/>
          <w:color w:val="auto"/>
        </w:rPr>
      </w:pPr>
    </w:p>
    <w:p>
      <w:pPr>
        <w:jc w:val="both"/>
        <w:ind w:left="460" w:hanging="224"/>
        <w:spacing w:after="0" w:line="259"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can be given that our patents would be declared by a court or tribunal, domestic or foreign, to be valid or enforceable or that a competitor’s technology or product would be found by a court or tribunal, domestic or foreign, to infringe our patents and our patents or patent applications may be challenged by third parties in patent litigation, domestic or foreign, or in proceedings before the United States Patent and Trademark Office, or the USPTO, or its foreign counterparts, and may ultimately be declared invalid or unenforceable or narrowed in scope;</w:t>
      </w:r>
    </w:p>
    <w:p>
      <w:pPr>
        <w:spacing w:after="0" w:line="181" w:lineRule="exact"/>
        <w:rPr>
          <w:rFonts w:ascii="Times New Roman" w:cs="Times New Roman" w:eastAsia="Times New Roman" w:hAnsi="Times New Roman"/>
          <w:sz w:val="18"/>
          <w:szCs w:val="18"/>
          <w:color w:val="auto"/>
        </w:rPr>
      </w:pPr>
    </w:p>
    <w:p>
      <w:pPr>
        <w:jc w:val="both"/>
        <w:ind w:left="460" w:hanging="224"/>
        <w:spacing w:after="0" w:line="264"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prior art of which we are not aware that may affect the validity or enforceability of a patent claim and there may be prior art of which we are aware, but which we do not believe affects the validity or enforceability of a claim, which may, nonetheless, ultimately be found to affect the validity or enforceability of a claim;</w:t>
      </w:r>
    </w:p>
    <w:p>
      <w:pPr>
        <w:spacing w:after="0" w:line="1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develop products that have the same or similar effect as our products without infringing our patents;</w:t>
      </w:r>
    </w:p>
    <w:p>
      <w:pPr>
        <w:spacing w:after="0" w:line="222"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intentionally circumvent our patents by means of alternate designs or processes or file applications or be granted patents that would block or hurt our efforts;</w:t>
      </w:r>
    </w:p>
    <w:p>
      <w:pPr>
        <w:spacing w:after="0" w:line="161"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dominating or intervening patents relevant to our product candidates of which we are not aware;</w:t>
      </w:r>
    </w:p>
    <w:p>
      <w:pPr>
        <w:spacing w:after="0" w:line="222"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for pharmaceutical products is a lengthy and complex process, and as a result, any patents covering our product candidates may expire before or shortly after such product candidates are approved and commercialized;</w:t>
      </w:r>
    </w:p>
    <w:p>
      <w:pPr>
        <w:spacing w:after="0" w:line="161"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and patent enforcement laws of some foreign jurisdictions do not protect intellectual property rights to the same extent as laws in the United States, and many companies have encountered significant difficulties in protecting and defending such rights in foreign jurisdictions; and</w:t>
      </w:r>
    </w:p>
    <w:p>
      <w:pPr>
        <w:spacing w:after="0" w:line="161"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Any of these factors could hurt our ability to gain full patent protection for our products. Registered trademarks and trademark applications in the United States and other countries are subject to similar risks as described above for patents and patent applications, in addition to the risks described below.</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Further, a third party may misappropriate or reverse engineer our proprietary LAT platform technology, which could limit our ability to stop others from using or commercializing similar or identical technology and resultant product candidates, product technology or prodrugs, or limit the duration of the trade secret protection of our proprietary LAT platform technology.</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we may be subject to a third-party pre-issuance submission of prior art to the USPTO, or become involved in opposition, litigation, nullity,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is threatened, it could dissuade companies from collaborating with us to seek patent protection or to license, develop or commercialize current or future product candidates.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issuance of a patent is not conclusive as to its inventorship, ownership, scope, priority, validity or enforceability, and our owned and licensed patents may be challenged in the courts, patent offices and tribunals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drugs, or limit the duration of the patent protection of our product technology, product candidates and prodrugs.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alter or diminish the value of patents in general, thereby impairing our ability to protect our products and technologies.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standards that the USPTO and patent offices in other countries use to grant patents are not always applied predictably or uniformly and can change. Changes in either the patent laws or interpretation of the patent laws in the United States and other countries could increase the uncertainties and costs, and may diminish our ability to protect our inventions, obtain, maintain, and enforce our intellectual property rights and, more generally, could affect the value of our intellectual property or narrow the scope of our owned and licensed patents.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patent positions of companies in the development and commercialization of pharmaceuticals are particularly uncertain. The United States Supreme Court has ruled on several patent cases in recent years, either narrowing the scope of patent protection available in certain circumstances or weakening the rights of patent owners in certain situations. Depending on future actions by the United States Congress, the United States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in the 2013 case </w:t>
      </w:r>
      <w:r>
        <w:rPr>
          <w:rFonts w:ascii="Times New Roman" w:cs="Times New Roman" w:eastAsia="Times New Roman" w:hAnsi="Times New Roman"/>
          <w:sz w:val="18"/>
          <w:szCs w:val="18"/>
          <w:i w:val="1"/>
          <w:iCs w:val="1"/>
          <w:color w:val="auto"/>
        </w:rPr>
        <w:t>Assoc.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Molecular Pathology v. Myriad Genetics, Inc.</w:t>
      </w:r>
      <w:r>
        <w:rPr>
          <w:rFonts w:ascii="Times New Roman" w:cs="Times New Roman" w:eastAsia="Times New Roman" w:hAnsi="Times New Roman"/>
          <w:sz w:val="18"/>
          <w:szCs w:val="18"/>
          <w:color w:val="auto"/>
        </w:rPr>
        <w:t>, the United States Supreme Court held that certain claims to DNA molecules are not patentable. While we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believe that any of the patents owned or licensed by us will be found invalid based on this decision, future decisions by the courts, the United States Congress or the USPTO may impact the value of our patents.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another example, on September 16, 2011, the Leahy-Smith America Invents Act, or the Leahy-Smith Act, was signed into law. The Leahy-Smith Act includes a number of significant changes to U.S. patent law. These include provisions that affect the way patent applications are prosecuted in the United States, redefine prior art and may also affect patent litigation. The USPTO recently developed new regulations and procedures to govern administration of the Leahy-Smith Act, and many of the substantive changes to patent law associated with the Leahy-Smith Act, and in particular, the first-to-file provisions, only became effective on March 16, 2013.</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Leahy-Smith Act and its implementation could increase the uncertainties and costs surrounding the prosecution of our patent applications and the enforcement or defense of our issued patents. For instance, the Leahy-Smith Act established the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 grant review procedures that has lowered the burden of proof for invalidity challenges to issued patents and limited the ability to amend patent claims in response to such challenges. In addition, patent reform legislation may pass in the future that could lead to additional uncertainties and increased costs surrounding the prosecution, enforcement and defense of our owned and licensed patents and/or patent applications.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Competitors or other third parties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and technologies.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significantly harm our business.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any collaborators, to develop, manufacture, market and sell our product candidates and use our proprietary technologies without infringing the proprietary rights of third parties. There is considerable intellectual property litigation in the biotechnology and pharmaceutical industries. In particular, we are focused on developing product candidates based on widely used therapeutic agents or drugs, many of which may be protected by proprietary rights of third parties.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Although we seek to develop proprietary prodrug formulations that do not infringe the intellectual property rights of others, we may become party to, or threatened with, future adversarial proceedings or litigation, domestic or foreign, regarding intellectual property rights with respect to our prodrugs or other aspects of our technology, including, for example, interference or derivation proceedings before the USPTO. Third parties may assert infringement claims against us based on existing patents or patents that may be granted in the future.</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technology and drugs.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or all of our business operations.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Competing products may also be sold in other countries in which our patent coverage might not exist or be as strong. If we lose a foreign patent lawsuit alleging our infringement of a competitor’s patent, we could be prevented from marketing our products in one or more foreign countries. As a result, our ability to grow our business and compete in the market may be harmed.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there could be public announcements of the results of hearings, motions or other interim proceedings or developments. If securities analysts or investors perceive these results to be negative, it could hurt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 third party may hold intellectual property rights, including patent rights, which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licensors fail to comply with our obligations in our intellectual property licenses and funding arrangements with third parties, we could lose rights that are important to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currently party to license agreements for technologies that we anticipate using in our product development activities. In the future, we may become party to licenses that are important for product development and commercialization. If we or our third-party licensors fail to comply with the obligations under current or future license and funding agreements, our counterparties may have the right to terminate these agreements, we may be forced to terminate these agreement or we may no longer effectively rely on any licenses to us under these agreements, in which event we might not be able to develop, manufacture or market any product or utilize any technology that is covered by these agreements or may face other penalties under the agreements. Such an occurrence could materially and adversely affect the value of a product candidate being developed under any such agreement or could restrict our drug discovery activities.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scope of our intellectual property may be reduced or may need to be reduced due to third-party intellectual property claims.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a U.S. patent application on inventions similar to ours that claims priority to an application filed prior to March 16, 2013,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In addition, changes enacted on March 16, 2013, to the U.S. patent laws under the Leahy-Smith Act resulted in the United States changing from a “first to invent” country to a “first to file” country. As a result, we may lose the ability to obtain a patent if another party files with the USPTO first and could become involved in proceedings before the USPTO to resolve disputes related to inventorship. We may also become involved in similar proceedings in other jurisdictions.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Furthermore, recent changes in U.S. patent law under the Leahy-Smith Act allow for post-issuance challenges to U.S. patents, including ex parte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and post-grant reviews. There is significant uncertainty as to how the new laws will be applied. If our U.S. patents are challenged using such procedures, we may not prevail, possibly resulting in altered or diminished claim scope or loss of patent rights altogether. Similarly, some countries, notably in Europe, also have post-grant opposition proceedings or nullity proceedings that can result in changes in scope or cancellation of patent claims.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foreign regulatory authorities closely regulate promotional materials and other promotional activities. Even if the FDA or foreign regulatory authorities initially approve product labeling that includes a description of our improved attribute claims, the FDA and foreign regulatory authorities may object to our marketing claims and product advertising campaigns. Failure to comply with the FDA’s and comparable foreign regulatory authorities’ promotional, marketing and advertising laws and regulations could lead to the issuance of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 Any of these consequences would harm the commercial success of our products.</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Further, our promotional materials, statements and training methods must comply with the FDA’s and comparable foreign regulatory authorities’ prohibition of the promotion of unapproved, or off-label, use. Any regulatory approval that the FDA grants is limited to those specific diseases and indications for which a product is deemed to be safe and effective by FDA. Similar requirements apply in foreign jurisdictions. For example, the FDA-approved label for AZSTARYS is limited to the acute treatment of ADHD in patients 6 years of age and older, and the FDA-approved label for APADAZ is limited to the short-term (no more than 14 days) management of acute pain severe enough to require an opioid analgesic and for which alternative treatments are inadequate. Physicians may use our products off-label, as the FDA does not restrict or regulate a physician’s independent choice of treatment within the practice of medicine. However, if the FDA or foreign regulatory authorities determine that our promotional materials, statements or training constitutes promotion of an off-label use, it could request that we modify our promotional materials, statements or training methods or subject us to regulatory or enforcement actions, such as the issuance of an untitled letter, a warning letter, injunction, seizure, civil fine, disgorgement of money, operating restrictions or criminal penalties. We may also be subject to actions by other governmental entities or private parties, such as the False Claims Act, civil whistleblower or “qui tam” actions. It is also possible that other federal, state or foreign enforcement authorities might take action if they consider our promotional or training materials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In addition, the off-label use of our products may increase the risk of product liability claims. Product liability claims are expensive to defend and could divert our management’s attention, result in substantial damage awards against us and harm our reputation.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may obtain may be infringed or successfully challenged, resulting in harm to our business.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our product candidates that are approved for marketing from the products of our competitors. We have registered trademarks, including those for LAT, Zevra, and OLPRUVA. In addition, we have solicited and applied for trademarks for the Zevra logo and several potential trade names and logos for future product candidates. Third parties may oppose or attempt to cancel our trademark applications or trademarks, or otherwise challenge our use of the trademarks. If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seeking patent and trademark protection for our product candidates, we also rely on trade secrets, including unpatented show-how,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Further, we may need to share our trade secrets and confidential know-how with future business partners, collaborators, contractors and others located in countries at heightened risk of theft of trade secrets, including through direct intrusion by private parties or actors in other countries, and those affiliated with or controlled by state actors.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Monitoring unauthorized uses and disclosures of our intellectual property, including our trade secrets,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our competitors may independently develop or reverse engineer knowledge, methods, show-how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such trade secrets, from using that technology or information to compete with us. If any of our trade secrets were to be disclosed to or independently developed by a competitor, our competitive position would be harmed.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Patents are of national or regional effect, and filing, prosecuting and defending patents on all of our products and technologies throughout the world would be prohibitively expensive. As such, our intellectual property rights in some countries outside the United States can be less extensive than those in the United States and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or technology and may export otherwise infringing products or technology to territories where we have patent protection, but enforcement rights are not as strong as those in the United States. These products may compete with our products and technologies, and our patents or other intellectual property rights may not be effective or sufficient to prevent them from competing. Further, the legal systems of certain countries, particularly certain developing countries, do not favor the enforcement of patents and other intellectual property protection, particularly those relating to pharmaceuticals or biologics, which could make it difficult for us to stop the infringement of our patents or marketing of competing products in violation of our proprietary rights generally. Proceedings to enforce our patent rights in other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such lawsuits that we initiate and the damages and other remedies awarded, if any, may not be commercially meaningful. Similarly, if our trade secrets are disclosed in another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intellectual property laws of other countries. In addition, certain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2012, the European Patent Package, or EU Patent Package, regulations were passed with the goal of providing a single pan-European Unitary Patent and a new European Unified Patent Court, or UPC, for litigation involving European patents. The EU Patent Package went into effect June 1, 2023.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we will have the right to opt our patents out of the UPC over the first seven years of the court’s existence, but doing so may preclude us from realizing the benefits of the new unified court.</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decision to seek approval of our product candidates under certain regulatory pathways, such as the 505(b)(2) NDA pathway for the FDA, may increase the risk that patent infringement suits are filed against us, which would delay FDA or comparable foreign regulatory authorities' approval of such product candidates.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Regarding any NDA that we may submit under the 505(b)(2) NDA pathway, if there are patents that claim the approved drug contained in our product candidates and referenced in our 505(b)(2) NDA, we must certify to the FDA and notify the patent holder that any patents listed for the approved drug in the FDA’s Orange Book publication are invalid, unenforceable or will not be infringed by the manufacture, use or sale of our prodrug. If a patent infringement lawsuit is filed against us within 45 days of its receipt of notice of our certification, the FDA is automatically prevented from approving our 505(b)(2) NDA until the earliest of 30 months, expiration of the patent, settlement of the lawsuit or a court decision in the infringement case that is favorable to us, or such shorter or longer period as may be ordered by a court. Such actions are routinely filed by patent owners. Accordingly, we may invest considerable time and expense in the development of our product candidates only to be subject to significant delay and patent litigation before our product candidates may be commercialized. We may not be successful in defending any patent infringement claim. Even if we are found not to infringe, or a plaintiff’s patent claims are found invalid or unenforceable, defending any such infringement claim would be expensive and time-consuming, and would delay launch of our product candidates and distract management from their normal responsibilities.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approved products, and any of our other product candidates from being marketed abroad.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in the EU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spacing w:after="0" w:line="182"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our approved products and any of our product candidates, if approved, internationally, could affect our business.</w:t>
      </w:r>
    </w:p>
    <w:p>
      <w:pPr>
        <w:spacing w:after="0" w:line="15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We may seek regulatory approval for our approved products and any of our product candidates, if approved, outside of the United States and, accordingly, we expect that we will be subject to additional risks related to operating in foreign countries if we obtain the necessary approvals, including:</w:t>
      </w:r>
    </w:p>
    <w:p>
      <w:pPr>
        <w:spacing w:after="0" w:line="162" w:lineRule="exact"/>
        <w:rPr>
          <w:sz w:val="20"/>
          <w:szCs w:val="20"/>
          <w:color w:val="auto"/>
        </w:rPr>
      </w:pPr>
    </w:p>
    <w:p>
      <w:pPr>
        <w:ind w:left="460" w:hanging="224"/>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222" w:lineRule="exact"/>
        <w:rPr>
          <w:rFonts w:ascii="Times New Roman" w:cs="Times New Roman" w:eastAsia="Times New Roman" w:hAnsi="Times New Roman"/>
          <w:sz w:val="18"/>
          <w:szCs w:val="18"/>
          <w:color w:val="auto"/>
        </w:rPr>
      </w:pPr>
    </w:p>
    <w:p>
      <w:pPr>
        <w:ind w:left="460" w:right="20" w:hanging="224"/>
        <w:spacing w:after="0" w:line="280"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161"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222"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labor shortages, supply chain shortages, or other economic or political uncertainties or instability in particular foreign economies and markets;</w:t>
      </w:r>
    </w:p>
    <w:p>
      <w:pPr>
        <w:spacing w:after="0" w:line="161"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222"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161"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222"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1"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such as the current situation with Ukraine and Russia.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and other risks associated with our international operations may compromise our ability to achieve or maintain profitability.</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approved products are, and any of our product candidates for which we obtain marketing approval will remain subject to significant post-marketing regulatory requirements and oversight.</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approved products are, and any of our product candidates for which we obtain marketing approval could be, subject to significant post-marketing regulatory requirements and oversight, including the submission of reports to regulatory authorities and surveillance to monitor the safety and efficacy of the product, significant limitations related to use restrictions for specified age groups, warnings, precautions or contraindications, and burdensome post-approval study or risk management requirements.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example, we are required to conduct pediatric studies related to AZSTARYS to evaluate its safety and effectiveness for the claimed indication in pediatric patients. Under the AZSTARYS License Agreement, Corium will be responsible for these regulatory activities going forward, and we cannot guarantee they will be complied with.</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OLPRUVA for oral suspension in the U.S. for the treatment of certain patients with UCDs, and for MIPLYFFA for orally-delivered treatment for NPC,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 and comparable foreign regulations and GCP for any clinical trials that we conduct post-approval.</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the manufacturing processes, labeling, packaging, distribution, adverse event reporting, storage, advertising, promotion, import, export and recordkeeping for any approved drugs are subject to extensive and ongoing regulatory requirements. These requirements include submissions of safety and other post-marketing information and reports, registration and listing requirements, payment of substantial annual product and establishment fees, labeling requirements, promotional, marketing and advertising requirements, requirements related to further development, packaging, storage and distribution requirements, cGMP requirements relating to manufacturing, quality control, quality assurance and corresponding maintenance of records and documents, requirements regarding the distribution of samples to physicians and recordkeeping. If there are any modifications to the drug, including changes in indications, labeling, manufacturing processes or facilities, or new safety issues arise, a new or supplemental NDA, a post-implementation notification or other reporting may be required or requested depending on the change, which may require additional data or additional preclinical studies and clinical trials.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approved products are, and if marketing approval of any of our product candidates is granted, such product candidates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In addition, the FDA or the EMA may also impose requirements for costly post-marketing studies or clinical trials and surveillance to monitor the safety or efficacy of the product.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Products may be approved with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 For instance, the label for AZSTARYS contains black box warnings regarding the risks of abuse and dependence.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Violations of the FFDCA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including those related to manufacturers or manufacturing processes, or failure to comply with regulatory requirements, may have negative consequences, including:</w:t>
      </w:r>
    </w:p>
    <w:p>
      <w:pPr>
        <w:spacing w:after="0" w:line="162" w:lineRule="exact"/>
        <w:rPr>
          <w:sz w:val="20"/>
          <w:szCs w:val="20"/>
          <w:color w:val="auto"/>
        </w:rPr>
      </w:pPr>
    </w:p>
    <w:p>
      <w:pPr>
        <w:ind w:left="460" w:hanging="224"/>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inspectional findings;</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distribution, manufacturers or manufacturing processes;</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drug;</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warnings or other restrictions on the product’s indicated use, label, or marketing;</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safety alerts, dear-healthcare-provider letters, press releases or other communications containing warnings regarding the product;</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to establish or modify a REMS or similar risk management programs;</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to conduct post-marketing studies or surveillance;</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drug distribution or use;</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or withdrawal of the prodrug products from the market;</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 and other delays;</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the suspension or termination of ongoing clinical trials;</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 or other permits or voluntary suspension of marketing;</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276"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government contracts or future orders under existing contracts, exclusion from participation in federal health care programs, and corporate integrity agreements;</w:t>
      </w:r>
    </w:p>
    <w:p>
      <w:pPr>
        <w:spacing w:after="0" w:line="188"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False Claims Act liability.</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Non-compliance with EU requirements regarding safety monitoring or pharmacovigilance, and with requi rements related to the development of drugs for the pediatric population, can also result in significant financial penalties. Similarly, failure to comply with the EU’s requirements regarding the protection of personal information can also lead to significant penalties and sanctions.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products and generate revenue, and could require us to expend significant time and resources in response and could generate negative publicity. In addition, the policies of the FDA, the EMA and other regulatory authorities may change, and additional government regulations may be enacted that could impair our business.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commercial collaborators, contract manufacturers, service providers and other vendors may engage in misconduct or other improper activities, including non-compliance with regulatory standards and requirements.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the risk of misconduct by employees and independent contractors, such as principal investigators, CROs, consultants, commercial collaborators, contract manufacturers, service providers and other vendors. Such misconduct could include failures to comply with FDA, the EMA, or comparable foreign regulations, to provide accurate information to the FDA, the EMA, or comparable foreign authorities, to comply with manufacturing standards that we have established or that are established by regulation, to comply with federal and state contracting and healthcare fraud and abuse laws, to report drug pricing,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research, manufacturing, distribution, pricing, discounting, marketing, advertising and promotion, sales commissions,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and self-disclose credible evidence of False Claims Act violations.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warning letters, untitled letters, cyber letters, seizure or recall of products, injunctions, withdrawal of product approval or other permits, clinical holds and termination of clinical trials, FDA or foreign regulatory authorities refusal to approve pending applications, product detentions, FDA, DEA, or comparable foreign regulatory authorities consent decrees, restriction or suspension of manufacturing and distribution, debarment, refusal to allow product import or export, adverse publicity, refusal of government contracts or future orders under existing contracts, dear-health-care-provider letters or other warnings or corrective information, recalls, delays, significant civil, criminal and administrative penalties including False Claims Act liability, damages, monetary fines, disgorgement, restitution, possible exclusion from participation in Medicare, Medicaid and other federal healthcare programs, corporate integrity agreements, contractual damages, reputational harm, diminished profits and future earnings and curtailment or restructuring of our operations, among other consequences, any of which could adversely affect our ability to operate.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and other healthcare laws and regulations, which could expose us to penalties.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Healthcare providers and third-party payors in the United States and elsewhere play a primary role in the recommendation and prescription of our products, as well as any product candidates for which we obtain marketing approval. Our and our commercial partners' current and future arrangements with healthcare professionals, principal investigators, consultants, customers and third-party payors may expose us to broadly applicable fraud and abuse and other healthcare laws, including, without limitation, the Anti-Kickback Statute and the False Claims Act, that may constrain the business or financial arrangements and relationships through which we and our commercial partners sell, market and distribute any product candidates for which we obtain marketing approval. In addition, we may be subject to transparency laws with respect to drug pricing and transfers of value made to physicians and other healthcare professionals. The applicable federal, state and foreign healthcare laws that may affect our ability to operate include the following:</w:t>
      </w:r>
    </w:p>
    <w:p>
      <w:pPr>
        <w:spacing w:after="0" w:line="186" w:lineRule="exact"/>
        <w:rPr>
          <w:sz w:val="20"/>
          <w:szCs w:val="20"/>
          <w:color w:val="auto"/>
        </w:rPr>
      </w:pPr>
    </w:p>
    <w:p>
      <w:pPr>
        <w:jc w:val="both"/>
        <w:ind w:left="460" w:hanging="224"/>
        <w:spacing w:after="0" w:line="256"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paying remuneration, directly or indirectly, in cash or in kind, to induce or reward, or in return for, either the referral of an individual for, or the purchase, lease, order or arranging for the purchase, lease or order of, any good, facility, item or service, for which payment may be made, in whole or in part, under federal and state healthcare programs such as Medicare and Medicaid. A person or entity does not need to have actual knowledge of this statute or specific intent to violate it in order to have committed a violation;</w:t>
      </w:r>
    </w:p>
    <w:p>
      <w:pPr>
        <w:spacing w:after="0" w:line="212" w:lineRule="exact"/>
        <w:rPr>
          <w:rFonts w:ascii="Times New Roman" w:cs="Times New Roman" w:eastAsia="Times New Roman" w:hAnsi="Times New Roman"/>
          <w:sz w:val="18"/>
          <w:szCs w:val="18"/>
          <w:color w:val="auto"/>
        </w:rPr>
      </w:pPr>
    </w:p>
    <w:p>
      <w:pPr>
        <w:jc w:val="both"/>
        <w:ind w:left="460" w:hanging="224"/>
        <w:spacing w:after="0" w:line="255"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federal civil and criminal false claims laws, including the False Claims Act, which impose criminal and civil penalties, including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among other things, knowingly presenting, or causing to be presented, to the federal government, including the Medicare and Medicaid programs, claims for payment that are false or fraudulent or making or using a false record or statement material to a false or fraudulent claim or to avoid, decrease or conceal an obligation to pay money to the federal government, including erroneous pricing information on which mandatory rebates, discounts and reimbursement amounts are based, or in the case of the False Claims Act, for violations of the federal Anti-Kickback Statute in connection with a claim for payment or for conduct constituting reckless disregard for the truth;</w:t>
      </w:r>
    </w:p>
    <w:p>
      <w:pPr>
        <w:spacing w:after="0" w:line="212" w:lineRule="exact"/>
        <w:rPr>
          <w:rFonts w:ascii="Times New Roman" w:cs="Times New Roman" w:eastAsia="Times New Roman" w:hAnsi="Times New Roman"/>
          <w:sz w:val="18"/>
          <w:szCs w:val="18"/>
          <w:color w:val="auto"/>
        </w:rPr>
      </w:pPr>
    </w:p>
    <w:p>
      <w:pPr>
        <w:jc w:val="both"/>
        <w:ind w:left="460" w:hanging="224"/>
        <w:spacing w:after="0" w:line="264"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203" w:lineRule="exact"/>
        <w:rPr>
          <w:rFonts w:ascii="Times New Roman" w:cs="Times New Roman" w:eastAsia="Times New Roman" w:hAnsi="Times New Roman"/>
          <w:sz w:val="18"/>
          <w:szCs w:val="18"/>
          <w:color w:val="auto"/>
        </w:rPr>
      </w:pPr>
    </w:p>
    <w:p>
      <w:pPr>
        <w:jc w:val="both"/>
        <w:ind w:left="460" w:hanging="224"/>
        <w:spacing w:after="0" w:line="253"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this statute or specific intent to violate it in order to have committed a violation;</w:t>
      </w:r>
    </w:p>
    <w:p>
      <w:pPr>
        <w:spacing w:after="0" w:line="216" w:lineRule="exact"/>
        <w:rPr>
          <w:rFonts w:ascii="Times New Roman" w:cs="Times New Roman" w:eastAsia="Times New Roman" w:hAnsi="Times New Roman"/>
          <w:sz w:val="18"/>
          <w:szCs w:val="18"/>
          <w:color w:val="auto"/>
        </w:rPr>
      </w:pPr>
    </w:p>
    <w:p>
      <w:pPr>
        <w:jc w:val="both"/>
        <w:ind w:left="460" w:hanging="224"/>
        <w:spacing w:after="0" w:line="254"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and its implementing regulations, impose new annual reporting requirements for manufacturers of drugs, devices, biologicals and medical supplies for which payment is available under Medicare, Medicaid or the Children’s Health Insurance Program, with certain exceptions, to annually report certain payments and transfers of value provided to physicians (defined to include doctors, dentists, optometrists, podiatrists and chiropractors), certain other healthcare professionals (physician assistants, nurse practitioners, clinical nurse specialists, certified nurse anesthetists, anesthesiologist assistants and certified nurse-midwives) and teaching hospitals, or to entities or individuals at the request of, or designated on behalf of, such providers and teaching hospitals, and to report annually certain ownership and investment interests held by physicians and their immediate family members; and</w:t>
      </w:r>
    </w:p>
    <w:p>
      <w:pPr>
        <w:spacing w:after="0" w:line="213" w:lineRule="exact"/>
        <w:rPr>
          <w:rFonts w:ascii="Times New Roman" w:cs="Times New Roman" w:eastAsia="Times New Roman" w:hAnsi="Times New Roman"/>
          <w:sz w:val="18"/>
          <w:szCs w:val="18"/>
          <w:color w:val="auto"/>
        </w:rPr>
      </w:pPr>
    </w:p>
    <w:p>
      <w:pPr>
        <w:jc w:val="both"/>
        <w:ind w:left="460" w:hanging="224"/>
        <w:spacing w:after="0" w:line="255"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certain state laws which require drug manufacturers to comply with the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certain state laws that require manufacturers to report information on the pricing of certain drug products; and certain state and local laws require the registration or pharmaceutical sales representatives.</w:t>
      </w:r>
    </w:p>
    <w:p>
      <w:pPr>
        <w:spacing w:after="0" w:line="1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These laws may affect our and our commercial partners' sales, marketing, and other promotional activities by imposing administrative and compliance burdens on us and our commercial partners.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or that our compliance systems are inadequate to detect and report such conduct or to report accurate pricing information to the government.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corporate integrity agreements or similar agreements to resolve allegations of non-compliance with these laws, and the curtailment or restructuring of our operations, which could significantly harm our business. If any of the physicians or other healthcare providers or entities with whom we currently, or expect to, do business, including future collaborators, is found not to be in compliance with applicable laws, they and we may be subject to significant penalties and potential exclusion from participation in healthcare programs as a result of their non-compliance.</w:t>
      </w:r>
    </w:p>
    <w:p>
      <w:pPr>
        <w:sectPr>
          <w:pgSz w:w="11900" w:h="16838" w:orient="portrait"/>
          <w:cols w:equalWidth="0" w:num="1">
            <w:col w:w="11240"/>
          </w:cols>
          <w:pgMar w:left="320" w:top="121" w:right="339" w:bottom="977"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977"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our product candidates and increase the cost to commercialize our approved products, and any of our product candidates that may be approved in the future and affect the prices thereof.</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the ability to profitably sell our approved products and our ability to profitably sell any of our product candidates for which we obtain marketing approval.</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March 2010, the ACA was signed into law and was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provisions of the ACA of importance to our potential product candidates are the following:</w:t>
      </w:r>
    </w:p>
    <w:p>
      <w:pPr>
        <w:spacing w:after="0" w:line="223" w:lineRule="exact"/>
        <w:rPr>
          <w:sz w:val="20"/>
          <w:szCs w:val="20"/>
          <w:color w:val="auto"/>
        </w:rPr>
      </w:pPr>
    </w:p>
    <w:p>
      <w:pPr>
        <w:ind w:left="660" w:hanging="330"/>
        <w:spacing w:after="0" w:line="280"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188"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13.0% of the average manufacturer price for branded drugs and generic drugs, respectively;</w:t>
      </w:r>
    </w:p>
    <w:p>
      <w:pPr>
        <w:spacing w:after="0" w:line="188"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federal Anti-Kickback Statute, new government investigative powers and enhanced penalties for non-compliance;</w:t>
      </w:r>
    </w:p>
    <w:p>
      <w:pPr>
        <w:spacing w:after="0" w:line="188"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new and distinct methodology by which rebates owed by manufacturers under the Medicaid Drug Rebate Program are calculated for drugs that are inhaled, infused, instilled, implanted or injected;</w:t>
      </w:r>
    </w:p>
    <w:p>
      <w:pPr>
        <w:spacing w:after="0" w:line="188" w:lineRule="exact"/>
        <w:rPr>
          <w:rFonts w:ascii="Times New Roman" w:cs="Times New Roman" w:eastAsia="Times New Roman" w:hAnsi="Times New Roman"/>
          <w:sz w:val="18"/>
          <w:szCs w:val="18"/>
          <w:color w:val="auto"/>
        </w:rPr>
      </w:pPr>
    </w:p>
    <w:p>
      <w:pPr>
        <w:jc w:val="both"/>
        <w:ind w:left="660" w:hanging="330"/>
        <w:spacing w:after="0" w:line="287" w:lineRule="auto"/>
        <w:tabs>
          <w:tab w:leader="none" w:pos="6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Medicare Part D coverage gap discount program (which was replaced in 2025), in which manufacturers were required to offer 70% point-of-sale discounts off negotiated prices (generally as negotiated between the Medicare Part D plan and the pharmacy) of applicable brand drugs to eligible beneficiaries during their coverage gap period, as a condition for the manufacturer’s outpatient drugs to be covered under Medicare Part D;</w:t>
      </w:r>
    </w:p>
    <w:p>
      <w:pPr>
        <w:spacing w:after="0" w:line="185" w:lineRule="exact"/>
        <w:rPr>
          <w:rFonts w:ascii="Times New Roman" w:cs="Times New Roman" w:eastAsia="Times New Roman" w:hAnsi="Times New Roman"/>
          <w:sz w:val="17"/>
          <w:szCs w:val="17"/>
          <w:color w:val="auto"/>
        </w:rPr>
      </w:pPr>
    </w:p>
    <w:p>
      <w:pPr>
        <w:jc w:val="both"/>
        <w:ind w:left="660" w:hanging="330"/>
        <w:spacing w:after="0" w:line="264"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 and extension of the inflation percentage applicable to existing branded drugs to new formulations for purposes of computing the inflation penalty component of Medicaid rebates;</w:t>
      </w:r>
    </w:p>
    <w:p>
      <w:pPr>
        <w:spacing w:after="0" w:line="203"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203"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requirements under the federal Open Payments program and its implementing regulations;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requirement to annually report drug samples that manufacturers and distributors provide to physicians; and</w:t>
      </w:r>
    </w:p>
    <w:p>
      <w:pPr>
        <w:spacing w:after="0" w:line="276"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In August 2011, the Budget Control Act of 2011, among other things, included aggregate reductions to Medicare payments to providers, which went into effect in April 2013, and, due to subsequent legislative amendments, will stay in effect through 2032, In January 2013, the American Taxpayer Relief Act of 2012 was signed into law, which, among other things, further reduced Medicare payments to several providers, and increased the statute of limitations period for the government to recover overpayments to providers from three to five years. In addition, on March 11, 2021, the American Rescue Plan Act of 2021 was signed into law, which eliminated the statutory Medicaid drug rebate cap, beginning January 1, 2024. The rebate was previously capped at 100% of a drug's average manufacturer price.</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manufacturer discounting program (which began in 2025). The IRA permits the Secretary of the Department of Health and Human Services, or HHS, to implement many of these provisions through guidance, as opposed to regulation, for the initial years. CMS has published the negotiated prices for the initial ten drugs, which will first be effective in 2026, and has published the list of the subsequent 15 drugs that will be subject to negotiation, although the drug price negotiation program is currently subject to legal challenges. For that and other reasons, it is currently unclear how the IRA will be effectuated.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drug price increase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These new laws may result in additional reductions in Medicare and other healthcare funding, which could negatively impact customers for our product candidates, if approved, and, accordingly, our financial operations</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EU, on December 13, 2021, Regulation No 2021/2282 on Health Technology Assessment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We expect that the healthcare reform measures that have been adopted and may be adopted in the future, may, among other things,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prodrug product candidates.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Legislative and regulatory proposals and enacted statutes have been made to expand post-approval requirements and restrict sales and promotional activities for drugs. For instance, the Drug Supply Chain Security Act imposes obligations on manufacturers of pharmaceutical products, among others, related to product tracking and tracing. Among the requirements of this new legislation, manufacturers are required to provide specified information regarding the drug products they produce to individuals and entities to which product ownership is transferred, label drug products with a product identifier and keep specified records regarding the drug products. The transfer of information to subsequent product owners by manufacturers will eventually be required to be done electronically. Manufacturers are also required to verify that purchasers of products are appropriately licensed. Further, under this legislation, manufacturers have drug product investigation, quarantine, disposition and FDA and trading-partner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EU,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ectPr>
          <w:pgSz w:w="11900" w:h="16838" w:orient="portrait"/>
          <w:cols w:equalWidth="0" w:num="1">
            <w:col w:w="11240"/>
          </w:cols>
          <w:pgMar w:left="320" w:top="121"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cannot be sure whether additional legislative changes will be enacted, or whether the FDA or foreign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which we participate, we could be subject to additional reimbursement requirements, penalties, sanctions and fines, which could have a material adverse effect on our business, financial condition, results of operations and growth prospects.</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Medicaid is a joint federal and state program administered by the states for low income and disabled beneficiaries. We participate in and have certain price reporting obligations under the Medicaid Drug Rebate Program, or the MDRP, as a condition of having covered outpatient drugs payable under Medicaid and, if applicable, under Medicare Part B. The MDRP requires us to pay a rebate to state Medicaid programs every quarter for each unit of our covered outpatient drugs dispensed to Medicaid beneficiaries and paid for by a state Medicaid program. The rebate is based on pricing data that we must report on a monthly and quarterly basis to the Centers for Medicare &amp; Medicaid Services, or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U.S. in any pricing structure, calculated to include all sales and associated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spacing w:after="0" w:line="19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recently-enacted IRA imposes rebates under Medicare Part B and Medicare Part D that are triggered by price increases that outpace inflation (first due in 2023), as described under the risk factor “</w:t>
      </w:r>
      <w:r>
        <w:rPr>
          <w:rFonts w:ascii="Times New Roman" w:cs="Times New Roman" w:eastAsia="Times New Roman" w:hAnsi="Times New Roman"/>
          <w:sz w:val="17"/>
          <w:szCs w:val="17"/>
          <w:i w:val="1"/>
          <w:iCs w:val="1"/>
          <w:color w:val="auto"/>
        </w:rPr>
        <w:t>Recently enacted and future legislation may increase the difficulty and cost for us to obtain marketing approval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our product candidates and increase the cost to commercialize our approved products, and any of our product candidates that may be approved in the future and affect the prices thereof</w:t>
      </w:r>
      <w:r>
        <w:rPr>
          <w:rFonts w:ascii="Times New Roman" w:cs="Times New Roman" w:eastAsia="Times New Roman" w:hAnsi="Times New Roman"/>
          <w:sz w:val="17"/>
          <w:szCs w:val="17"/>
          <w:color w:val="auto"/>
        </w:rPr>
        <w:t>,” above. The Medicare Part D rebate will be calculated on the basis of the AMP figures we report pursuant to the MDRP.</w:t>
      </w:r>
    </w:p>
    <w:p>
      <w:pPr>
        <w:spacing w:after="0" w:line="166" w:lineRule="exact"/>
        <w:rPr>
          <w:sz w:val="20"/>
          <w:szCs w:val="20"/>
          <w:color w:val="auto"/>
        </w:rPr>
      </w:pPr>
    </w:p>
    <w:p>
      <w:pPr>
        <w:jc w:val="both"/>
        <w:spacing w:after="0" w:line="216" w:lineRule="exact"/>
        <w:rPr>
          <w:sz w:val="20"/>
          <w:szCs w:val="20"/>
          <w:color w:val="auto"/>
        </w:rPr>
      </w:pPr>
      <w:r>
        <w:rPr>
          <w:rFonts w:ascii="Times New Roman" w:cs="Times New Roman" w:eastAsia="Times New Roman" w:hAnsi="Times New Roman"/>
          <w:sz w:val="18"/>
          <w:szCs w:val="18"/>
          <w:color w:val="auto"/>
        </w:rPr>
        <w:t>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or HRSA, and requires us to charge statutorily defined covered entities no more than the 340B “ceiling price” for our covered outpatient drugs</w:t>
      </w:r>
      <w:r>
        <w:rPr>
          <w:rFonts w:ascii="Times New Roman" w:cs="Times New Roman" w:eastAsia="Times New Roman" w:hAnsi="Times New Roman"/>
          <w:sz w:val="18"/>
          <w:szCs w:val="18"/>
          <w:u w:val="single" w:color="auto"/>
          <w:color w:val="auto"/>
        </w:rPr>
        <w:t>[BP(A4] [TS5] [RC6]</w:t>
      </w:r>
      <w:r>
        <w:rPr>
          <w:rFonts w:ascii="Times New Roman" w:cs="Times New Roman" w:eastAsia="Times New Roman" w:hAnsi="Times New Roman"/>
          <w:sz w:val="18"/>
          <w:szCs w:val="18"/>
          <w:color w:val="auto"/>
        </w:rPr>
        <w:t xml:space="preserve"> . These 340B covered entities include a variety of community health clinics and other entities that receive health services grants from the Public Health Service, as well as hospitals that serve a disproportionate share of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income patients. The ACA expanded the list of covered entities to include certain free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standing cancer hospitals, critical access hospitals, rural referral centers and sole community hospitals, but exempts “orphan drugs,” such as OLPRUVA, from the ceiling price requirements for these covered entities.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We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eligible drugs. HRSA has also finalized a revised regulation implementing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340B program requirements could negatively impact our financial results. Any additional future changes to the definition of average manufacturer price and the Medicaid rebate amount under legislation or regulation could affect our 340B ceiling price calculations and also negatively impact our financial results.</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for OLPRUVA or any product candidates, if approved, to be paid for with federal funds under the Medicaid and Medicare Part B programs and purchased by certain federal agencies and grantees, we also participate in the U.S. Department of Veterans Affairs, or VA, Federal Supply Schedule, or FSS, pricing program. As part of this program, we are required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must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sectPr>
          <w:pgSz w:w="11900" w:h="16838" w:orient="portrait"/>
          <w:cols w:equalWidth="0" w:num="1">
            <w:col w:w="11240"/>
          </w:cols>
          <w:pgMar w:left="320" w:top="121" w:right="339" w:bottom="0" w:gutter="0" w:footer="0" w:header="0"/>
        </w:sectPr>
      </w:pPr>
    </w:p>
    <w:bookmarkStart w:id="77" w:name="page78"/>
    <w:bookmarkEnd w:id="77"/>
    <w:p>
      <w:pPr>
        <w:jc w:val="both"/>
        <w:spacing w:after="0" w:line="273" w:lineRule="auto"/>
        <w:rPr>
          <w:sz w:val="20"/>
          <w:szCs w:val="20"/>
          <w:color w:val="auto"/>
        </w:rPr>
      </w:pPr>
      <w:r>
        <w:rPr>
          <w:rFonts w:ascii="Times New Roman" w:cs="Times New Roman" w:eastAsia="Times New Roman" w:hAnsi="Times New Roman"/>
          <w:sz w:val="17"/>
          <w:szCs w:val="17"/>
          <w:color w:val="auto"/>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 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affect our revenue, if any.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some countries, particularly the EU member states,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member states, we may be required to conduct a clinical trial that compares the cost-effectiveness of our product candidate to other available therapies. If reimbursement of our prodrug products is unavailable or limited in scope or amount, or if pricing is set at unsatisfactory levels, our business could be harmed, possibly materially.</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compromised now, or in the future, or the security, confidentiality, integrity or availability of, our information technology systems, software, services, communications or data is compromised, limited or fails, this could result in a material adverse impact, including without limitation, a material interruption to our operations, harm to our reputation, significant fines, penalties and liability, breach or a triggering of data protection laws, privacy policies and data protection obligations, loss of customers or sales, or material disruption of our clinical trials or other business activity.</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ordinary course of our business, we may collect, process, transmit and store proprietary, confidential and sensitive information, including personal information (including key-coded data and health information), intellectual property, trade secrets and proprietary business information (collectively, “Confidential Information”) owned or controlled by ourselves or other parties. It is critical that we do so in a secure manner to maintain the confidentiality and integrity of such Confidential Information.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can be no assurance that our cybersecurity risk management program and processes, including our policies, controls or procedures, will be fully implemented, complied with or effective in protecting our systems and information. Despite the implementation of security measures, our information technology systems and data, and those of our CROs and other third parties on which we rely, are vulnerable to system failure, interruption, compromise, attack or damage from several sources, such as data corruption; breakdown; malicious human acts; malware (such as ransomware); misconfigurations, “bugs” or other vulnerabilities,; malicious code (such as computer viruses or worms); fraudulent activity; employee misconduct, theft or error; denial-of-service attacks; public health epidemics; cyber-attacks by sophisticated nation-state and nation-state supported actors; natural disasters; terrorism; war (such as the current situation with Ukraine and Russia); and telecommunication and electrical failures. We have also outsourced elements of our information technology infrastructure, and as a result a number of third-party vendors may or could have access to our confidential information. Our recovery systems (and those of third parties upon whom we rely) are similarly vulnerable. Any of these events could lead to the unauthorized access, disclosure and use of proprietary, confidential, or otherwise non-public information (such as personal information). The techniques used by criminal actors to attack computer systems are sophisticated, change frequently and may originate from less regulated and remote areas of the world. As a result, we may not be able to address these techniques proactively or implement adequate preventative measures. Attacks upon information technology systems are also increasing in their levels of persistence and intensity and are being conducted by sophisticated and organized groups and individuals with a wide range of motives and expertise. As a result of the continued hybrid working environment, we may also face increased cybersecurity risks due to our reliance on internet technology and the number of our employees who are working remotely, which may create additional opportunities for cybercriminals to exploit vulnerabilities.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We may be required to expend significant resources, fundamentally change our business activities and practices, or modify our operations, including our clinical trial activities, or information technology in an effort to protect against security breaches and to mitigate, detect and remediate actual and potential vulnerabilities. Due to the nature of some of these threats, we may be unable to anticipate threats, and there is a risk that a threat may remain undetected for a period of time. The costs of maintaining or upgrading our cyber-security systems at the level commercially reasonable to keep up with our expanding operations and prevent against potential attacks are increasing, and despite our best efforts, our network security and data recovery measures and those of our vendors may still not be adequate to protect against such security breaches and disruptions, which could cause harm to our business, financial condition and results of operations.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1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While we do not believe that we have experienced any significant system failure, accident or security breach to date, if we, our service providers, partners, or other relevant third parties experience any such incident that results in any data loss, deletion or destruction, unauthorized access to, loss of, acquisition or disclosure of, exposure or disclosure of sensitive information, or compromise related to the security, confidentiality, integrity or availability of our (or their) information technology, software, services, communications or data, it may result in a material adverse impact, including without limitation, fines, damages, litigation, enforcement actions, loss of trade secrets, a material disruption of our drug development programs, or other harm to our business.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liability and the further development of our product candidates could be delayed. If such an event were to occur and cause interruptions in our operations, it could result in a material disruption of our business. Additionally, applicable data protection laws, privacy policies and data protection obligations (such as contractual obligations) may require us to notify relevant stakeholders of security breaches, including affected individuals, customers and regulators. Such disclosures are costly, and the disclosure or the failure to comply with such requirements, could lead to material adverse impacts, including without limitation,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Further, failures or significant downtime of our information technology or telecommunication systems or those used by our third-party service providers could cause significant interruptions in our operations and adversely impact the confidentiality, integrity and availability of sensitive or confidential information, including preventing us from conducting clinical trials, tests or research and development activities and preventing us from managing the administrative aspects of our business.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cannot be sure that our insurance coverage will be adequate or otherwise protect us from or adequately mitigate liabilities or damages with respect to claims, costs, expenses, litigation, fines, penalties, business loss, data loss, regulatory actions or materially adverse impacts arising out of our privacy and cybersecurity practices, processing or security breaches that we may experience, or that such coverage will continue to be available on acceptable terms at all. The successful assertion of one or more large claims against us that exceeds our available insurance coverage, or results in changes to our insurance policies (including premium increases or the imposition of a large deductible or co-insurance requirements), could have an adverse effect on our business. In addition, we cannot be sure that our existing coverage and coverage for errors and omissions will continue to be available on acceptable terms or that our insurers will not deny coverage as to any future claim.</w:t>
      </w: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Failure or perceived failure to comply with existing or future laws, regulations, contracts, self-regulatory schemes, policies, standards and other obligations related to data privacy or security could lead to government enforcement actions (which could include civil or criminal fines or penalties), a disruption of our clinical trials or commercialization of our products, private litigation, other liabilities, and/or adverse publicity. Compliance or the failure to comply with such obligations could increase the costs of our products, could limit their use or adoption, and could otherwise negatively affect our operating results and business.</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Regulation of data (including personal data) is evolving, as federal, state, and foreign governments continue to adopt new, or modify existing, laws and regulations addressing data privacy and security, and the collection, processing, storage, transfer, and use of data. We and our collaborators may be subject to current, new, or modified federal, state, and foreign data protection laws and regulations.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partners’ ability to offer our products or operate in certain locations, cause regulators to reject, limit, or disrupt our clinical trial activities, result in increased expenses, reduce overall demand for our products and services and make it more difficult to meet expectations of or commitments to customers or collaborators.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the Federal Trade Commission, or the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 of the FTC Act. Even when HIPAA does not apply, failing to take appropriate steps to keep consumers’ personal information secure can constitute unfair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Certain states have also adopted laws and regulations that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as amended by the California Privacy Rights Act, collectively the CCPA, requires businesses that process the personal information of the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been passed in other states and are continuing to be proposed at the state and federal level, reflecting a trend toward more stringent privacy legislation in the United States. As we expand our operations, these and similar laws may increase our compliance costs and potential liability.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left="20" w:right="80"/>
        <w:spacing w:after="0" w:line="252" w:lineRule="auto"/>
        <w:rPr>
          <w:sz w:val="20"/>
          <w:szCs w:val="20"/>
          <w:color w:val="auto"/>
        </w:rPr>
      </w:pPr>
      <w:r>
        <w:rPr>
          <w:rFonts w:ascii="Times New Roman" w:cs="Times New Roman" w:eastAsia="Times New Roman" w:hAnsi="Times New Roman"/>
          <w:sz w:val="18"/>
          <w:szCs w:val="18"/>
          <w:color w:val="auto"/>
        </w:rPr>
        <w:t>Foreign data protection laws, such as the GDPR and member state data protection laws, may also apply to health-related and other personal data that we process, including personal data relating to clinical trial participants. European data protection laws impose strict obligations on the ability to process health-related and other personal data of data subjects in Europe, including standards relating to the privacy and security of personal data. For example, in Europe, the European Union General Data Protection Regulation, or the GDPR, went into effect in May 2018 and imposes strict requirements for processing the personal data of individuals within the European Economic Area, or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to fines, a breach of the GDPR may result in regulatory investigations, reputational damage, orders to cease/ change our data processing activities, enforcement notices, assessment notices (for a compulsory audit) and/ or civil claims (including class actions).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w:t>
      </w:r>
    </w:p>
    <w:p>
      <w:pPr>
        <w:spacing w:after="0" w:line="189" w:lineRule="exact"/>
        <w:rPr>
          <w:sz w:val="20"/>
          <w:szCs w:val="20"/>
          <w:color w:val="auto"/>
        </w:rPr>
      </w:pPr>
    </w:p>
    <w:p>
      <w:pPr>
        <w:jc w:val="both"/>
        <w:ind w:left="20" w:right="80"/>
        <w:spacing w:after="0" w:line="253" w:lineRule="auto"/>
        <w:rPr>
          <w:sz w:val="20"/>
          <w:szCs w:val="20"/>
          <w:color w:val="auto"/>
        </w:rPr>
      </w:pPr>
      <w:r>
        <w:rPr>
          <w:rFonts w:ascii="Times New Roman" w:cs="Times New Roman" w:eastAsia="Times New Roman" w:hAnsi="Times New Roman"/>
          <w:sz w:val="18"/>
          <w:szCs w:val="18"/>
          <w:color w:val="auto"/>
        </w:rPr>
        <w:t>We expect the existing legal complexity and uncertainty regarding international personal data transfers to continue. As a result, we may have to make certain operational changes and we will have to implement revised standard contractual clauses and other relevant documentation for existing data transfers within required time frames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Additionally, other countries have passed or are considering passing laws requiring local data residency and/or restricting the international transfer of data. As we continue to expand into other foreign countries and jurisdictions, we may be subject to additional laws and regulations regarding personal data protection and international personal data transfers that may affect how we conduct business.</w:t>
      </w:r>
    </w:p>
    <w:p>
      <w:pPr>
        <w:spacing w:after="0" w:line="186" w:lineRule="exact"/>
        <w:rPr>
          <w:sz w:val="20"/>
          <w:szCs w:val="20"/>
          <w:color w:val="auto"/>
        </w:rPr>
      </w:pPr>
    </w:p>
    <w:p>
      <w:pPr>
        <w:jc w:val="both"/>
        <w:ind w:left="20" w:right="80"/>
        <w:spacing w:after="0" w:line="253" w:lineRule="auto"/>
        <w:rPr>
          <w:sz w:val="20"/>
          <w:szCs w:val="20"/>
          <w:color w:val="auto"/>
        </w:rPr>
      </w:pPr>
      <w:r>
        <w:rPr>
          <w:rFonts w:ascii="Times New Roman" w:cs="Times New Roman" w:eastAsia="Times New Roman" w:hAnsi="Times New Roman"/>
          <w:sz w:val="18"/>
          <w:szCs w:val="18"/>
          <w:color w:val="auto"/>
        </w:rPr>
        <w:t>Failure, or perceived failure, to comply with the GDPR, the UK GDPR, and other countries' data protection laws and regulations, privacy policies, contracts and other data protection obligations could result in government investigations and enforcement actions (which could include civil or criminal penalties, fines, or sanctions), private litigation, a diversion of management’s attention, adverse publicity and other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 Moreover, clinical trial participants or subjects about whom we or our collaborators obtain information, as well as the providers who share this information with us, may contractually limit our ability to use and disclose the information. Claims that we have violated individuals’ privacy rights or failed to comply with data protection laws, contracts, privacy notices or other obligations even if we are not found liable, could be expensive and time-consuming to defend and could result in adverse publicity that could harm our business.</w:t>
      </w:r>
    </w:p>
    <w:p>
      <w:pPr>
        <w:spacing w:after="0" w:line="186" w:lineRule="exact"/>
        <w:rPr>
          <w:sz w:val="20"/>
          <w:szCs w:val="20"/>
          <w:color w:val="auto"/>
        </w:rPr>
      </w:pPr>
    </w:p>
    <w:p>
      <w:pPr>
        <w:jc w:val="both"/>
        <w:ind w:left="20" w:right="80"/>
        <w:spacing w:after="0" w:line="256"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Any of these matters could materially adversely affect our business, financial condition, or operational results.</w:t>
      </w:r>
    </w:p>
    <w:p>
      <w:pPr>
        <w:spacing w:after="0" w:line="2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and changing laws and regulations, which exposes us to potential liabilities, increased costs and other adverse effects on ou business.</w:t>
      </w:r>
    </w:p>
    <w:p>
      <w:pPr>
        <w:spacing w:after="0" w:line="159" w:lineRule="exact"/>
        <w:rPr>
          <w:sz w:val="20"/>
          <w:szCs w:val="20"/>
          <w:color w:val="auto"/>
        </w:rPr>
      </w:pPr>
    </w:p>
    <w:p>
      <w:pPr>
        <w:jc w:val="both"/>
        <w:ind w:left="20" w:right="80"/>
        <w:spacing w:after="0" w:line="253" w:lineRule="auto"/>
        <w:rPr>
          <w:sz w:val="20"/>
          <w:szCs w:val="20"/>
          <w:color w:val="auto"/>
        </w:rPr>
      </w:pPr>
      <w:r>
        <w:rPr>
          <w:rFonts w:ascii="Times New Roman" w:cs="Times New Roman" w:eastAsia="Times New Roman" w:hAnsi="Times New Roman"/>
          <w:sz w:val="18"/>
          <w:szCs w:val="18"/>
          <w:color w:val="auto"/>
        </w:rPr>
        <w:t>We are subject to complex and changing laws, regulations, and executive orders, and compliance with these laws and regulations and executive orders, as well as changing interpretations and enforcement priorities related to such laws, regulations, and executive orders, which are onerous and expensive. Compliance with such laws, regulations, and executive orders can adversely affect our business by increasing our costs, limiting our ability to pursue or offer a product candidate or product, and requiring changes to our business. New and changing laws, regulations, and executive orders can also create uncertainty about how such laws and regulations will be interpreted and applied. Regulatory changes and other actions that materially adversely affect our business may be announced with little or no advance notice we may not be able to effectively mitigate all adverse impacts from such measures. Differing interpretations of such legal obligations and changes in enforcement priorities can expose us to significant fines, government investigations, litigation and reputational harm. If we are found to have violated laws, regulations, or executive orders, it could materially adversely affect our business, reputation, results of operations and financial condition.</w:t>
      </w:r>
    </w:p>
    <w:p>
      <w:pPr>
        <w:spacing w:after="0" w:line="1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00" w:top="121" w:right="2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highly dependent on the management, research and development, clinical, financial and business development expertise of our senior leadership team, as well as the other members of our scientific and clinical teams. Although we have employment agreements with each of our executive officers, these agreements do not obligate them to continue working for our company and they may terminate their employment with us at any time. Our future performance will depend, in part, the successful transitions and integration of new senior level executives into their roles and the continuity of leadership among the larger workforce. If we do not successfully manage executive transitions, it could be viewed negatively by our customers, employees, investors, and other third-party partners, and could have an adverse impact on our business and results of operations.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our product candidate pipeline toward scaling up for commercialization,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prodrug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Our Status as a Public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is likely to be volatile, and purchasers of our common stock could incur substantial losses.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Since shares of our common stock were sold in our initial public offering in April 2015 at a price of $176.00 per share (adjusted to give effect to the 1-for-16 reverse stock split), our stock price has ranged from a low of $1.94 to a high of $418.40 through March 12, 2025. In addition, the stock market in general and the market for 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186" w:lineRule="exact"/>
        <w:rPr>
          <w:sz w:val="20"/>
          <w:szCs w:val="20"/>
          <w:color w:val="auto"/>
        </w:rPr>
      </w:pPr>
    </w:p>
    <w:p>
      <w:pPr>
        <w:ind w:left="460" w:hanging="224"/>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securities analysts who might cover our stock;</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 including without limitation changes in the structure of healthcare payment systems;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pharmaceutical industry;</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announcements or determinations regarding our product candidates;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 our business;</w:t>
      </w:r>
    </w:p>
    <w:p>
      <w:pPr>
        <w:spacing w:after="0" w:line="222"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including inflation, tariffs, labor shortages, supply chain shortages, or other economic, political or legal changes, uncertainties or adverse developments;</w:t>
      </w:r>
    </w:p>
    <w:p>
      <w:pPr>
        <w:spacing w:after="0" w:line="161" w:lineRule="exact"/>
        <w:rPr>
          <w:rFonts w:ascii="Times New Roman" w:cs="Times New Roman" w:eastAsia="Times New Roman" w:hAnsi="Times New Roman"/>
          <w:sz w:val="18"/>
          <w:szCs w:val="18"/>
          <w:color w:val="auto"/>
        </w:rPr>
      </w:pPr>
    </w:p>
    <w:p>
      <w:pPr>
        <w:jc w:val="both"/>
        <w:ind w:left="460" w:hanging="224"/>
        <w:spacing w:after="0" w:line="264"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terrorism and wars, such as the current situation with Ukraine and Russia or Israel and Hamas, which could delay or disrupt our business, and if such political unrest escalates or spills over to or otherwise impacts additional regions it could heighten many of the other risk factors included in this Item 1A;</w:t>
      </w:r>
    </w:p>
    <w:p>
      <w:pPr>
        <w:spacing w:after="0" w:line="176"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system failures and disruptions, earthquakes, hurricanes, other natural disasters, pandemics, or responses to these events;</w:t>
      </w:r>
    </w:p>
    <w:p>
      <w:pPr>
        <w:spacing w:after="0" w:line="161"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retention, or departure of key personnel; and</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including sales by our directors and officers or specific stockholders.</w:t>
      </w:r>
    </w:p>
    <w:p>
      <w:pPr>
        <w:spacing w:after="0" w:line="2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Many of the factors described above are not within our control and we cannot guarantee that future instances of these influencing factors will not have effects on the trading price of our common stock.</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pharmaceutical and biotechnology companies following periods of volatility in the market prices of these companies’ stock. For instance, in December 2016, we received notice of a class action suit filed against us in the Iowa District Court in Johnson County by a stockholder alleging that we, certain of our senior executives and directors who signed the registration statement in connection with our initial public offering, and each of the investment banks that acted as underwriters for the offering negligently issued untrue statements of material facts and omitted to state material facts required to be stated in the registration statement and incorporated offering materials that we filed with the U.S. Securities and Exchange Commission, or the SEC, in support of the offering. In June 2018, the case was dismissed without prejudice to members of the putative class. Future litigation could cause us to incur substantial costs and divert management’s attention and resources from our business. Further, biotechnology and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equity and debt could result in additional dilution to our stockholders.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need additional capital in the future to fund our planned future operations, including to complete potential clinical trials for our product candidates or for successful commercialization of our approved products. To raise capital, we may sell or issue common stock, convertible securities or other equity securities in one or more transactions at prices and in a manner we determine from time to time. The issuance of additional shares of our common stock or equity securities convertible into shares of our common stock may cause your ownership interest to be diluted, and the market price of our common stock may fall or be materially and adversely affected. Examples of such issuances of equity securities include the following:</w:t>
      </w:r>
    </w:p>
    <w:p>
      <w:pPr>
        <w:spacing w:after="0" w:line="186" w:lineRule="exact"/>
        <w:rPr>
          <w:sz w:val="20"/>
          <w:szCs w:val="20"/>
          <w:color w:val="auto"/>
        </w:rPr>
      </w:pPr>
    </w:p>
    <w:p>
      <w:pPr>
        <w:ind w:left="940" w:right="800" w:hanging="328"/>
        <w:spacing w:after="0" w:line="280" w:lineRule="auto"/>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any of the warrants described elsewhere in this Annual Report on Form 10-K may elect to exercise such warrants and receive shares of common stock.</w:t>
      </w:r>
    </w:p>
    <w:p>
      <w:pPr>
        <w:spacing w:after="0" w:line="161" w:lineRule="exact"/>
        <w:rPr>
          <w:rFonts w:ascii="Times New Roman" w:cs="Times New Roman" w:eastAsia="Times New Roman" w:hAnsi="Times New Roman"/>
          <w:sz w:val="18"/>
          <w:szCs w:val="18"/>
          <w:color w:val="auto"/>
        </w:rPr>
      </w:pPr>
    </w:p>
    <w:p>
      <w:pPr>
        <w:ind w:left="940" w:right="420" w:hanging="328"/>
        <w:spacing w:after="0" w:line="280" w:lineRule="auto"/>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Merger and its related transactions, we issued shares of our common stock pursuant to the Loan and Note Purchase Agreements and the cancellation of the Acer warrants. See “Liquidity and Capital Resources.”</w:t>
      </w:r>
    </w:p>
    <w:p>
      <w:pPr>
        <w:spacing w:after="0" w:line="161" w:lineRule="exact"/>
        <w:rPr>
          <w:rFonts w:ascii="Times New Roman" w:cs="Times New Roman" w:eastAsia="Times New Roman" w:hAnsi="Times New Roman"/>
          <w:sz w:val="18"/>
          <w:szCs w:val="18"/>
          <w:color w:val="auto"/>
        </w:rPr>
      </w:pPr>
    </w:p>
    <w:p>
      <w:pPr>
        <w:ind w:left="940" w:right="40" w:hanging="328"/>
        <w:spacing w:after="0" w:line="264" w:lineRule="auto"/>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2021, the Company entered into the Equity Distribution Agreement with JMP Securities LLC, or JMP, and RBC Capital Markets, LLC, or RBCCM, under which the Company may offer and sell, from time to time at its sole discretion, shares of its common stock having an aggregate offering price of up to $75,000,000 through JMP and RBCCM as its sales agents.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2021, at the annual meeting of stockholders, the stockholders approved the Amended and Restated 2014 Equity Incentive Plan, which, among other things, added 4,900,000 shares to the equity plan pool, and the employee stock purchase plan, or the 2021 ESPP, which allows eligible employees to purchase up to an aggregate of 1,500,000 shares of stock through the plan. Pursuant to our equity incentive plan, we may grant equity awards and issue additional shares of our common stock to our employees, directors and consultants, and the number of shares of our common stock reserved for future issuance under this plan will be subject to automatic annual increases in accordance with the terms of the plans.</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February 2024, our Board approved the Amended and Restated 2023 Employment Inducement Award Plan, (the “2023 Plan”), under which we may grant equity awards to certain new employees. The maximum number of shares of common stock to be issued under the 2023 Plan is 4,500,000.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the market price of our common stock to drop significantly, even if our business is doing well.</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amended and restated certificate of incorporation and amended and restated bylaws, as well as provisions of Delaware law and the terms of some or our contracts, might discourage, delay or prevent a change in control of our company or changes in our board of directors or management and, therefore, depress the price of our common stock.</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and Delaware law contain provisions that may discourage, delay or prevent a merger, acquisition or other change in control that stockholders may consider favorable, including transactions in which you might otherwise receive a premium for your shares of our common stock or transactions that our stockholders might otherwise deem to be in their best interests. These provisions may also prevent or frustrate attempts by our stockholders to replace or remove members of our board of directors or our management. Therefore, these provisions could adversely affect the price of our stock. Our corporate governance documents include provisions:</w:t>
      </w:r>
    </w:p>
    <w:p>
      <w:pPr>
        <w:spacing w:after="0" w:line="186" w:lineRule="exact"/>
        <w:rPr>
          <w:sz w:val="20"/>
          <w:szCs w:val="20"/>
          <w:color w:val="auto"/>
        </w:rPr>
      </w:pPr>
    </w:p>
    <w:p>
      <w:pPr>
        <w:ind w:left="460" w:hanging="224"/>
        <w:spacing w:after="0"/>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with staggered three-year terms so that not all members of our board of directors are elected at one time;</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be removed by stockholders only for cause;</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preventing the ability of our stockholders to call and bring business before special meetings and to take action by written consent in lieu of a meeting;</w:t>
      </w:r>
    </w:p>
    <w:p>
      <w:pPr>
        <w:spacing w:after="0" w:line="288" w:lineRule="exact"/>
        <w:rPr>
          <w:rFonts w:ascii="Times New Roman" w:cs="Times New Roman" w:eastAsia="Times New Roman" w:hAnsi="Times New Roman"/>
          <w:sz w:val="17"/>
          <w:szCs w:val="17"/>
          <w:color w:val="auto"/>
        </w:rPr>
      </w:pPr>
    </w:p>
    <w:p>
      <w:pPr>
        <w:ind w:left="460" w:hanging="224"/>
        <w:spacing w:after="0" w:line="280"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88"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the board of directors to issue up to 10,000,000 shares of preferred stock with any rights, preferences and privileges they may designate;</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vacancies may be filled by remaining directors;</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cumulative voting; and</w:t>
      </w:r>
    </w:p>
    <w:p>
      <w:pPr>
        <w:spacing w:after="0" w:line="276"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supermajority requirement to amend our amended and restated bylaws.</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General Corporation Law of the State of Delaware, which prohibits a Delaware corporation from engaging in a broad range of business combinations with any “interested” stockholder for a period of three years following the date on which the stockholder became an “interested” stockholder.</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addition, the provisions of our termination agreement with Aquestive Therapeutics ("Aquestive") may delay or prevent a change in control of our company. For example, if we enter into a merger, an asset sale or any other change of control transaction, then Aquestive will be entitled to a royalty equal to 10% of the price being paid to us and our stockholders in such transaction which is attributable to the value of AZSTARYS or KP1077.</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or any term of our contracts that has the effect of discouraging, delaying or preventing a change in control could limit the opportunity for our stockholders to receive a premium for their shares of our common stock and could also affect the price that some investors are willing to pay for our common stock.</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engage in acquisitions to grow our business, we will incur a variety of costs and may potentially face numerous risks that could adversely affect our business and operations and cause our stock price to decline.</w:t>
      </w:r>
    </w:p>
    <w:p>
      <w:pPr>
        <w:spacing w:after="0" w:line="15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If appropriate opportunities become available, we may seek to acquire businesses or assets to enhance our business. In connection with any acquisitions, we could issue additional equity securities, which would dilute our stockholders, incur substantial debt to fund the acquisitions or assume significant liabilities.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Acquisitions involve many and diverse risks and uncertainties, including problems integrating the purchased operations or assets as well as unanticipated costs, liabilities, and economic, political, legal and regulatory challenges due to our inexperience operating in new regions or countries, and we may fail to successfully integrate acquired companies, such as Acer, or retain key personnel from the acquired company. To date, we have limited experience with acquisitions and the integration of acquired operations and personnel. Acquisitions may divert our attention from our core business. Acquisitions may require us to record goodwill and non-amortizable intangible assets that will be subject to testing on a regular basis and potential period impairment charges, incur amortization expenses related to certain intangible assets, and incur write-offs and restructuring and other related expenses, any of which could harm our operating results and financial condition.</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New business strategies, especially those involving acquisitions, are inherently risky and may not be successful. Failure to successfully identify, complete, manage and integrate acquisitions could materially and adversely affect our business, financial condition and results of operations and could cause our stock price to decline.</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could be negatively affected as a result of the actions of activist stockholders, which could be disruptive and costly and may conflict with or disrupt the strategic direction of our business.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Activist stockholders may from time to time attempt to effect changes in our strategic direction and seek changes regarding our corporate governance or structure. Our board of directors and management team strive to maintain constructive, ongoing communications with all stockholders who wish to speak with us, including activist stockholders, and welcome their views and opinions with the goal of working together constructively to enhance value for all stockholders. Any future proxy contest with respect to election of our directors, or other activist stockholder activities, could adversely affect our business because: (1) responding to a proxy contest and other actions by activist stockholders can be costly and time-consuming, disruptive to our operations and divert the attention of management and our employees; (2) actual or perceived uncertainties as to our future direction caused by activist activities may cause or appear to cause instability or lack of continuity, resulting in the loss of potential business opportunities, and potentially making it more difficult to attract and retain qualified personnel and business partners; and (3) if individuals are elected to our board of directors with a specific agenda, it may adversely affect our ability to effectively and timely implement our strategic plans. Activist stockholder activities may also cause significant fluctuations in our stock price based on temporary or speculative market perceptions, or other factors that do not necessarily reflect the fundamental underlying value of our business.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class action and derivative lawsuits, which could result in substantial costs and could divert management attention away from other business concerns.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public companies that have entered into merger agreements. Even if the lawsuits are without merit, defending against these claims can result in substantial costs and divert management time and resources from other business concerns, which could seriously harm our business. An adverse judgment could result in monetary damages, which could have a negative impact on our liquidity and financial condition. For example, in October 2023, purported stockholders of Acer filed complaints against Acer and certain of its directors and officers in connection with the Merger. On June 19, 2024, the Company entered into a confidential fee agreement (the "Fee Agreement") to settle these stockholder litigation matters related to the Merger. The parties to the Fee Agreement were entitled to an aggregate payment of approximately $0.3 million, which was paid during the second quarter of 2024. See Note K of our audited consolidated financial statements included elsewhere in this Annual Report on Form 10-K for additional information.</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Securities litigation against us could result in substantial costs and divert management’s attention from other business concerns, which could seriously harm our business.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 which could limit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obtain a favorable judicial forum for disputes with us or our directors, officers or other employees.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sole and exclusive forum for</w:t>
      </w:r>
    </w:p>
    <w:p>
      <w:pPr>
        <w:spacing w:after="0" w:line="27" w:lineRule="exact"/>
        <w:rPr>
          <w:sz w:val="20"/>
          <w:szCs w:val="20"/>
          <w:color w:val="auto"/>
        </w:rPr>
      </w:pPr>
    </w:p>
    <w:p>
      <w:pPr>
        <w:jc w:val="both"/>
        <w:ind w:firstLine="7"/>
        <w:spacing w:after="0" w:line="252" w:lineRule="auto"/>
        <w:tabs>
          <w:tab w:leader="none" w:pos="2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 (ii) any action asserting a breach of fiduciary duty owed by any of our directors, officers or other employees to us or our stockholders, (iii) any action asserting a claim against us arising pursuant to any provisions of the Delaware General Corporation Law, or DGCL, our amended and restated certificate of incorporation or our amended and restated bylaws, or (iv) any action asserting a claim against us that is governed by the internal affairs doctrine.</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addition, our amended and restated bylaws, or the Bylaws, provide that: (i)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shall be the sole and exclusive forum for the following types of actions or proceedings under Delaware statutory or common law: (A) any derivative action or proceeding brought on behalf of us; (B) any action or proceeding asserting a claim of breach of a fiduciary duty owed by any of our current or former directors, officers or other employees, to us or our stockholders; (C) any action or proceeding asserting a claim against us or any of our current or former directors, officers or other employees, arising out of or pursuant to any provision of the DGCL our amended and restated certificate of incorporation or our Bylaws (as each may be amended from time to time); (D) any action or proceeding to interpret, apply, enforce or determine the validity of our amended and restated certificate of incorporation or our Bylaws (including any right, obligation, or remedy thereunder); (E) any action or proceeding as to which the DGCL confers jurisdiction to the Court of Chancery of the State of Delaware; and (F) any action or proceeding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this provision shall not apply to suits brought to enforce a duty or liability created by the Securities Act or the Exchange Act, or any other claim for which the federal courts have exclusive jurisdiction; (ii)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and</w:t>
      </w:r>
    </w:p>
    <w:p>
      <w:pPr>
        <w:spacing w:after="0" w:line="9" w:lineRule="exact"/>
        <w:rPr>
          <w:sz w:val="20"/>
          <w:szCs w:val="20"/>
          <w:color w:val="auto"/>
        </w:rPr>
      </w:pPr>
    </w:p>
    <w:p>
      <w:pPr>
        <w:ind w:firstLine="7"/>
        <w:spacing w:after="0" w:line="258" w:lineRule="auto"/>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entity holding, owning or otherwise acquiring any interest in any security of us shall be deemed to have notice of and consented to the provisions of the Bylaws.</w:t>
      </w:r>
    </w:p>
    <w:p>
      <w:pPr>
        <w:sectPr>
          <w:pgSz w:w="11900" w:h="16909" w:orient="portrait"/>
          <w:cols w:equalWidth="0" w:num="1">
            <w:col w:w="11240"/>
          </w:cols>
          <w:pgMar w:left="320" w:top="121" w:right="339" w:bottom="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76200</wp:posOffset>
            </wp:positionV>
            <wp:extent cx="71329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336"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our amended and restated certificate of incorporation or our Bylaws to be inapplicable or unenforceable in an action, we may incur additional costs associated with resolving such action in other jurisdictions.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 which could adversely affect our profitability.</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December 31, 2024, we had federal net operating loss carryforwards of approximately $381.3 million, due to prior period losses, $118.5 million of which, if not utilized, will begin to expire in 2027 and $262.8 million of which have no expiration date. These net operating loss carryforwards could expire unused and be unavailable to offset future income tax liabilities, which could adversely affect our profitability. These federal net operating loss carryforwards are fully reserved under a valuation allowance in the consolidated balance sheet as of December 31, 2024. On December 22, 2017, the U.S. government enacted H.R. 1, “An Act to provide for reconciliation pursuant to titles II and V of the concurrent resolution on the budget for fiscal year 2018” (informally titled the Tax Cuts and Jobs Act). Under the Tax Cuts and Jobs Act, U.S. federal net operating losses incurred in 2018 and in future years may be carried forward indefinitely, but the deductibility of such federal net operating losses is limited. It is uncertain if and to what extent various states will conform or continue to conform to the Tax Cuts and Jobs Act or any subsequent or newly enacted federal tax legislation. To the extent that we continue to generate taxable losses in the United States or in the Kingdom of Denmark, unused losses will carry forward to offset future taxable income (subject to any applicable limitations), if any. In addition, under Section 382 and Section 383 of the Code,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performed a Section 382 ownership change analysis in 2017 and determined that we experienced an ownership change in 2010, which resulted in a portion of our net operating loss carryforwards being subject to an annual limitation under Section 382 through 2012. No other ownership changes or limitations on our historical net operating loss carryforwards were noted through the year ended December 31, 2017. In addition, we may have already experienced an ownership change, or may experience ownership changes in the future, as a result of shifts in our stock ownership, including as a result of the Merger, as a result of the conversion of our outstanding convertible debt or otherwise as a result of changes in our stock ownership. If we determine that an ownership change has occurred and our ability to use our historical net operating loss carryforwards is materially limited, it would harm our future operating results by increasing our future tax obligations. As of December 31, 2024, we maintain a full valuation allowance over our deferred tax assets for financial reporting purposes.</w:t>
      </w:r>
    </w:p>
    <w:p>
      <w:pPr>
        <w:spacing w:after="0" w:line="199"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affect the tax treatment of our domestic earnings, if any. Any new taxes could adversely affect our business operations, and our business and financial performance. Further, existing tax laws, statutes, rules, regulations or ordinances could be interpreted, changed, modified or applied adversely to us. For example, legislation enacted in 2017, informally titled the Tax Cuts and Jobs Act, significantly revised the Internal Revenue Code of 1986, as amended. Future guidance from the Internal Revenue Service and other tax authorities with respect to the Tax Cuts and Jobs Act may affect us, and certain aspects of the Tax Cuts and Jobs Act could be repealed or modified in future legislation. In addition, the Inflation Reduction Act enacted in 2022 in the United States introduced, among other changes, a 15% corporate minimum tax on certain United States corporations and a 1% excise tax on certain stock redemptions by United States corporations. Furthermore, it is uncertain if and to what extent various states will conform or continue to conform to the Tax Cuts and Jobs Act or any subsequent or newly enacted federal tax legislation. Changes in corporate tax rates, the realization of net deferred tax assets relating to our operations, the taxation of foreign earnings, and the deductibility of expenses under the Tax Cuts and Jobs Act or subsequent or future reform legislation could have a material impact on the value of our deferred tax assets, could result in significant one-time charges, and could increase our future U.S. tax expense.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the Trump administration has indicated the intent to propose significant changes to the U.S. tax system. Many aspects of these potential proposals are unclear or undeveloped and we are unable to predict which, if any, changes to the U.S. tax system will be enacted into law, and what effects any enacted legislation might have on our tax liabilities. In addition, the Trump administration has indicated that the United States may impose retaliatory measures with respect to jurisdictions that have, or are likely to, put in place tax rules that are extraterritorial or disproportionately affect American companies. The likelihood of these changes being enacted or implemented is unclear. We are currently unable to predict whether such changes will occur and, if so, the ultimate impact on our business.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you may not be able to resell your shares of our common stock for a profit, if at all.</w:t>
      </w:r>
    </w:p>
    <w:p>
      <w:pPr>
        <w:spacing w:after="0" w:line="15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An active trading market for our shares may not be sustained. If an active market for our common stock is not sustained, it may be difficult for you to sell our shares at an attractive price, or at all.</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securities or industry analysts publish about us or our business, our market and our competitors. We do not have any control over these analysts.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the terms of any future debt agreements may preclude us from paying dividends. As a result, capital appreciation, if any, of our common stock will be your sole source of gain for the foreseeable future. Investors seeking cash dividends should not purchase our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and demands upon management as a result of being a public company.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additional legal, accounting and other costs. These additional costs could negatively affect our financial results. In addition, changing laws, regulations and standards relating to corporate governance and public disclosure, including regulations implemented by the SEC,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Global economic uncertainty and other global economic or political and regulatory developments could have a material adverse effect on our business, cash flows, financial condition and/or prospects. Growth in the global pharmaceutical market has become increasingly tied to (i) global economic growth as an economic downturn may reduce the amount of funding for the pharmaceutical sector as a whole or certain diseases targeted by us and (ii) political conditions, tension and uncertainty which could, for instance, impact the regulations applicable to us. Uncertain political and geopolitical conditions currently exist in various parts of the world, such as the ongoing conflict between Russia and Ukraine. As a result, the United States and other governments have announced certain sanctions against Russia. The conflict in Ukraine and any retaliatory measures taken by the United States and other governments could threaten global security and result in further regional conflict and otherwise have a lasting impact on regional and global economies, any or all of which could adversely affect our business.</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Future legal or regulatory changes in jurisdictions where we currently operate, or in such jurisdictions in which we may choose to operate in the future, could materially and adversely affect our business, results of operations, cash flows, financial condition and/or prospects, including by imposing regulatory and operational restrictions and compliance obligations on our business, reducing our revenue or increasing our expenses.</w:t>
      </w:r>
    </w:p>
    <w:p>
      <w:pPr>
        <w:spacing w:after="0" w:line="17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above circumstances, individually or in the aggregate, could have a material adverse effect on our business, cash flows, financial condition and/or prospects.</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increasing focus on environmental sustainability and social initiatives could increase our costs, harm our reputation and adversely impact our financial results.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has been increasing public focus by investors, patients,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even if we are effective at addressing such concerns, we may experience increased costs as a result of executing upon our sustainability goals that may not be offset by any benefit to our reputation, which could have an adverse impact on our business and financial condition.</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ectPr>
          <w:pgSz w:w="11900" w:h="16838" w:orient="portrait"/>
          <w:cols w:equalWidth="0" w:num="1">
            <w:col w:w="11240"/>
          </w:cols>
          <w:pgMar w:left="320" w:top="121" w:right="339" w:bottom="252"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252" w:gutter="0" w:footer="0" w:header="0"/>
          <w:type w:val="continuous"/>
        </w:sectPr>
      </w:pPr>
    </w:p>
    <w:bookmarkStart w:id="89" w:name="page90"/>
    <w:bookmarkEnd w:id="8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left="20" w:right="1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including events or concerns involving liquidity, defaults, or non-performance by financial institutions, could adversely affect our business, financial condition or results of operations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20" w:right="80"/>
        <w:spacing w:after="0" w:line="25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cash equivalents, and investments. The Company invests in money market funds, U.S. treasury securities, and U.S. government agency securities. The Company maintains bank deposits in federally insured financial institutions and these deposits may exceed federally insured limits. The Company is exposed to credit risk in the event of a default by the financial institutions holding its cash and cash equivalents to the extent recorded on the consolidated balance sheets. Should events, including limited liquidity, defaults, non-performance or other adverse developments occur with respect to the banks or other financial institutions that hold our funds, or that affect financial institutions or the financial services industry generally, or concerns or rumors about any events of these kinds or other similar risks, our liquidity may be adversely affected. For example, on March 10, 2023, the Federal Deposit Insurance Corporation (FDIC) announced that Silicon Valley Bank had been closed by the California Department of Financial Protection and Innovation. Although we did not have any funds in Silicon Valley Bank or other institutions that have been closed, we cannot guarantee that the banks or other financial institutions that hold our funds will not experience similar issues.</w:t>
      </w: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w:t>
        <w:tab/>
        <w:t>UNRESOLVED STAFF COMMENTS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1B.</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w:t>
        <w:tab/>
        <w:t>CYBERSECURITY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Cybersecurity Risk Management and Strategy</w:t>
      </w:r>
    </w:p>
    <w:p>
      <w:pPr>
        <w:spacing w:after="0" w:line="223" w:lineRule="exact"/>
        <w:rPr>
          <w:sz w:val="20"/>
          <w:szCs w:val="20"/>
          <w:color w:val="auto"/>
        </w:rPr>
      </w:pPr>
    </w:p>
    <w:p>
      <w:pPr>
        <w:jc w:val="both"/>
        <w:ind w:left="20" w:right="80"/>
        <w:spacing w:after="0" w:line="280"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w:t>
      </w:r>
    </w:p>
    <w:p>
      <w:pPr>
        <w:spacing w:after="0" w:line="162" w:lineRule="exact"/>
        <w:rPr>
          <w:sz w:val="20"/>
          <w:szCs w:val="20"/>
          <w:color w:val="auto"/>
        </w:rPr>
      </w:pPr>
    </w:p>
    <w:p>
      <w:pPr>
        <w:jc w:val="both"/>
        <w:ind w:left="20" w:right="80"/>
        <w:spacing w:after="0" w:line="264" w:lineRule="auto"/>
        <w:rPr>
          <w:sz w:val="20"/>
          <w:szCs w:val="20"/>
          <w:color w:val="auto"/>
        </w:rPr>
      </w:pPr>
      <w:r>
        <w:rPr>
          <w:rFonts w:ascii="Times New Roman" w:cs="Times New Roman" w:eastAsia="Times New Roman" w:hAnsi="Times New Roman"/>
          <w:sz w:val="18"/>
          <w:szCs w:val="18"/>
          <w:color w:val="auto"/>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w:t>
      </w:r>
    </w:p>
    <w:p>
      <w:pPr>
        <w:spacing w:after="0" w:line="177" w:lineRule="exact"/>
        <w:rPr>
          <w:sz w:val="20"/>
          <w:szCs w:val="20"/>
          <w:color w:val="auto"/>
        </w:rPr>
      </w:pPr>
    </w:p>
    <w:p>
      <w:pPr>
        <w:jc w:val="both"/>
        <w:ind w:left="20" w:right="80"/>
        <w:spacing w:after="0" w:line="264"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7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risk management program, and shares common methodologies, reporting channel and governance processes that apply across the risk management program to other legal, compliance, strategic, operational, and financial risk areas.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include but are not limited to the following:</w:t>
      </w:r>
    </w:p>
    <w:p>
      <w:pPr>
        <w:spacing w:after="0" w:line="223" w:lineRule="exact"/>
        <w:rPr>
          <w:sz w:val="20"/>
          <w:szCs w:val="20"/>
          <w:color w:val="auto"/>
        </w:rPr>
      </w:pPr>
    </w:p>
    <w:p>
      <w:pPr>
        <w:ind w:left="1060" w:hanging="320"/>
        <w:spacing w:after="0"/>
        <w:tabs>
          <w:tab w:leader="none" w:pos="1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risks from cybersecurity threats to our critical systems, and information;</w:t>
      </w:r>
    </w:p>
    <w:p>
      <w:pPr>
        <w:spacing w:after="0" w:line="222" w:lineRule="exact"/>
        <w:rPr>
          <w:rFonts w:ascii="Times New Roman" w:cs="Times New Roman" w:eastAsia="Times New Roman" w:hAnsi="Times New Roman"/>
          <w:sz w:val="18"/>
          <w:szCs w:val="18"/>
          <w:color w:val="auto"/>
        </w:rPr>
      </w:pPr>
    </w:p>
    <w:p>
      <w:pPr>
        <w:ind w:left="1060" w:right="380" w:hanging="320"/>
        <w:spacing w:after="0" w:line="280" w:lineRule="auto"/>
        <w:tabs>
          <w:tab w:leader="none" w:pos="1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161" w:lineRule="exact"/>
        <w:rPr>
          <w:rFonts w:ascii="Times New Roman" w:cs="Times New Roman" w:eastAsia="Times New Roman" w:hAnsi="Times New Roman"/>
          <w:sz w:val="18"/>
          <w:szCs w:val="18"/>
          <w:color w:val="auto"/>
        </w:rPr>
      </w:pPr>
    </w:p>
    <w:p>
      <w:pPr>
        <w:ind w:left="1060" w:hanging="320"/>
        <w:spacing w:after="0"/>
        <w:tabs>
          <w:tab w:leader="none" w:pos="1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processes;</w:t>
      </w:r>
    </w:p>
    <w:p>
      <w:pPr>
        <w:spacing w:after="0" w:line="222" w:lineRule="exact"/>
        <w:rPr>
          <w:rFonts w:ascii="Times New Roman" w:cs="Times New Roman" w:eastAsia="Times New Roman" w:hAnsi="Times New Roman"/>
          <w:sz w:val="18"/>
          <w:szCs w:val="18"/>
          <w:color w:val="auto"/>
        </w:rPr>
      </w:pPr>
    </w:p>
    <w:p>
      <w:pPr>
        <w:ind w:left="1060" w:hanging="320"/>
        <w:spacing w:after="0"/>
        <w:tabs>
          <w:tab w:leader="none" w:pos="1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including incident response personnel, and senior management;</w:t>
      </w:r>
    </w:p>
    <w:p>
      <w:pPr>
        <w:spacing w:after="0" w:line="222" w:lineRule="exact"/>
        <w:rPr>
          <w:rFonts w:ascii="Times New Roman" w:cs="Times New Roman" w:eastAsia="Times New Roman" w:hAnsi="Times New Roman"/>
          <w:sz w:val="18"/>
          <w:szCs w:val="18"/>
          <w:color w:val="auto"/>
        </w:rPr>
      </w:pPr>
    </w:p>
    <w:p>
      <w:pPr>
        <w:ind w:left="1060" w:hanging="320"/>
        <w:spacing w:after="0"/>
        <w:tabs>
          <w:tab w:leader="none" w:pos="1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222" w:lineRule="exact"/>
        <w:rPr>
          <w:rFonts w:ascii="Times New Roman" w:cs="Times New Roman" w:eastAsia="Times New Roman" w:hAnsi="Times New Roman"/>
          <w:sz w:val="18"/>
          <w:szCs w:val="18"/>
          <w:color w:val="auto"/>
        </w:rPr>
      </w:pPr>
    </w:p>
    <w:p>
      <w:pPr>
        <w:ind w:left="1060" w:right="220" w:hanging="320"/>
        <w:spacing w:after="0" w:line="280" w:lineRule="auto"/>
        <w:tabs>
          <w:tab w:leader="none" w:pos="1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key service providers, based on our assessment of their criticality to our operations and respective risk profile.</w:t>
      </w:r>
    </w:p>
    <w:p>
      <w:pPr>
        <w:spacing w:after="0" w:line="160" w:lineRule="exact"/>
        <w:rPr>
          <w:sz w:val="20"/>
          <w:szCs w:val="20"/>
          <w:color w:val="auto"/>
        </w:rPr>
      </w:pPr>
    </w:p>
    <w:p>
      <w:pPr>
        <w:jc w:val="both"/>
        <w:ind w:left="20" w:right="80"/>
        <w:spacing w:after="0" w:line="257" w:lineRule="auto"/>
        <w:rPr>
          <w:sz w:val="20"/>
          <w:szCs w:val="20"/>
          <w:color w:val="auto"/>
        </w:rPr>
      </w:pPr>
      <w:r>
        <w:rPr>
          <w:rFonts w:ascii="Times New Roman" w:cs="Times New Roman" w:eastAsia="Times New Roman" w:hAnsi="Times New Roman"/>
          <w:sz w:val="18"/>
          <w:szCs w:val="18"/>
          <w:color w:val="auto"/>
        </w:rPr>
        <w:t>For more information, see “</w:t>
      </w:r>
      <w:r>
        <w:rPr>
          <w:rFonts w:ascii="Times New Roman" w:cs="Times New Roman" w:eastAsia="Times New Roman" w:hAnsi="Times New Roman"/>
          <w:sz w:val="18"/>
          <w:szCs w:val="18"/>
          <w:i w:val="1"/>
          <w:iCs w:val="1"/>
          <w:color w:val="auto"/>
        </w:rPr>
        <w:t>If our security measures are compromised now, or in the future, or the security, confidentiality, integrity or availability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technology systems, software, services, communications or data is compromised, limited or fails, this could result in a material adverse impact, including without limitation, a material interruption to our operations, harm to our reputation, significant fines, penalties and liability, breach or a triggering of data protection laws, privacy policies and data protection obligations, loss of customers or sales, or material disruption of our clinical trials or other business activity.</w:t>
      </w:r>
      <w:r>
        <w:rPr>
          <w:rFonts w:ascii="Times New Roman" w:cs="Times New Roman" w:eastAsia="Times New Roman" w:hAnsi="Times New Roman"/>
          <w:sz w:val="18"/>
          <w:szCs w:val="18"/>
          <w:color w:val="auto"/>
        </w:rPr>
        <w:t>”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above.</w:t>
      </w:r>
    </w:p>
    <w:p>
      <w:pPr>
        <w:sectPr>
          <w:pgSz w:w="11900" w:h="16838" w:orient="portrait"/>
          <w:cols w:equalWidth="0" w:num="1">
            <w:col w:w="11340"/>
          </w:cols>
          <w:pgMar w:left="300" w:top="121" w:right="259" w:bottom="1440" w:gutter="0" w:footer="0" w:header="0"/>
        </w:sectPr>
      </w:pP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00" w:top="121" w:right="259" w:bottom="1440" w:gutter="0" w:footer="0" w:header="0"/>
          <w:type w:val="continuous"/>
        </w:sectPr>
      </w:pPr>
    </w:p>
    <w:bookmarkStart w:id="90" w:name="page91"/>
    <w:bookmarkEnd w:id="9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Cybersecurity Governance</w:t>
      </w:r>
    </w:p>
    <w:p>
      <w:pPr>
        <w:spacing w:after="0" w:line="223" w:lineRule="exact"/>
        <w:rPr>
          <w:sz w:val="20"/>
          <w:szCs w:val="20"/>
          <w:color w:val="auto"/>
        </w:rPr>
      </w:pPr>
    </w:p>
    <w:p>
      <w:pPr>
        <w:ind w:left="20"/>
        <w:spacing w:after="0" w:line="280"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("Committee") oversight of cybersecurity risks, including oversight of management’s implementation of our cybersecurity risk management program.</w:t>
      </w:r>
    </w:p>
    <w:p>
      <w:pPr>
        <w:spacing w:after="0" w:line="162" w:lineRule="exact"/>
        <w:rPr>
          <w:sz w:val="20"/>
          <w:szCs w:val="20"/>
          <w:color w:val="auto"/>
        </w:rPr>
      </w:pPr>
    </w:p>
    <w:p>
      <w:pPr>
        <w:ind w:left="20"/>
        <w:spacing w:after="0" w:line="280" w:lineRule="auto"/>
        <w:rPr>
          <w:sz w:val="20"/>
          <w:szCs w:val="20"/>
          <w:color w:val="auto"/>
        </w:rPr>
      </w:pPr>
      <w:r>
        <w:rPr>
          <w:rFonts w:ascii="Times New Roman" w:cs="Times New Roman" w:eastAsia="Times New Roman" w:hAnsi="Times New Roman"/>
          <w:sz w:val="18"/>
          <w:szCs w:val="18"/>
          <w:color w:val="auto"/>
        </w:rPr>
        <w:t>The Committee receives periodic reports from management on our cybersecurity risks. In addition, management updates the Committee, where it deems appropriate, regarding any cybersecurity incidents it considers to be significant or potentially significant.</w:t>
      </w:r>
    </w:p>
    <w:p>
      <w:pPr>
        <w:spacing w:after="0" w:line="153" w:lineRule="exact"/>
        <w:rPr>
          <w:sz w:val="20"/>
          <w:szCs w:val="20"/>
          <w:color w:val="auto"/>
        </w:rPr>
      </w:pPr>
    </w:p>
    <w:p>
      <w:pPr>
        <w:ind w:left="20" w:right="20"/>
        <w:spacing w:after="0" w:line="245" w:lineRule="auto"/>
        <w:rPr>
          <w:sz w:val="20"/>
          <w:szCs w:val="20"/>
          <w:color w:val="auto"/>
        </w:rPr>
      </w:pPr>
      <w:r>
        <w:rPr>
          <w:rFonts w:ascii="Times New Roman" w:cs="Times New Roman" w:eastAsia="Times New Roman" w:hAnsi="Times New Roman"/>
          <w:sz w:val="21"/>
          <w:szCs w:val="21"/>
          <w:color w:val="auto"/>
        </w:rPr>
        <w:t>The Committee reports to the full Board regarding its activities, including those related to cybersecurity. The full Board also receives briefings from management on our cyber risk management program. Board members receive presentations on cybersecurity topics from our internal security staff or external experts as part of the Board’s continuing education on topics that impact public companies. Our management team, including R. LaDuane Clifton, Chief Financial Officer and Treasurer,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management team includes IT staff such as a Director of IT with more than 21 years of IT-related experience in various roles including managing information security, managing privacy and data protection, evaluating cybersecurity risks, developing cybersecurity strategy, and implementing cybersecurity programs.</w:t>
      </w:r>
    </w:p>
    <w:p>
      <w:pPr>
        <w:spacing w:after="0" w:line="182"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Our management team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As of December 31, 2024, we have leased approximately 17,000 square feet of headquarters office space in Celebration, Florida, comprised of two contiguous office suites, under non-cancelable lease agreements that expire in August 2025 and February 2026, respectively. One such office suite, which is approximately 6,300 square feet and has an expiration date of February 2026, is subleased to a third party. We have the right to extend the term of the lease for two successive five-year terms upon expiration. In addition, we occupy leased office space in Newton, Massachusetts and Copenhagen, Denmark. We believe that our facilities are adequate for our current needs.</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From time to time, we may be involved in routine legal proceedings, as well as demands, claims and threatened litigation, which arise in the normal course of our business. Other than as disclosed in Note K of our audited consolidated financial statements included elsewhere in this Annual Report on Form 10-K, we believe there is no litigation pending that would reasonably be expected to, individually or in the aggregate, have a material adverse effect on our results of operations or financial condition.</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INFORMATION ABOUT OUR EXECUTIVE OFFICERS AND DIRECTORS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as of the date of this Annual Report on Form 10-K.</w:t>
      </w:r>
    </w:p>
    <w:p>
      <w:pPr>
        <w:spacing w:after="0" w:line="200" w:lineRule="exact"/>
        <w:rPr>
          <w:sz w:val="20"/>
          <w:szCs w:val="20"/>
          <w:color w:val="auto"/>
        </w:rPr>
      </w:pPr>
    </w:p>
    <w:p>
      <w:pPr>
        <w:spacing w:after="0" w:line="234" w:lineRule="exact"/>
        <w:rPr>
          <w:sz w:val="20"/>
          <w:szCs w:val="20"/>
          <w:color w:val="auto"/>
        </w:rPr>
      </w:pPr>
    </w:p>
    <w:tbl>
      <w:tblPr>
        <w:tblLayout w:type="fixed"/>
        <w:tblInd w:w="2840" w:type="dxa"/>
        <w:tblCellMar>
          <w:top w:w="0" w:type="dxa"/>
          <w:left w:w="0" w:type="dxa"/>
          <w:bottom w:w="0" w:type="dxa"/>
          <w:right w:w="0" w:type="dxa"/>
        </w:tblCellMar>
      </w:tblPr>
      <w:tr>
        <w:trPr>
          <w:trHeight w:val="237"/>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0" w:type="dxa"/>
            <w:vAlign w:val="bottom"/>
          </w:tcPr>
          <w:p>
            <w:pPr>
              <w:spacing w:after="0"/>
              <w:rPr>
                <w:sz w:val="1"/>
                <w:szCs w:val="1"/>
                <w:color w:val="auto"/>
              </w:rPr>
            </w:pPr>
          </w:p>
        </w:tc>
      </w:tr>
      <w:tr>
        <w:trPr>
          <w:trHeight w:val="208"/>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80" w:type="dxa"/>
            <w:vAlign w:val="bottom"/>
          </w:tcPr>
          <w:p>
            <w:pPr>
              <w:ind w:left="400"/>
              <w:spacing w:after="0" w:line="197" w:lineRule="exact"/>
              <w:rPr>
                <w:sz w:val="20"/>
                <w:szCs w:val="20"/>
                <w:color w:val="auto"/>
              </w:rPr>
            </w:pPr>
            <w:r>
              <w:rPr>
                <w:rFonts w:ascii="Times New Roman" w:cs="Times New Roman" w:eastAsia="Times New Roman" w:hAnsi="Times New Roman"/>
                <w:sz w:val="18"/>
                <w:szCs w:val="18"/>
                <w:color w:val="auto"/>
              </w:rPr>
              <w:t>President, Chief</w:t>
            </w:r>
          </w:p>
        </w:tc>
        <w:tc>
          <w:tcPr>
            <w:tcW w:w="0" w:type="dxa"/>
            <w:vAlign w:val="bottom"/>
          </w:tcPr>
          <w:p>
            <w:pPr>
              <w:spacing w:after="0"/>
              <w:rPr>
                <w:sz w:val="1"/>
                <w:szCs w:val="1"/>
                <w:color w:val="auto"/>
              </w:rPr>
            </w:pPr>
          </w:p>
        </w:tc>
      </w:tr>
      <w:tr>
        <w:trPr>
          <w:trHeight w:val="215"/>
        </w:trPr>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Neil F. McFarlane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Executive Officer, and</w:t>
            </w:r>
          </w:p>
        </w:tc>
        <w:tc>
          <w:tcPr>
            <w:tcW w:w="0" w:type="dxa"/>
            <w:vAlign w:val="bottom"/>
          </w:tcPr>
          <w:p>
            <w:pPr>
              <w:spacing w:after="0"/>
              <w:rPr>
                <w:sz w:val="1"/>
                <w:szCs w:val="1"/>
                <w:color w:val="auto"/>
              </w:rPr>
            </w:pPr>
          </w:p>
        </w:tc>
      </w:tr>
      <w:tr>
        <w:trPr>
          <w:trHeight w:val="233"/>
        </w:trPr>
        <w:tc>
          <w:tcPr>
            <w:tcW w:w="2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ind w:left="160"/>
              <w:spacing w:after="0" w:line="197" w:lineRule="exact"/>
              <w:rPr>
                <w:sz w:val="20"/>
                <w:szCs w:val="20"/>
                <w:color w:val="auto"/>
              </w:rPr>
            </w:pPr>
            <w:r>
              <w:rPr>
                <w:rFonts w:ascii="Times New Roman" w:cs="Times New Roman" w:eastAsia="Times New Roman" w:hAnsi="Times New Roman"/>
                <w:sz w:val="18"/>
                <w:szCs w:val="18"/>
                <w:color w:val="auto"/>
              </w:rPr>
              <w:t>R. LaDuane Clifton,</w:t>
            </w: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280" w:type="dxa"/>
            <w:vAlign w:val="bottom"/>
            <w:shd w:val="clear" w:color="auto" w:fill="CCEEFF"/>
          </w:tcPr>
          <w:p>
            <w:pPr>
              <w:ind w:left="400"/>
              <w:spacing w:after="0" w:line="197" w:lineRule="exact"/>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126"/>
        </w:trPr>
        <w:tc>
          <w:tcPr>
            <w:tcW w:w="2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MBA, CPA</w:t>
            </w:r>
          </w:p>
        </w:tc>
        <w:tc>
          <w:tcPr>
            <w:tcW w:w="1100" w:type="dxa"/>
            <w:vAlign w:val="bottom"/>
            <w:vMerge w:val="continue"/>
            <w:shd w:val="clear" w:color="auto" w:fill="CCEEFF"/>
          </w:tcPr>
          <w:p>
            <w:pPr>
              <w:spacing w:after="0"/>
              <w:rPr>
                <w:sz w:val="10"/>
                <w:szCs w:val="10"/>
                <w:color w:val="auto"/>
              </w:rPr>
            </w:pPr>
          </w:p>
        </w:tc>
        <w:tc>
          <w:tcPr>
            <w:tcW w:w="228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and Treasurer</w:t>
            </w:r>
          </w:p>
        </w:tc>
        <w:tc>
          <w:tcPr>
            <w:tcW w:w="0" w:type="dxa"/>
            <w:vAlign w:val="bottom"/>
          </w:tcPr>
          <w:p>
            <w:pPr>
              <w:spacing w:after="0"/>
              <w:rPr>
                <w:sz w:val="1"/>
                <w:szCs w:val="1"/>
                <w:color w:val="auto"/>
              </w:rPr>
            </w:pPr>
          </w:p>
        </w:tc>
      </w:tr>
      <w:tr>
        <w:trPr>
          <w:trHeight w:val="107"/>
        </w:trPr>
        <w:tc>
          <w:tcPr>
            <w:tcW w:w="2240" w:type="dxa"/>
            <w:vAlign w:val="bottom"/>
            <w:vMerge w:val="continue"/>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2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80" w:type="dxa"/>
            <w:vAlign w:val="bottom"/>
          </w:tcPr>
          <w:p>
            <w:pPr>
              <w:ind w:left="400"/>
              <w:spacing w:after="0" w:line="197" w:lineRule="exact"/>
              <w:rPr>
                <w:sz w:val="20"/>
                <w:szCs w:val="20"/>
                <w:color w:val="auto"/>
              </w:rPr>
            </w:pPr>
            <w:r>
              <w:rPr>
                <w:rFonts w:ascii="Times New Roman" w:cs="Times New Roman" w:eastAsia="Times New Roman" w:hAnsi="Times New Roman"/>
                <w:sz w:val="18"/>
                <w:szCs w:val="18"/>
                <w:color w:val="auto"/>
              </w:rPr>
              <w:t>Chief Commercial</w:t>
            </w:r>
          </w:p>
        </w:tc>
        <w:tc>
          <w:tcPr>
            <w:tcW w:w="0" w:type="dxa"/>
            <w:vAlign w:val="bottom"/>
          </w:tcPr>
          <w:p>
            <w:pPr>
              <w:spacing w:after="0"/>
              <w:rPr>
                <w:sz w:val="1"/>
                <w:szCs w:val="1"/>
                <w:color w:val="auto"/>
              </w:rPr>
            </w:pPr>
          </w:p>
        </w:tc>
      </w:tr>
      <w:tr>
        <w:trPr>
          <w:trHeight w:val="215"/>
        </w:trPr>
        <w:tc>
          <w:tcPr>
            <w:tcW w:w="22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Joshua Schafer</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Officer and Executive</w:t>
            </w:r>
          </w:p>
        </w:tc>
        <w:tc>
          <w:tcPr>
            <w:tcW w:w="0" w:type="dxa"/>
            <w:vAlign w:val="bottom"/>
          </w:tcPr>
          <w:p>
            <w:pPr>
              <w:spacing w:after="0"/>
              <w:rPr>
                <w:sz w:val="1"/>
                <w:szCs w:val="1"/>
                <w:color w:val="auto"/>
              </w:rPr>
            </w:pPr>
          </w:p>
        </w:tc>
      </w:tr>
      <w:tr>
        <w:trPr>
          <w:trHeight w:val="126"/>
        </w:trPr>
        <w:tc>
          <w:tcPr>
            <w:tcW w:w="22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22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Vice President of</w:t>
            </w:r>
          </w:p>
        </w:tc>
        <w:tc>
          <w:tcPr>
            <w:tcW w:w="0" w:type="dxa"/>
            <w:vAlign w:val="bottom"/>
          </w:tcPr>
          <w:p>
            <w:pPr>
              <w:spacing w:after="0"/>
              <w:rPr>
                <w:sz w:val="1"/>
                <w:szCs w:val="1"/>
                <w:color w:val="auto"/>
              </w:rPr>
            </w:pPr>
          </w:p>
        </w:tc>
      </w:tr>
      <w:tr>
        <w:trPr>
          <w:trHeight w:val="89"/>
        </w:trPr>
        <w:tc>
          <w:tcPr>
            <w:tcW w:w="2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Business Development</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ind w:left="160"/>
              <w:spacing w:after="0" w:line="197" w:lineRule="exact"/>
              <w:rPr>
                <w:sz w:val="20"/>
                <w:szCs w:val="20"/>
                <w:color w:val="auto"/>
              </w:rPr>
            </w:pPr>
            <w:r>
              <w:rPr>
                <w:rFonts w:ascii="Times New Roman" w:cs="Times New Roman" w:eastAsia="Times New Roman" w:hAnsi="Times New Roman"/>
                <w:sz w:val="18"/>
                <w:szCs w:val="18"/>
                <w:color w:val="auto"/>
              </w:rPr>
              <w:t>Adrian Quartel, M.D.,</w:t>
            </w: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8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Chief Medical Officer</w:t>
            </w:r>
          </w:p>
        </w:tc>
        <w:tc>
          <w:tcPr>
            <w:tcW w:w="0" w:type="dxa"/>
            <w:vAlign w:val="bottom"/>
          </w:tcPr>
          <w:p>
            <w:pPr>
              <w:spacing w:after="0"/>
              <w:rPr>
                <w:sz w:val="1"/>
                <w:szCs w:val="1"/>
                <w:color w:val="auto"/>
              </w:rPr>
            </w:pPr>
          </w:p>
        </w:tc>
      </w:tr>
      <w:tr>
        <w:trPr>
          <w:trHeight w:val="126"/>
        </w:trPr>
        <w:tc>
          <w:tcPr>
            <w:tcW w:w="2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FFPM</w:t>
            </w:r>
          </w:p>
        </w:tc>
        <w:tc>
          <w:tcPr>
            <w:tcW w:w="1100" w:type="dxa"/>
            <w:vAlign w:val="bottom"/>
            <w:vMerge w:val="continue"/>
            <w:shd w:val="clear" w:color="auto" w:fill="CCEEFF"/>
          </w:tcPr>
          <w:p>
            <w:pPr>
              <w:spacing w:after="0"/>
              <w:rPr>
                <w:sz w:val="10"/>
                <w:szCs w:val="10"/>
                <w:color w:val="auto"/>
              </w:rPr>
            </w:pPr>
          </w:p>
        </w:tc>
        <w:tc>
          <w:tcPr>
            <w:tcW w:w="22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240" w:type="dxa"/>
            <w:vAlign w:val="bottom"/>
            <w:vMerge w:val="continue"/>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80" w:type="dxa"/>
            <w:vAlign w:val="bottom"/>
          </w:tcPr>
          <w:p>
            <w:pPr>
              <w:ind w:left="400"/>
              <w:spacing w:after="0" w:line="197" w:lineRule="exact"/>
              <w:rPr>
                <w:sz w:val="20"/>
                <w:szCs w:val="20"/>
                <w:color w:val="auto"/>
              </w:rPr>
            </w:pPr>
            <w:r>
              <w:rPr>
                <w:rFonts w:ascii="Times New Roman" w:cs="Times New Roman" w:eastAsia="Times New Roman" w:hAnsi="Times New Roman"/>
                <w:sz w:val="18"/>
                <w:szCs w:val="18"/>
                <w:color w:val="auto"/>
              </w:rPr>
              <w:t>Chief Legal Officer,</w:t>
            </w:r>
          </w:p>
        </w:tc>
        <w:tc>
          <w:tcPr>
            <w:tcW w:w="0" w:type="dxa"/>
            <w:vAlign w:val="bottom"/>
          </w:tcPr>
          <w:p>
            <w:pPr>
              <w:spacing w:after="0"/>
              <w:rPr>
                <w:sz w:val="1"/>
                <w:szCs w:val="1"/>
                <w:color w:val="auto"/>
              </w:rPr>
            </w:pPr>
          </w:p>
        </w:tc>
      </w:tr>
      <w:tr>
        <w:trPr>
          <w:trHeight w:val="215"/>
        </w:trPr>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Rahsaan W. Thompson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Secretary and</w:t>
            </w:r>
          </w:p>
        </w:tc>
        <w:tc>
          <w:tcPr>
            <w:tcW w:w="0" w:type="dxa"/>
            <w:vAlign w:val="bottom"/>
          </w:tcPr>
          <w:p>
            <w:pPr>
              <w:spacing w:after="0"/>
              <w:rPr>
                <w:sz w:val="1"/>
                <w:szCs w:val="1"/>
                <w:color w:val="auto"/>
              </w:rPr>
            </w:pPr>
          </w:p>
        </w:tc>
      </w:tr>
      <w:tr>
        <w:trPr>
          <w:trHeight w:val="233"/>
        </w:trPr>
        <w:tc>
          <w:tcPr>
            <w:tcW w:w="2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Compliance Officer</w:t>
            </w:r>
          </w:p>
        </w:tc>
        <w:tc>
          <w:tcPr>
            <w:tcW w:w="0" w:type="dxa"/>
            <w:vAlign w:val="bottom"/>
          </w:tcPr>
          <w:p>
            <w:pPr>
              <w:spacing w:after="0"/>
              <w:rPr>
                <w:sz w:val="1"/>
                <w:szCs w:val="1"/>
                <w:color w:val="auto"/>
              </w:rPr>
            </w:pPr>
          </w:p>
        </w:tc>
      </w:tr>
      <w:tr>
        <w:trPr>
          <w:trHeight w:val="242"/>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110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Thomas D. Anderson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46"/>
        </w:trPr>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John B. Bode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8"/>
        </w:trPr>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Douglas W. Calder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46"/>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Wendy Dixon, Ph.D.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8"/>
        </w:trPr>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Tamara A. Favorito</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46"/>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Alvin Shih, M.D.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ectPr>
          <w:pgSz w:w="11900" w:h="16838" w:orient="portrait"/>
          <w:cols w:equalWidth="0" w:num="1">
            <w:col w:w="11260"/>
          </w:cols>
          <w:pgMar w:left="300" w:top="121" w:right="339" w:bottom="0" w:gutter="0" w:footer="0" w:header="0"/>
        </w:sectPr>
      </w:pPr>
    </w:p>
    <w:bookmarkStart w:id="91" w:name="page92"/>
    <w:bookmarkEnd w:id="91"/>
    <w:p>
      <w:pPr>
        <w:ind w:left="1860"/>
        <w:spacing w:after="0"/>
        <w:tabs>
          <w:tab w:leader="none" w:pos="4380" w:val="left"/>
          <w:tab w:leader="none" w:pos="5420" w:val="left"/>
        </w:tabs>
        <w:rPr>
          <w:sz w:val="20"/>
          <w:szCs w:val="20"/>
          <w:color w:val="auto"/>
        </w:rPr>
      </w:pPr>
      <w:r>
        <w:rPr>
          <w:rFonts w:ascii="Times New Roman" w:cs="Times New Roman" w:eastAsia="Times New Roman" w:hAnsi="Times New Roman"/>
          <w:sz w:val="18"/>
          <w:szCs w:val="18"/>
          <w:color w:val="auto"/>
        </w:rPr>
        <w:t>Corey Watton</w:t>
      </w:r>
      <w:r>
        <w:rPr>
          <w:sz w:val="20"/>
          <w:szCs w:val="20"/>
          <w:color w:val="auto"/>
        </w:rPr>
        <w:tab/>
      </w: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Director</w:t>
      </w:r>
    </w:p>
    <w:p>
      <w:pPr>
        <w:sectPr>
          <w:pgSz w:w="11900" w:h="16838" w:orient="portrait"/>
          <w:cols w:equalWidth="0" w:num="1">
            <w:col w:w="9019"/>
          </w:cols>
          <w:pgMar w:left="1440" w:top="121" w:right="1440"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85090</wp:posOffset>
            </wp:positionV>
            <wp:extent cx="71329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92" w:name="page93"/>
    <w:bookmarkEnd w:id="9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Neil F. McFarlane</w:t>
      </w:r>
    </w:p>
    <w:p>
      <w:pPr>
        <w:spacing w:after="0" w:line="227" w:lineRule="exact"/>
        <w:rPr>
          <w:sz w:val="20"/>
          <w:szCs w:val="20"/>
          <w:color w:val="auto"/>
        </w:rPr>
      </w:pPr>
    </w:p>
    <w:p>
      <w:pPr>
        <w:jc w:val="both"/>
        <w:ind w:left="20" w:firstLine="161"/>
        <w:spacing w:after="0" w:line="269" w:lineRule="auto"/>
        <w:rPr>
          <w:sz w:val="20"/>
          <w:szCs w:val="20"/>
          <w:color w:val="auto"/>
        </w:rPr>
      </w:pPr>
      <w:r>
        <w:rPr>
          <w:rFonts w:ascii="Times New Roman" w:cs="Times New Roman" w:eastAsia="Times New Roman" w:hAnsi="Times New Roman"/>
          <w:sz w:val="17"/>
          <w:szCs w:val="17"/>
          <w:color w:val="auto"/>
        </w:rPr>
        <w:t>Neil F. McFarlane has served as our president and Chief Executive Officer, and as a director of our Company, since October 2023. Mr. McFarlane served as the chief executive officer and a member of the board of directors of Adamas Pharmaceuticals, Inc. from September 2019 until November 2021, when Adamas was acquired by Supernus Pharmaceuticals, Inc. From August 2016 to May 2019, Mr. McFarlane served as the chief operating officer of Retrophin, Inc. (now Travere Therapeutics, Inc.), a public biopharmaceutical company. From 2011 to 2016, he held positions of increasing responsibility with UCB, Inc., Genzyme Corporation (now Sanofi) and Sangstat Medical Corporation (acquired by Genzyme). Mr. McFarlane currently serves as a member of the board of directors of HCRx Holdings, a private company that invests in biopharmaceutical product royalties, and previously he served as a member of the board of directors of Collegium Pharmaceutical Inc., a public biopharmaceutical company. Mr. McFarlane proudly served as an officer and enlisted soldier in the United States Army Reserves. He received his BS and MS in Nursing from the University of Florida. Our Board believes that Mr. McFarlane’s over 20 years of global biopharmaceutical and life sciences experience provide him with the qualifications and skills to serve as a director of our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LaDuane Clifton, MBA, CPA</w:t>
      </w:r>
    </w:p>
    <w:p>
      <w:pPr>
        <w:spacing w:after="0" w:line="227" w:lineRule="exact"/>
        <w:rPr>
          <w:sz w:val="20"/>
          <w:szCs w:val="20"/>
          <w:color w:val="auto"/>
        </w:rPr>
      </w:pPr>
    </w:p>
    <w:p>
      <w:pPr>
        <w:jc w:val="both"/>
        <w:ind w:left="20" w:firstLine="161"/>
        <w:spacing w:after="0" w:line="252" w:lineRule="auto"/>
        <w:rPr>
          <w:sz w:val="20"/>
          <w:szCs w:val="20"/>
          <w:color w:val="auto"/>
        </w:rPr>
      </w:pPr>
      <w:r>
        <w:rPr>
          <w:rFonts w:ascii="Times New Roman" w:cs="Times New Roman" w:eastAsia="Times New Roman" w:hAnsi="Times New Roman"/>
          <w:sz w:val="18"/>
          <w:szCs w:val="18"/>
          <w:color w:val="auto"/>
        </w:rPr>
        <w:t>R. LaDuane Clifton, MBA, CPA, has served as our Chief Financial Officer since June 2015 and as our Treasurer since February 2016; he also served as our Secretary from February 2016 to June 2024. Mr. Clifton is responsible for the Company’s financial and operating activities. Previously, he served as our Vice President of Finance and Corporate Controller from April 2015 to June 2015. From August 2009 to February 2015, Mr. Clifton served in a variety of positions, including chief financial officer, secretary and treasurer, with The LGL Group, Inc., a public holding engaged in services, merchant investment and manufacturing business activities. From August 2008 to August 2009, Mr. Clifton served as the chief financial officer of a21, Inc., a public holding company with businesses in stock photography and the online retail and manufacturer of framed art, and as its corporate controller from March 2007 to August 2008. From August 2004 to March 2007, Mr. Clifton served as an auditor with KPMG. From August 1991 to August 2004, he served in a variety of finance, medical cost analysis and managed care provider contracting roles with Aetna, Inc., a publicly-held provider of healthcare benefits. Mr. Clifton is a certified public accountant in the state of Florida and received his BBA in Accounting and MBA from the University of North Florida, as well as a Graduate Certificate in Corporate Finance from Harvard University.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Joshua Schafer</w:t>
      </w:r>
    </w:p>
    <w:p>
      <w:pPr>
        <w:spacing w:after="0" w:line="227" w:lineRule="exact"/>
        <w:rPr>
          <w:sz w:val="20"/>
          <w:szCs w:val="20"/>
          <w:color w:val="auto"/>
        </w:rPr>
      </w:pPr>
    </w:p>
    <w:p>
      <w:pPr>
        <w:jc w:val="both"/>
        <w:ind w:left="20" w:firstLine="161"/>
        <w:spacing w:after="0" w:line="253" w:lineRule="auto"/>
        <w:rPr>
          <w:sz w:val="20"/>
          <w:szCs w:val="20"/>
          <w:color w:val="auto"/>
        </w:rPr>
      </w:pPr>
      <w:r>
        <w:rPr>
          <w:rFonts w:ascii="Times New Roman" w:cs="Times New Roman" w:eastAsia="Times New Roman" w:hAnsi="Times New Roman"/>
          <w:sz w:val="18"/>
          <w:szCs w:val="18"/>
          <w:color w:val="auto"/>
        </w:rPr>
        <w:t>Joshua Schafer has served as our Chief Commercial Officer and Executive Vice President, Business Development, since January 2023. Mr. Schafer has over 25 years of pharmaceutical commercial, new product development and M&amp;A experience. From December 2020 to November 2022, he served as senior vice president and general manager of the Autoimmune and Rare Disease business at Mallinckrodt Pharmaceuticals. Prior to that, he served as Mallinckrodt’s chief strategy and business officer from September 2019 to December 2020 and senior vice president of business development and general manager from January 2018 to September 2019. Prior to Mallinckrodt, Mr. Schafer served as vice president and oncology therapeutic area head, global marketing and strategy at Astellas Pharmaceuticals, where he was responsible for building the company’s global oncology franchise, and also held senior roles at Takeda Pharmaceuticals, Accenture (formerly Anderson Consulting), G. D. Searle &amp; Co. (later acquired by Pfizer) and Cognia Corporation. Mr. Schafer currently serves as a member of the board of Pharnext SA and Shuttle Pharmaceuticals. He received his BA in Biology and German at the University of Notre Dame, and both an MS in Biotechnology and an MBA from Northwestern University.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93" w:name="page94"/>
    <w:bookmarkEnd w:id="9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Adrian Quartel, M.D., FFPM</w:t>
      </w:r>
    </w:p>
    <w:p>
      <w:pPr>
        <w:spacing w:after="0" w:line="227" w:lineRule="exact"/>
        <w:rPr>
          <w:sz w:val="20"/>
          <w:szCs w:val="20"/>
          <w:color w:val="auto"/>
        </w:rPr>
      </w:pPr>
    </w:p>
    <w:p>
      <w:pPr>
        <w:jc w:val="both"/>
        <w:ind w:left="20" w:firstLine="161"/>
        <w:spacing w:after="0" w:line="252" w:lineRule="auto"/>
        <w:rPr>
          <w:sz w:val="20"/>
          <w:szCs w:val="20"/>
          <w:color w:val="auto"/>
        </w:rPr>
      </w:pPr>
      <w:r>
        <w:rPr>
          <w:rFonts w:ascii="Times New Roman" w:cs="Times New Roman" w:eastAsia="Times New Roman" w:hAnsi="Times New Roman"/>
          <w:sz w:val="18"/>
          <w:szCs w:val="18"/>
          <w:color w:val="auto"/>
        </w:rPr>
        <w:t>Adrian Quartel, M.D., FFPM, has served as our Chief Medical Officer since January 2024, and previously served as the chief medical officer of Acer Therapeutics from February 2022 until it was acquired by Zevra at the end of 2023. At Acer, Dr. Quartel played a key role in guiding clinical development, clinical operations, medical affairs and regulatory compliance. Prior to that, he was the chief medical officer at Adamas Pharmaceuticals, a company focused on drug development for neurological diseases, from September 2020 until February 2022. From June 2017 until September 2020, Dr. Quartel served as the group vice president of global medical affairs at BioMarin Pharmaceuticals Inc., where he spearheaded the launch of six treatments for rare diseases or genetic disorders. Before his tenure at BioMarin, Dr. Quartel oversaw clinical development and held senior medical leadership positions at Chiltern, a specialist contract research organization, from September 2006 to July 2007, at Astellas Pharma, Inc., a global life sciences company, from January 2004 until September 2006, and at ICON Clinical Research., a healthcare intelligence and clinical research organization, from August 2001 to January 2004. In addition, Dr. Quartel worked as a clinical research fellow at UCLA Cedar Sinai and as a resident in cardio-thoracic surgery at Erasmus University Medical Center. He holds an M.D. from Erasmus University Medical School, Rotterdam, and has a postgraduate specialization in pharmaceutical medicine from the Faculty of Pharmaceutical Medicine in London. Dr. Quartel is board certified by the General Medical Council (GMC) in pharmaceutical medicine in the United Kingdom.</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Rahsaan W. Thompson</w:t>
      </w:r>
    </w:p>
    <w:p>
      <w:pPr>
        <w:spacing w:after="0" w:line="227" w:lineRule="exact"/>
        <w:rPr>
          <w:sz w:val="20"/>
          <w:szCs w:val="20"/>
          <w:color w:val="auto"/>
        </w:rPr>
      </w:pPr>
    </w:p>
    <w:p>
      <w:pPr>
        <w:jc w:val="both"/>
        <w:ind w:left="20" w:firstLine="161"/>
        <w:spacing w:after="0" w:line="270" w:lineRule="auto"/>
        <w:rPr>
          <w:sz w:val="20"/>
          <w:szCs w:val="20"/>
          <w:color w:val="auto"/>
        </w:rPr>
      </w:pPr>
      <w:r>
        <w:rPr>
          <w:rFonts w:ascii="Times New Roman" w:cs="Times New Roman" w:eastAsia="Times New Roman" w:hAnsi="Times New Roman"/>
          <w:sz w:val="17"/>
          <w:szCs w:val="17"/>
          <w:color w:val="auto"/>
        </w:rPr>
        <w:t>Rahsaan W. Thompson has served as our Chief Legal Officer, Secretary and Compliance Officer since June 2024. Mr. Thompson has more than 25 years of experience as a business leader and attorney in the biotech industry. He previously served as the chief legal officer at Lyell Immunopharma, a publicly-traded and clinical-stage biotech corporation. Prior to his role at Lyell, he was the executive vice president, general counsel, corporate secretary and chief compliance officer at Gritstone bio, a publicly-traded, clinical-stage biotech company. Before that, he served as general counsel at Opiant Pharmaceuticals and Actelion Pharmaceuticals US. Earlier in his career, Mr. Thompson worked in general and corporate counsel roles at Quarles &amp; Brady, Abraxis Bioscience and McKesson Corporation, as well as being Assistant District Attorney in the Philadelphia District Attorney’s Office. Mr. Thompson currently serves on the board of trustees for the Oakland Museum of California and previously served on the board of the American Kidney Fund. He received his JD from Hofstra University School of Law and his B.Sc. from Southern Methodist University. He has bar admissions in the States of Illinois and Pennsylvania.</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Thomas D. Anderson</w:t>
      </w:r>
    </w:p>
    <w:p>
      <w:pPr>
        <w:spacing w:after="0" w:line="227" w:lineRule="exact"/>
        <w:rPr>
          <w:sz w:val="20"/>
          <w:szCs w:val="20"/>
          <w:color w:val="auto"/>
        </w:rPr>
      </w:pPr>
    </w:p>
    <w:p>
      <w:pPr>
        <w:jc w:val="both"/>
        <w:ind w:left="20" w:firstLine="161"/>
        <w:spacing w:after="0" w:line="252" w:lineRule="auto"/>
        <w:rPr>
          <w:sz w:val="20"/>
          <w:szCs w:val="20"/>
          <w:color w:val="auto"/>
        </w:rPr>
      </w:pPr>
      <w:r>
        <w:rPr>
          <w:rFonts w:ascii="Times New Roman" w:cs="Times New Roman" w:eastAsia="Times New Roman" w:hAnsi="Times New Roman"/>
          <w:sz w:val="18"/>
          <w:szCs w:val="18"/>
          <w:color w:val="auto"/>
        </w:rPr>
        <w:t>Thomas D. Anderson has served as a director of our Company since August 2023 and as chair of the compensation committee since February 2024. Mr. Anderson is a 35-year veteran of the biopharma industry, playing a leading role in high-growth organizations for much of his career. Mr. Anderson served as chief executive officer and director of SwanBio Therapeutics, a clinical-stage gene therapy company, from September 2019 until his semi-retirement in October 2023; subsequently, he resigned his board directorship in March 2024. Prior to that, he served as the chief commercial strategy officer of Sage Therapeutics, Inc., a biopharmaceutical company, from 2014 to 2018. From 2004 to 2014, Mr. Anderson was a senior executive with Shire Pharmaceuticals Group in a number of operational and strategic roles in both rare diseases and specialty pharmaceuticals. Earlier in his career, Mr. Anderson was with Johnson &amp; Johnson companies, Janssen and McNeil Pharmaceutical, in a number of leadership, sales, marketing and business information roles. Mr. Anderson also served as a director of private companies, ExpressCells Inc., from 2019 to 2023, and CEO Trust, from 2018 to 2021. Mr. Anderson received his MBA from the University of Notre Dame’s Mendoza College of Business Administration. He received his BS in civil engineering from the P.C. Rossin College of Engineering at Lehigh University. Our Board believes that Mr. Anderson’s extensive experience in the biopharma industry, including as senior executive and director of multiple biopharmaceutical companies, qualifies him to serve on the Board as a director of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John B. Bode</w:t>
      </w:r>
    </w:p>
    <w:p>
      <w:pPr>
        <w:spacing w:after="0" w:line="227" w:lineRule="exact"/>
        <w:rPr>
          <w:sz w:val="20"/>
          <w:szCs w:val="20"/>
          <w:color w:val="auto"/>
        </w:rPr>
      </w:pPr>
    </w:p>
    <w:p>
      <w:pPr>
        <w:jc w:val="both"/>
        <w:ind w:left="20" w:firstLine="161"/>
        <w:spacing w:after="0" w:line="251" w:lineRule="auto"/>
        <w:rPr>
          <w:sz w:val="20"/>
          <w:szCs w:val="20"/>
          <w:color w:val="auto"/>
        </w:rPr>
      </w:pPr>
      <w:r>
        <w:rPr>
          <w:rFonts w:ascii="Times New Roman" w:cs="Times New Roman" w:eastAsia="Times New Roman" w:hAnsi="Times New Roman"/>
          <w:sz w:val="18"/>
          <w:szCs w:val="18"/>
          <w:color w:val="auto"/>
        </w:rPr>
        <w:t>John B. Bode has served as a director of our Company since April 2023 and as chair of the nominating and corporate governance committee since May 2023. Since February 2015, Mr. Bode has been the owner and managing director of Aerie Investments, LLC, a management consulting and investment company focused on assisting legacy media companies and digital media start-ups with business development and strategic initiatives. Mr. Bode currently serves as the chief financial officer and chief transformation officer of Postmedia Network Canada Corp., a publishing company whose shares are traded on the Toronto Stock Exchange. Since September 2022, Mr. Bode has served as the interim chief executive officer of FISION Corporation, a provider of cloud-based digital asset management, sales enablement and agile marketing technologies; and, he has served as a member of its board of directors since March 2018. Mr. Bode has served on the board of directors of SPAR Group, Inc., a leading global provider of merchandising, marketing and distribution services that is listed on the Nasdaq, since October 2023, and of The McClatchy Company, a leading privately-held publisher of newspapers, since September 2020. Mr. Bode’s past corporate experience includes many years serving as a key executive and/or financial officer for leading public companies. He was the chief financial officer of the Tribune Publishing Company from October 2013 to January 2015. He served as the chief financial officer of Source Interlink Companies, one of the largest enthusiast media companies in the United States and a leading distributor of periodicals, from January 2011 to September 2013, after serving in other accounting and finance roles with Source Interlink since 2002. He was previously employed as a certified public accountant for BDO Seidman. Mr. Bode received a BS in Accounting from Notre Dame University. Our Board believes that Mr. Bode’s experience as an executive and manager of public and private companies, as well as his experience leading commercial and marketing operations for such companies, offers the Board valuable perspective and insight and provides him with the qualifications and skills to serve as a director of our Company.</w:t>
      </w:r>
    </w:p>
    <w:p>
      <w:pPr>
        <w:sectPr>
          <w:pgSz w:w="11900" w:h="16838" w:orient="portrait"/>
          <w:cols w:equalWidth="0" w:num="1">
            <w:col w:w="11260"/>
          </w:cols>
          <w:pgMar w:left="300" w:top="121"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94" w:name="page95"/>
    <w:bookmarkEnd w:id="9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Douglas W. Calder</w:t>
      </w:r>
    </w:p>
    <w:p>
      <w:pPr>
        <w:spacing w:after="0" w:line="227" w:lineRule="exact"/>
        <w:rPr>
          <w:sz w:val="20"/>
          <w:szCs w:val="20"/>
          <w:color w:val="auto"/>
        </w:rPr>
      </w:pPr>
    </w:p>
    <w:p>
      <w:pPr>
        <w:jc w:val="both"/>
        <w:ind w:left="20" w:firstLine="161"/>
        <w:spacing w:after="0" w:line="251" w:lineRule="auto"/>
        <w:rPr>
          <w:sz w:val="20"/>
          <w:szCs w:val="20"/>
          <w:color w:val="auto"/>
        </w:rPr>
      </w:pPr>
      <w:r>
        <w:rPr>
          <w:rFonts w:ascii="Times New Roman" w:cs="Times New Roman" w:eastAsia="Times New Roman" w:hAnsi="Times New Roman"/>
          <w:sz w:val="18"/>
          <w:szCs w:val="18"/>
          <w:color w:val="auto"/>
        </w:rPr>
        <w:t>Douglas W. Calder has served as a director of our Company since April 2023. Since August 2016, he has served as president and a director of Vycellix, Inc. (including its subsidiaries and affiliates), a private company engineering immune-privileged, T cell and natural killer (“NK”) cell-based cancer therapeutics. Mr. Calder has also served as a member of the board of directors of Renovaro, a public biotechnology company (Nasdaq: RENB), since October 2024, of NextGenNK, Sweden’s NK cell competence center, since June 2019, and of BioFlorida, a private company supporting Florida’s life sciences industry, since September 2018. He also has been a member of the Society for Natural Immunity since July 2018. Mr. Calder has more than 30 years of life science executive experience, having served in various senior executive roles for Florida-based biotechnology companies and research institutes, including Viragen, Accentia Biopharmaceuticals, Biovest International and the Vaccine &amp; Gene Therapy Institute of Florida, as well as having formerly served as a registered financial portfolio manager with a focus on life science equities with the New York Stock Exchange member firms, Gruntal</w:t>
      </w:r>
    </w:p>
    <w:p>
      <w:pPr>
        <w:spacing w:after="0" w:line="7" w:lineRule="exact"/>
        <w:rPr>
          <w:sz w:val="20"/>
          <w:szCs w:val="20"/>
          <w:color w:val="auto"/>
        </w:rPr>
      </w:pPr>
    </w:p>
    <w:p>
      <w:pPr>
        <w:jc w:val="both"/>
        <w:ind w:left="20" w:firstLine="7"/>
        <w:spacing w:after="0" w:line="253" w:lineRule="auto"/>
        <w:tabs>
          <w:tab w:leader="none" w:pos="25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and Dean Witter Reynolds. Mr. Calder received a BA from Florida State University. Our Board believes that Mr. Calder’s experience in biotechnology and life science industries, including as an executive and as director, provide him with the qualifications and skills to serve as a director of our Company.</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Wendy Dixon, Ph.D.</w:t>
      </w:r>
    </w:p>
    <w:p>
      <w:pPr>
        <w:spacing w:after="0" w:line="227" w:lineRule="exact"/>
        <w:rPr>
          <w:sz w:val="20"/>
          <w:szCs w:val="20"/>
          <w:color w:val="auto"/>
        </w:rPr>
      </w:pPr>
    </w:p>
    <w:p>
      <w:pPr>
        <w:jc w:val="both"/>
        <w:ind w:left="20" w:firstLine="161"/>
        <w:spacing w:after="0" w:line="267" w:lineRule="auto"/>
        <w:rPr>
          <w:sz w:val="20"/>
          <w:szCs w:val="20"/>
          <w:color w:val="auto"/>
        </w:rPr>
      </w:pPr>
      <w:r>
        <w:rPr>
          <w:rFonts w:ascii="Times New Roman" w:cs="Times New Roman" w:eastAsia="Times New Roman" w:hAnsi="Times New Roman"/>
          <w:sz w:val="17"/>
          <w:szCs w:val="17"/>
          <w:color w:val="auto"/>
        </w:rPr>
        <w:t>Wendy Dixon, Ph.D. has served as a director of our Company since April 2023. Dr. Dixon has more than 40 years of biopharmaceutical industry experience in drug development, with leadership roles in regulatory affairs and commercial capabilities. Dr. Dixon was chief marketing officer and president of global marketing at Bristol Myers Squibb from December 2001 to May 2009. From 1996 to 2001, she served as a senior vice president of marketing at Merck. Earlier in her career, she held executive management positions at West Pharmaceuticals, Osteotech and Centocor, as well as marketing, regulatory affairs, project management and biochemist roles at SmithKline and French (now GlaxoSmithKline). Since leaving Bristol Myers Squibb, Dr. Dixon has served on the boards of directors of numerous biopharmaceutical companies, including Arvinas, Inc. from June 2020 to May 2024, Black Diamond Therapeutics, Inc. from April 2022 to April 2024, and Iovance Biotherapeutics, Inc. from June 2022 to June 2023. Previously, Dr. Dixon served on the boards of directors of Alkermes plc from January 2011 to May 2022, bluebird bio, Inc. from May 2013 to June 2021, Incyte from May 2010 to May 2022, Sesen Bio, Inc. (formerly Eleven Biotherapeutics, Inc.) from October 2014 to February 2020, and Voyager Therapeutics, Inc. from January 2017 to January 2021. She also served on the boards of Ardea Biosciences from 2011 until 2012 when Ardea was acquired by AstraZeneca plc, and Furiex Pharmaceuticals from 2010 until 2014 when Furiex was acquired by Actavis plc. Dr. Dixon holds a Ph.D. in biochemistry and an M.Sc. and B.Sc. in Natural Science from the University of Cambridge. Our Board believes that Dr. Dixon’s extensive experience in corporate management, including as a director of multiple public companies, as well as her academic and professional expertise, provides her with the qualifications and skills to serve as a director of our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Tamara A. Favorito</w:t>
      </w:r>
    </w:p>
    <w:p>
      <w:pPr>
        <w:spacing w:after="0" w:line="227" w:lineRule="exact"/>
        <w:rPr>
          <w:sz w:val="20"/>
          <w:szCs w:val="20"/>
          <w:color w:val="auto"/>
        </w:rPr>
      </w:pPr>
    </w:p>
    <w:p>
      <w:pPr>
        <w:jc w:val="both"/>
        <w:ind w:left="20" w:firstLine="161"/>
        <w:spacing w:after="0" w:line="251" w:lineRule="auto"/>
        <w:rPr>
          <w:sz w:val="20"/>
          <w:szCs w:val="20"/>
          <w:color w:val="auto"/>
        </w:rPr>
      </w:pPr>
      <w:r>
        <w:rPr>
          <w:rFonts w:ascii="Times New Roman" w:cs="Times New Roman" w:eastAsia="Times New Roman" w:hAnsi="Times New Roman"/>
          <w:sz w:val="18"/>
          <w:szCs w:val="18"/>
          <w:color w:val="auto"/>
        </w:rPr>
        <w:t>Tamara A. Favorito has served as a director and chair of the audit committee of our Company since August 2021 and as our Board chair since May 2023. Ms. Favorito has more than 30 years of life sciences industry experience, including 20 years as a chief financial officer. Her extensive experience includes leading multiple private and public financings and M&amp;A transactions as well as leading public companies’ finance, investor relations, human resources, administration and managed care functions. She currently serves as a board member and audit committee chair of Artelo Biosciences, Inc., a publicly-traded clinical development stage company, since March 2021. Ms. Favorito served on the board of directors of Kintara Therapeutics, Inc. from 2021 until its merger with TuHURA Biosciences, Inc. in October 2024, and on the board of directors of Beacon Discovery, Inc. from 2018 until its acquisition by Eurofins Scientific in March 2021. Ms. Favorito was interim chief financial officer of Immunic, Inc., a publicly-traded clinical-stage drug development company in 2019. She served as chief financial officer of Signal Genetics, Inc. (now Viridian Therapeutics, Inc.), a publicly-traded molecular diagnostics company, from 2014 to 2017, HemaQuest Pharmaceuticals, Inc., a venture-backed clinical-stage drug development company, from 2010 to 2014, and Favrille, Inc. (now MMR Global, Inc.), a publicly-traded clinical-stage drug development company, from 2001 to 2009. Earlier in her career, she spent eight years in public accounting with Deloitte &amp; Touche LLP and PricewaterhouseCoopers LLP. Ms. Favorito is a certified public accountant (inactive). She received an MBA, emphasis in Finance, from Georgia State University, and a BBA, emphasis in Accounting, from Valdosta State University. Our Board believes that Ms. Favorito's extensive experience in corporate management, finance and life science as chief financial officer of multiple public companies provides her with the qualifications and skills to serve as a director of our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Alvin Shih, M.D.</w:t>
      </w:r>
    </w:p>
    <w:p>
      <w:pPr>
        <w:spacing w:after="0" w:line="227" w:lineRule="exact"/>
        <w:rPr>
          <w:sz w:val="20"/>
          <w:szCs w:val="20"/>
          <w:color w:val="auto"/>
        </w:rPr>
      </w:pPr>
    </w:p>
    <w:p>
      <w:pPr>
        <w:jc w:val="both"/>
        <w:ind w:left="20" w:firstLine="161"/>
        <w:spacing w:after="0" w:line="267" w:lineRule="auto"/>
        <w:rPr>
          <w:sz w:val="20"/>
          <w:szCs w:val="20"/>
          <w:color w:val="auto"/>
        </w:rPr>
      </w:pPr>
      <w:r>
        <w:rPr>
          <w:rFonts w:ascii="Times New Roman" w:cs="Times New Roman" w:eastAsia="Times New Roman" w:hAnsi="Times New Roman"/>
          <w:sz w:val="17"/>
          <w:szCs w:val="17"/>
          <w:color w:val="auto"/>
        </w:rPr>
        <w:t>Alvin Shih, M.D. has served as a director of our Company since January 2024. Dr. Shih has broad experience in drug development, spanning multiple therapeutic areas and with a focus on rare diseases, including as the former chief operating officer and a founding member of Pfizer Inc.’s rare disease research unit. Since February 2021, he has served as president and chief executive officer of Catamaran Bio, Inc., a private biotechnology company developing off-the-shelf natural killer (NK) cell therapies to treat cancer. From July 2019 to December 2020, he served as the chief executive officer of Disarm Therapeutics, a biotechnology company that developed therapeutics for both rare and prevalent neurodegenerative diseases, which was acquired by Eli Lilly in October 2020. From November 2016 to February 2019, Dr. Shih was chief executive officer of Enzyvant Therapeutics, where he led the company’s cell/tissue-based therapy development for treating a rare immunological disease. He was also the executive vice president and head of research at Retrophin, Inc., where he worked on therapies for multiple disease indications. Dr. Shih previously worked in management consulting at McKinsey &amp; Company and L.E.K. Consulting, LLC. Dr. Shih also serves on the board of directors of Oaktree Acquisition Corp. III Life Sciences, a blank check company focused on the healthcare sector, and the private companies, Catamaran Bio, Inc., Imbria Pharmaceuticals, Inc. and Tenza bio. Dr. Shih received his medical degree from the University of Alabama School of Medicine and completed his residency training at Massachusetts General Hospital. Dr. Shih received his MBA from the Kellogg School of Management at Northwestern University and his BA from Vanderbilt University. Our Board believes that Dr. Shih’s significant leadership experience in the biotechnology industry and his experience in rare disease qualifies him to serve as a director of our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Corey Watton</w:t>
      </w:r>
    </w:p>
    <w:p>
      <w:pPr>
        <w:spacing w:after="0" w:line="227" w:lineRule="exact"/>
        <w:rPr>
          <w:sz w:val="20"/>
          <w:szCs w:val="20"/>
          <w:color w:val="auto"/>
        </w:rPr>
      </w:pPr>
    </w:p>
    <w:p>
      <w:pPr>
        <w:jc w:val="both"/>
        <w:ind w:left="20" w:firstLine="161"/>
        <w:spacing w:after="0" w:line="253" w:lineRule="auto"/>
        <w:rPr>
          <w:sz w:val="20"/>
          <w:szCs w:val="20"/>
          <w:color w:val="auto"/>
        </w:rPr>
      </w:pPr>
      <w:r>
        <w:rPr>
          <w:rFonts w:ascii="Times New Roman" w:cs="Times New Roman" w:eastAsia="Times New Roman" w:hAnsi="Times New Roman"/>
          <w:sz w:val="18"/>
          <w:szCs w:val="18"/>
          <w:color w:val="auto"/>
        </w:rPr>
        <w:t>Corey Watton has served as a director of our Company since April 2023. Mr. Watton has served as president and chief executive officer of Fusion Medical Staffing, LLC, a private company among the fifteen largest medical staffing companies in the US, since September 2023. Prior to his CEO role, Mr. Watton served as chief financial officer of Fusion from August 2019 until September 2023, overseeing finance, project management, operations, facilities and legal operations. From April 2009 through July 2019, he served as the chief financial officer of Home Instead Senior Health Care, a global leader in in-home health care, where he oversaw finance, subsidiary companies and the financial arm of an international subsidiary. He previously was an equity member of Lutz &amp; Company, a regional accounting firm, from 1996 to 2009. Mr. Watton is a certified public accountant and received a BS in Finance and Accounting from University of Nebraska-Lincoln. Our Board believes that Mr. Watton’s senior leadership roles in the medical services industry combined with his expertise in accounting make him well qualified to serve as a director of our Company.</w:t>
      </w:r>
    </w:p>
    <w:p>
      <w:pPr>
        <w:sectPr>
          <w:pgSz w:w="11900" w:h="16838" w:orient="portrait"/>
          <w:cols w:equalWidth="0" w:num="1">
            <w:col w:w="11260"/>
          </w:cols>
          <w:pgMar w:left="300" w:top="121" w:right="339" w:bottom="3"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85090</wp:posOffset>
            </wp:positionV>
            <wp:extent cx="7132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336" w:right="1440" w:bottom="1440" w:gutter="0" w:footer="0" w:header="0"/>
        </w:sectPr>
      </w:pPr>
    </w:p>
    <w:bookmarkStart w:id="96" w:name="page97"/>
    <w:bookmarkEnd w:id="9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jc w:val="both"/>
        <w:ind w:left="720" w:hanging="684"/>
        <w:spacing w:after="0" w:line="284"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Common Stock 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ticker symbol "ZVRA".</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22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As of December 31, 2024, there were approximately 80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7" w:lineRule="exact"/>
        <w:rPr>
          <w:sz w:val="20"/>
          <w:szCs w:val="20"/>
          <w:color w:val="auto"/>
        </w:rPr>
      </w:pPr>
    </w:p>
    <w:p>
      <w:pPr>
        <w:jc w:val="both"/>
        <w:ind w:left="20" w:right="20"/>
        <w:spacing w:after="0" w:line="280"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anticipate that we will retain all of our future earnings, if any, for use in the operation and expansion of our business and do not anticipate paying cash dividends in the foreseeable future.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information regarding securities authorized for issuance under equity compensation plans is included in Part III of this report.</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97" w:name="page98"/>
    <w:bookmarkEnd w:id="9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related notes thereto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We are a commercial-stage company focused on addressing unmet needs for the treatment of rare diseases. Our mission is to bring life-changing therapeutics to people living with rare diseases. With unique, data-driven development and commercialization strategies, we are overcoming complex drug development challenges to make new therapies available to the rare disease community. We have a diverse portfolio of products and product candidates, which includes a clinical stage pipeline and commercial stage assets. Our team has specialized expertise and a track record of success in advancing promising therapies that face complex clinical and regulatory challenges with an approach that balances science and data with patient need.</w:t>
      </w:r>
    </w:p>
    <w:p>
      <w:pPr>
        <w:spacing w:after="0" w:line="186"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Following the U.S. approval of AZSTARYS® (further described below) in March 2021, we undertook a strategic process to evaluate how to leverage and potentially augment the Company’s existing capabilities while also considering where to invest in our pipeline to generate long-term shareholder value. With a track record of drug development success leading to approvals for products which had either difficult pathways to approval or where approvals were won following a complete response letter (“CRL”) from the U.S. Food and Drug Administration ("FDA"), we determined to focus our expertise on rare disease indications, as well as seeking value-creating opportunities by building and directly commercializing product candidates in lieu of an out-licensing model. We are executing on this balanced approach by building a culture that is patient-focused and driven by our commitment to developing and making available therapies which address the myriad unmet needs within the rare disease community.</w:t>
      </w:r>
    </w:p>
    <w:p>
      <w:pPr>
        <w:spacing w:after="0" w:line="186" w:lineRule="exact"/>
        <w:rPr>
          <w:sz w:val="20"/>
          <w:szCs w:val="20"/>
          <w:color w:val="auto"/>
        </w:rPr>
      </w:pPr>
    </w:p>
    <w:p>
      <w:pPr>
        <w:jc w:val="both"/>
        <w:ind w:left="20"/>
        <w:spacing w:after="0" w:line="287" w:lineRule="auto"/>
        <w:rPr>
          <w:sz w:val="20"/>
          <w:szCs w:val="20"/>
          <w:color w:val="auto"/>
        </w:rPr>
      </w:pPr>
      <w:r>
        <w:rPr>
          <w:rFonts w:ascii="Times New Roman" w:cs="Times New Roman" w:eastAsia="Times New Roman" w:hAnsi="Times New Roman"/>
          <w:sz w:val="17"/>
          <w:szCs w:val="17"/>
          <w:color w:val="auto"/>
        </w:rPr>
        <w:t>As part of our commitment to serving the rare disease community, in February 2023, we changed our name to Zevra Therapeutics, Inc. Our name, Zevra, is the Greek word for zebra, which is the internationally recognized symbol for rare disease. This name reflects our intense focus and dedication to developing transformational, patient-focused therapies for rare diseases with limited or no treatment options available, or treatment areas with significant unmet needs.</w:t>
      </w:r>
    </w:p>
    <w:p>
      <w:pPr>
        <w:spacing w:after="0" w:line="159"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In May 2022, we purchased all of the assets and operations of Orphazyme A/S ("Orphazyme") related to arimoclomol, settled all of Orphazyme’s actual outstanding liabilities to its creditors with a cash payment of $12.8 million, and agreed to assume an estimated reserve clawback liability of $5.2 million related to revenue generated from Orphazyme’s Expanded Access Program in France (the "EAP").</w:t>
      </w:r>
    </w:p>
    <w:p>
      <w:pPr>
        <w:spacing w:after="0" w:line="177"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On November 17, 2023, we completed the acquisition of Acer Therapeutics, Inc. ("Acer"). Pursuant to the Merger Agreement, Acer continues as a wholly-owned subsidiary of Zevra (the “Merger"). The Merger included the acquisition of OLPRUVA® (sodium phenylbutyrate) for oral suspension, which was approved by the FDA on December 27, 2022, for the treatment of certain urea cycle disorders ("UCDs"). Acer also had a pipeline of investigational product candidates, including celiprolol for the treatment of Vascular Ehlers-Danlos syndrome ("VEDS") in patients with a confirmed type III collagen (COL3A1) mutation. At the effective time of the Merger (the "Effective Time"), each share of common stock of Acer, par value $0.0001 per share, issued and outstanding immediately prior to the Effective Time (excluding cancelled shares and any shares held by holders who have exercised their appraisal rights) were converted into the right to receive (i) 0.1210 fully paid and non-assessable shares of common stock of Zevra, par value $0.0001 per share, and (ii) one non-transferable contingent value right (“CVR”) issued by Zevra, which represents the right to receive one or more contingent payments up to an additional $76.0 million upon the achievement, if any, of certain commercial and regulatory milestones for Acer’s OLPRUVA and celiprolol products within specified time periods. Certain additional cash payments are also possible pursuant to the CVRs with respect to milestones involving Acer’s early-stage program ACER-2820 (emetine).</w:t>
      </w:r>
    </w:p>
    <w:p>
      <w:pPr>
        <w:spacing w:after="0" w:line="189"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On September 20, 2024, the FDA approved the New Drug Application (“NDA") for MIPLYFFA™ (arimoclomol), an orally-delivered treatment for Niemann-Pick disease type C (“NPC"), which is an ultra-rare and progressive neurodegenerative disease. MIPLYFFA, the first FDA-approved treatment for NPC, is indicated for use in combination with miglustat for the treatment of neurological manifestations of NPC in adult and pediatric patients two years of age and older. In addition, we received a transferable rare pediatric disease PRV in conjunction with the approval. On February 26, 2025, we and Zevra Denmark A/S entered into an asset purchase agreement (the “PRV Transfer Agreement”), pursuant to which we agreed to sell the PRV to the buyer. Pursuant to the PRV Transfer Agreement, the buyer agreed to pay us $150.0 million, payable in cash, upon the closing of the sale. The PRV Transfer Agreement contains customary representations, warranties, covenants, and indemnification provisions subject to certain limitations. The transaction remains subject to customary closing conditions, including the expiration or termination of the applicable waiting period under the Hart-Scott-Rodino Antitrust Improvements Act of 1976. MIPLYFFA has also been granted orphan medical product designation for the treatment of NPC by the European Commission. In November 2024, MIPLYFFA became commercially available.</w:t>
      </w:r>
    </w:p>
    <w:p>
      <w:pPr>
        <w:spacing w:after="0" w:line="192"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Now focused on late-stage clinical development and commercial opportunities, we discontinued our in-house drug discovery activities and closed our laboratory facilities in Iowa and Virginia at the end of the third quarter of 2025. We anticipate that any future early research and development activities will be outsourced.</w:t>
      </w:r>
    </w:p>
    <w:p>
      <w:pPr>
        <w:spacing w:after="0" w:line="17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To accomplish our mission, we are seeking to further expand our pipeline through both internal development and through our business development activities to collaborate, partner, and potentially acquire additional assets. We intend to target assets that will allow us to leverage the expertise and infrastructure that we have built to help mitigate risk and enhance our probability of success. In addition, we may consider external opportunities within neurology and neurodegenerative diseases, psychiatric disorders, and other rare diseases, along with adjacent or related therapeutic categories. If we are successful, expanding our pipeline could be accretive to our value proposition and has the potential to create incremental long-term value for stockholders.</w:t>
      </w:r>
    </w:p>
    <w:p>
      <w:pPr>
        <w:sectPr>
          <w:pgSz w:w="11900" w:h="16838" w:orient="portrait"/>
          <w:cols w:equalWidth="0" w:num="1">
            <w:col w:w="11260"/>
          </w:cols>
          <w:pgMar w:left="300" w:top="121" w:right="339" w:bottom="1111"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111" w:gutter="0" w:footer="0" w:header="0"/>
          <w:type w:val="continuous"/>
        </w:sectPr>
      </w:pPr>
    </w:p>
    <w:bookmarkStart w:id="98" w:name="page99"/>
    <w:bookmarkEnd w:id="9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left="20" w:right="100"/>
        <w:spacing w:after="0" w:line="259" w:lineRule="auto"/>
        <w:rPr>
          <w:sz w:val="20"/>
          <w:szCs w:val="20"/>
          <w:color w:val="auto"/>
        </w:rPr>
      </w:pPr>
      <w:r>
        <w:rPr>
          <w:rFonts w:ascii="Times New Roman" w:cs="Times New Roman" w:eastAsia="Times New Roman" w:hAnsi="Times New Roman"/>
          <w:sz w:val="18"/>
          <w:szCs w:val="18"/>
          <w:color w:val="auto"/>
        </w:rPr>
        <w:t>We have historically had minimal positive net cash flows from operations. Our cash flows used in operations for the years ended December 31, 2024, and 2023, were $69.7 million and $33.5 million, respectively. We expect to continue to incur significant expenses and minimal positive net cash flows from operations or negative net cash flows from operations for the near future, and those expenses and losses may fluctuate significantly from quarter-to-quarter and year-to-year. We anticipate that our expenses will fluctuate substantially as we:</w:t>
      </w:r>
    </w:p>
    <w:p>
      <w:pPr>
        <w:spacing w:after="0" w:line="181" w:lineRule="exact"/>
        <w:rPr>
          <w:sz w:val="20"/>
          <w:szCs w:val="20"/>
          <w:color w:val="auto"/>
        </w:rPr>
      </w:pPr>
    </w:p>
    <w:p>
      <w:pPr>
        <w:ind w:left="480" w:right="200" w:hanging="224"/>
        <w:spacing w:after="0" w:line="280" w:lineRule="auto"/>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building and maintaining our ongoing commercial capabilities to support the launch of our approved product OLPRUVA® and MIPLYFFA in the U.S.</w:t>
      </w:r>
    </w:p>
    <w:p>
      <w:pPr>
        <w:spacing w:after="0" w:line="161" w:lineRule="exact"/>
        <w:rPr>
          <w:rFonts w:ascii="Times New Roman" w:cs="Times New Roman" w:eastAsia="Times New Roman" w:hAnsi="Times New Roman"/>
          <w:sz w:val="18"/>
          <w:szCs w:val="18"/>
          <w:color w:val="auto"/>
        </w:rPr>
      </w:pPr>
    </w:p>
    <w:p>
      <w:pPr>
        <w:ind w:left="480" w:hanging="224"/>
        <w:spacing w:after="0"/>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 clinical trials and our product development activities for our pipeline of product candidates;</w:t>
      </w:r>
    </w:p>
    <w:p>
      <w:pPr>
        <w:spacing w:after="0" w:line="222" w:lineRule="exact"/>
        <w:rPr>
          <w:rFonts w:ascii="Times New Roman" w:cs="Times New Roman" w:eastAsia="Times New Roman" w:hAnsi="Times New Roman"/>
          <w:sz w:val="18"/>
          <w:szCs w:val="18"/>
          <w:color w:val="auto"/>
        </w:rPr>
      </w:pPr>
    </w:p>
    <w:p>
      <w:pPr>
        <w:ind w:left="480" w:hanging="224"/>
        <w:spacing w:after="0"/>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22" w:lineRule="exact"/>
        <w:rPr>
          <w:rFonts w:ascii="Times New Roman" w:cs="Times New Roman" w:eastAsia="Times New Roman" w:hAnsi="Times New Roman"/>
          <w:sz w:val="18"/>
          <w:szCs w:val="18"/>
          <w:color w:val="auto"/>
        </w:rPr>
      </w:pPr>
    </w:p>
    <w:p>
      <w:pPr>
        <w:ind w:left="480" w:hanging="224"/>
        <w:spacing w:after="0"/>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preclinical development and initiate clinical trials of our product candidates;</w:t>
      </w:r>
    </w:p>
    <w:p>
      <w:pPr>
        <w:spacing w:after="0" w:line="222" w:lineRule="exact"/>
        <w:rPr>
          <w:rFonts w:ascii="Times New Roman" w:cs="Times New Roman" w:eastAsia="Times New Roman" w:hAnsi="Times New Roman"/>
          <w:sz w:val="18"/>
          <w:szCs w:val="18"/>
          <w:color w:val="auto"/>
        </w:rPr>
      </w:pPr>
    </w:p>
    <w:p>
      <w:pPr>
        <w:ind w:left="480" w:hanging="224"/>
        <w:spacing w:after="0"/>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 either internally or in partnership with other pharmaceutical companies;</w:t>
      </w:r>
    </w:p>
    <w:p>
      <w:pPr>
        <w:spacing w:after="0" w:line="222" w:lineRule="exact"/>
        <w:rPr>
          <w:rFonts w:ascii="Times New Roman" w:cs="Times New Roman" w:eastAsia="Times New Roman" w:hAnsi="Times New Roman"/>
          <w:sz w:val="18"/>
          <w:szCs w:val="18"/>
          <w:color w:val="auto"/>
        </w:rPr>
      </w:pPr>
    </w:p>
    <w:p>
      <w:pPr>
        <w:ind w:left="480" w:hanging="224"/>
        <w:spacing w:after="0"/>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222" w:lineRule="exact"/>
        <w:rPr>
          <w:rFonts w:ascii="Times New Roman" w:cs="Times New Roman" w:eastAsia="Times New Roman" w:hAnsi="Times New Roman"/>
          <w:sz w:val="18"/>
          <w:szCs w:val="18"/>
          <w:color w:val="auto"/>
        </w:rPr>
      </w:pPr>
    </w:p>
    <w:p>
      <w:pPr>
        <w:ind w:left="480" w:hanging="224"/>
        <w:spacing w:after="0"/>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2" w:lineRule="exact"/>
        <w:rPr>
          <w:rFonts w:ascii="Times New Roman" w:cs="Times New Roman" w:eastAsia="Times New Roman" w:hAnsi="Times New Roman"/>
          <w:sz w:val="18"/>
          <w:szCs w:val="18"/>
          <w:color w:val="auto"/>
        </w:rPr>
      </w:pPr>
    </w:p>
    <w:p>
      <w:pPr>
        <w:ind w:left="480" w:hanging="224"/>
        <w:spacing w:after="0"/>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 and</w:t>
      </w:r>
    </w:p>
    <w:p>
      <w:pPr>
        <w:spacing w:after="0" w:line="222" w:lineRule="exact"/>
        <w:rPr>
          <w:rFonts w:ascii="Times New Roman" w:cs="Times New Roman" w:eastAsia="Times New Roman" w:hAnsi="Times New Roman"/>
          <w:sz w:val="18"/>
          <w:szCs w:val="18"/>
          <w:color w:val="auto"/>
        </w:rPr>
      </w:pPr>
    </w:p>
    <w:p>
      <w:pPr>
        <w:ind w:left="480" w:hanging="224"/>
        <w:spacing w:after="0"/>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systems and personnel, if needed, to support any future commercialization efforts.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Third-Party Agreements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AZSTARYS License Agreement</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Part I, Item 1. "Business—AZSTARYS” of this Annual Report on Form 10-K for information regarding the AZSTARYS License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jc w:val="both"/>
        <w:ind w:left="20" w:right="100"/>
        <w:spacing w:after="0" w:line="253" w:lineRule="auto"/>
        <w:rPr>
          <w:sz w:val="20"/>
          <w:szCs w:val="20"/>
          <w:color w:val="auto"/>
        </w:rPr>
      </w:pPr>
      <w:r>
        <w:rPr>
          <w:rFonts w:ascii="Times New Roman" w:cs="Times New Roman" w:eastAsia="Times New Roman" w:hAnsi="Times New Roman"/>
          <w:sz w:val="18"/>
          <w:szCs w:val="18"/>
          <w:color w:val="auto"/>
        </w:rPr>
        <w:t>Our commercial revenue is, and will be, primarily derived from sales of our approved products or any of our product candidates for which we obtain regulatory approval, and sales of arimoclomol under the EAP. We expect that our other sources of revenues will be through payments arising from our license agreements with Corium, and through any other future arrangements related to one of our product candidates. To date, we have generated revenue from sales of our approved products, MIPLYFFA and OLPRUVA, to our specialty pharmacy, royalty, milestone and other reimbursement payments under the AZSTARYS License Agreement, sale of arimoclomol under the EAP, reimbursement of out-of-pocket third-party costs, and the performance of consulting services. We cannot guarantee that we will be able to successfully commercialize either MIPLYFFA or OLPRUVA, or that Corium will be able to successfully commercialize AZSTARYS or our product candidates covered under the AZSTARYS License Agreement, in addition, we cannot guarantee that we will continue to generate revenues from the sales of arimoclomol under the EAP. We also do not know when, if ever, any other product candidate will be commercially available.</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components of our cost of product revenue are royalties and expenses directly attributable to revenue. To date, we have generated revenue from produc sales of MIPLYFFA and OLPRUVA to our specialty pharmacy, sales of arimoclomol under the EAP, royalties, milestones and other reimbursements under th AZSTARYS License Agreement, reimbursement of out-of-pocket third-party costs, and the performance of consulting services. In connection with th AZSTARYS License Agreement, we paid Aquestive a royalty equal to 10% of the upfront license payment and all regulatory milestone and royalty payments In addition, we paid a $6 million regulatory milestone payment earned by XOMA upon the approval of MIPLYFFA on September 20, 2024. Under the XOMA License Agreement, XOMA is also entitled to a mid-single digit royalty on net sales of MIPLYFFA, as well as certain net sales and regulatory mileston payments. We also owe an additional royalty in the low-single digit to KU/UCLB on net sales of MIPLYFFA and a 10% royalty on net sales of OLPRUVA under the Relief Termination Agreement. Other components of cost of product revenue include $6.2 million of non-cash intangible asset amortization relate to the MIPLYFFA and OLPRUVA capitalized assets and $5.7 million in inventory obsolescence reserve expense related to OLPRUVA inventory during th year.</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jc w:val="both"/>
        <w:ind w:left="20" w:right="100"/>
        <w:spacing w:after="0" w:line="259" w:lineRule="auto"/>
        <w:rPr>
          <w:sz w:val="20"/>
          <w:szCs w:val="20"/>
          <w:color w:val="auto"/>
        </w:rPr>
      </w:pPr>
      <w:r>
        <w:rPr>
          <w:rFonts w:ascii="Times New Roman" w:cs="Times New Roman" w:eastAsia="Times New Roman" w:hAnsi="Times New Roman"/>
          <w:sz w:val="18"/>
          <w:szCs w:val="18"/>
          <w:color w:val="auto"/>
        </w:rPr>
        <w:t>We classify our operating expenses into two categories: research and development expenses and selling general and administrative expenses. Salaries and personnel-related costs, including benefits, bonuses and stock-based compensation expense, comprise a significant component of each of these expense categories. We allocate expenses associated with our facilities, information technology costs and depreciation and amortization between research and development expenses and general and administrative expenses based on employee headcount and the nature of work performed by each employee.</w:t>
      </w:r>
    </w:p>
    <w:p>
      <w:pPr>
        <w:sectPr>
          <w:pgSz w:w="11900" w:h="16838" w:orient="portrait"/>
          <w:cols w:equalWidth="0" w:num="1">
            <w:col w:w="11360"/>
          </w:cols>
          <w:pgMar w:left="300" w:top="121" w:right="239" w:bottom="1440" w:gutter="0" w:footer="0" w:header="0"/>
        </w:sectPr>
      </w:pPr>
    </w:p>
    <w:p>
      <w:pPr>
        <w:spacing w:after="0" w:line="3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60"/>
          </w:cols>
          <w:pgMar w:left="300" w:top="121" w:right="239" w:bottom="1440" w:gutter="0" w:footer="0" w:header="0"/>
          <w:type w:val="continuous"/>
        </w:sectPr>
      </w:pPr>
    </w:p>
    <w:bookmarkStart w:id="99" w:name="page100"/>
    <w:bookmarkEnd w:id="99"/>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7" w:lineRule="exact"/>
        <w:rPr>
          <w:sz w:val="20"/>
          <w:szCs w:val="20"/>
          <w:color w:val="auto"/>
        </w:rPr>
      </w:pPr>
    </w:p>
    <w:p>
      <w:pPr>
        <w:jc w:val="both"/>
        <w:ind w:left="20" w:right="100"/>
        <w:spacing w:after="0" w:line="259" w:lineRule="auto"/>
        <w:rPr>
          <w:sz w:val="20"/>
          <w:szCs w:val="20"/>
          <w:color w:val="auto"/>
        </w:rPr>
      </w:pPr>
      <w:r>
        <w:rPr>
          <w:rFonts w:ascii="Times New Roman" w:cs="Times New Roman" w:eastAsia="Times New Roman" w:hAnsi="Times New Roman"/>
          <w:sz w:val="18"/>
          <w:szCs w:val="18"/>
          <w:color w:val="auto"/>
        </w:rPr>
        <w:t>Research and development expense consists of expenses incurred while performing research and development activities to discover and develop potential product candidates. This includes conducting preclinical studies and clinical trials, manufacturing development efforts and activities related to regulatory filings for product candidates. We recognize research and development expenses as they are incurred. Our research and development expense primarily consists of:</w:t>
      </w:r>
    </w:p>
    <w:p>
      <w:pPr>
        <w:spacing w:after="0" w:line="181" w:lineRule="exact"/>
        <w:rPr>
          <w:sz w:val="20"/>
          <w:szCs w:val="20"/>
          <w:color w:val="auto"/>
        </w:rPr>
      </w:pPr>
    </w:p>
    <w:p>
      <w:pPr>
        <w:ind w:left="480" w:right="100" w:hanging="224"/>
        <w:spacing w:after="0" w:line="280" w:lineRule="auto"/>
        <w:tabs>
          <w:tab w:leader="none" w:pos="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personnel-related costs, including benefits and any stock-based compensation, for our scientific personnel performing research and development activities;</w:t>
      </w:r>
    </w:p>
    <w:p>
      <w:pPr>
        <w:spacing w:after="0" w:line="161" w:lineRule="exact"/>
        <w:rPr>
          <w:rFonts w:ascii="Times New Roman" w:cs="Times New Roman" w:eastAsia="Times New Roman" w:hAnsi="Times New Roman"/>
          <w:sz w:val="18"/>
          <w:szCs w:val="18"/>
          <w:color w:val="auto"/>
        </w:rPr>
      </w:pPr>
    </w:p>
    <w:p>
      <w:pPr>
        <w:ind w:left="480" w:hanging="224"/>
        <w:spacing w:after="0"/>
        <w:tabs>
          <w:tab w:leader="none" w:pos="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executing preclinical studies and clinical trials;</w:t>
      </w:r>
    </w:p>
    <w:p>
      <w:pPr>
        <w:spacing w:after="0" w:line="222" w:lineRule="exact"/>
        <w:rPr>
          <w:rFonts w:ascii="Times New Roman" w:cs="Times New Roman" w:eastAsia="Times New Roman" w:hAnsi="Times New Roman"/>
          <w:sz w:val="18"/>
          <w:szCs w:val="18"/>
          <w:color w:val="auto"/>
        </w:rPr>
      </w:pPr>
    </w:p>
    <w:p>
      <w:pPr>
        <w:ind w:left="480" w:hanging="224"/>
        <w:spacing w:after="0"/>
        <w:tabs>
          <w:tab w:leader="none" w:pos="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and other third parties who support our product candidate development;</w:t>
      </w:r>
    </w:p>
    <w:p>
      <w:pPr>
        <w:spacing w:after="0" w:line="222" w:lineRule="exact"/>
        <w:rPr>
          <w:rFonts w:ascii="Times New Roman" w:cs="Times New Roman" w:eastAsia="Times New Roman" w:hAnsi="Times New Roman"/>
          <w:sz w:val="18"/>
          <w:szCs w:val="18"/>
          <w:color w:val="auto"/>
        </w:rPr>
      </w:pPr>
    </w:p>
    <w:p>
      <w:pPr>
        <w:ind w:left="480" w:hanging="224"/>
        <w:spacing w:after="0"/>
        <w:tabs>
          <w:tab w:leader="none" w:pos="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 seeking regulatory approval of our products; and</w:t>
      </w:r>
    </w:p>
    <w:p>
      <w:pPr>
        <w:spacing w:after="0" w:line="222" w:lineRule="exact"/>
        <w:rPr>
          <w:rFonts w:ascii="Times New Roman" w:cs="Times New Roman" w:eastAsia="Times New Roman" w:hAnsi="Times New Roman"/>
          <w:sz w:val="18"/>
          <w:szCs w:val="18"/>
          <w:color w:val="auto"/>
        </w:rPr>
      </w:pPr>
    </w:p>
    <w:p>
      <w:pPr>
        <w:ind w:left="480" w:hanging="224"/>
        <w:spacing w:after="0"/>
        <w:tabs>
          <w:tab w:leader="none" w:pos="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 and overhead.</w:t>
      </w:r>
    </w:p>
    <w:p>
      <w:pPr>
        <w:spacing w:after="0" w:line="223" w:lineRule="exact"/>
        <w:rPr>
          <w:sz w:val="20"/>
          <w:szCs w:val="20"/>
          <w:color w:val="auto"/>
        </w:rPr>
      </w:pPr>
    </w:p>
    <w:p>
      <w:pPr>
        <w:jc w:val="both"/>
        <w:ind w:left="20" w:right="100"/>
        <w:spacing w:after="0" w:line="264" w:lineRule="auto"/>
        <w:rPr>
          <w:sz w:val="20"/>
          <w:szCs w:val="20"/>
          <w:color w:val="auto"/>
        </w:rPr>
      </w:pPr>
      <w:r>
        <w:rPr>
          <w:rFonts w:ascii="Times New Roman" w:cs="Times New Roman" w:eastAsia="Times New Roman" w:hAnsi="Times New Roman"/>
          <w:sz w:val="18"/>
          <w:szCs w:val="18"/>
          <w:color w:val="auto"/>
        </w:rPr>
        <w:t>We typically use our employee, consultant and infrastructure resources across our development programs. We track outsourced development costs by product candidate or development program, but we do not allocate personnel costs, other internal costs or external consultant costs to specific product candidates or development programs.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costs for the years ended December 31, 2024 and 2023 (in thousands):</w:t>
      </w:r>
    </w:p>
    <w:p>
      <w:pPr>
        <w:spacing w:after="0" w:line="232" w:lineRule="exact"/>
        <w:rPr>
          <w:sz w:val="20"/>
          <w:szCs w:val="20"/>
          <w:color w:val="auto"/>
        </w:rPr>
      </w:pPr>
    </w:p>
    <w:tbl>
      <w:tblPr>
        <w:tblLayout w:type="fixed"/>
        <w:tblInd w:w="8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Outsourced development costs directly identified to programs: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MIPLYFFA</w:t>
            </w:r>
          </w:p>
        </w:tc>
        <w:tc>
          <w:tcPr>
            <w:tcW w:w="136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5,784</w:t>
            </w:r>
          </w:p>
        </w:tc>
        <w:tc>
          <w:tcPr>
            <w:tcW w:w="10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OLPRUVA</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KP1077</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APADAZ (1)</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Celiprolol</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costs</w:t>
            </w:r>
          </w:p>
        </w:tc>
        <w:tc>
          <w:tcPr>
            <w:tcW w:w="3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outsourced development costs directly identified to programs</w:t>
            </w:r>
          </w:p>
        </w:tc>
        <w:tc>
          <w:tcPr>
            <w:tcW w:w="3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20,675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 not directly identified to programs: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Personnel costs including cash compensation, benefits and stock-based</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19,781</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Facilities costs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3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research and development costs not directly allocated to programs</w:t>
            </w:r>
          </w:p>
        </w:tc>
        <w:tc>
          <w:tcPr>
            <w:tcW w:w="3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21,420</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17,164</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36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42,095</w:t>
            </w:r>
          </w:p>
        </w:tc>
        <w:tc>
          <w:tcPr>
            <w:tcW w:w="10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1660" w:right="740" w:hanging="7"/>
        <w:spacing w:after="0" w:line="259" w:lineRule="auto"/>
        <w:tabs>
          <w:tab w:leader="none" w:pos="193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31, 2023, Zevra and KVK-Tech, Inc. ("KVK") terminated the Collaboration and License Agreement that the parties entered into on October 25, 2018. In conjunction with the termination of the Collaboration and License Agreement, we agreed to pay a settlement to KVK of $0.9 million, which is included in research and development in the consolidated statement of operations for the year ended December 31, 2023, and was paid in October 2023.</w:t>
      </w:r>
    </w:p>
    <w:p>
      <w:pPr>
        <w:spacing w:after="0" w:line="181" w:lineRule="exact"/>
        <w:rPr>
          <w:sz w:val="20"/>
          <w:szCs w:val="20"/>
          <w:color w:val="auto"/>
        </w:rPr>
      </w:pPr>
    </w:p>
    <w:p>
      <w:pPr>
        <w:jc w:val="both"/>
        <w:ind w:left="20" w:right="100"/>
        <w:spacing w:after="0" w:line="280" w:lineRule="auto"/>
        <w:rPr>
          <w:sz w:val="20"/>
          <w:szCs w:val="20"/>
          <w:color w:val="auto"/>
        </w:rPr>
      </w:pPr>
      <w:r>
        <w:rPr>
          <w:rFonts w:ascii="Times New Roman" w:cs="Times New Roman" w:eastAsia="Times New Roman" w:hAnsi="Times New Roman"/>
          <w:sz w:val="18"/>
          <w:szCs w:val="18"/>
          <w:color w:val="auto"/>
        </w:rPr>
        <w:t>We anticipate that our research and development expenses will fluctuate in accordance with our strategic plan as we continue our efforts to advance the development of our product candidates.</w:t>
      </w:r>
    </w:p>
    <w:p>
      <w:pPr>
        <w:spacing w:after="0" w:line="162" w:lineRule="exact"/>
        <w:rPr>
          <w:sz w:val="20"/>
          <w:szCs w:val="20"/>
          <w:color w:val="auto"/>
        </w:rPr>
      </w:pPr>
    </w:p>
    <w:p>
      <w:pPr>
        <w:jc w:val="both"/>
        <w:ind w:left="20" w:right="100"/>
        <w:spacing w:after="0" w:line="264"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be certain regarding the nature, timing or costs required to complete the remaining development of any product candidates. This is due to the numerous risks and uncertainties associated with the development of our products and product candidates.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anticipate that selling expenses will vary from quarter to quarter in accordance with our strategic plan as we continue our efforts to commercializ MIPLYFFA and OLPRUVA. The successful commercialization of AZSTARYS, MIPLYFFA, OLPRUVA, or any of our other product candidates that may b approved is highly uncertain. At this time, we cannot be certain regarding the nature, timing or costs required to commercialize MIPLYFFA, OLPRUVA, o any of our product candidates that may be approved in the future, due to the numerous risks and uncertainties associated with commercialization activities.</w:t>
      </w:r>
    </w:p>
    <w:p>
      <w:pPr>
        <w:spacing w:after="0" w:line="181" w:lineRule="exact"/>
        <w:rPr>
          <w:sz w:val="20"/>
          <w:szCs w:val="20"/>
          <w:color w:val="auto"/>
        </w:rPr>
      </w:pPr>
    </w:p>
    <w:p>
      <w:pPr>
        <w:jc w:val="both"/>
        <w:ind w:left="20" w:right="10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and personnel-related costs, including employee benefits and any stock-based compensation, for employees performing functions other than research and development. This includes personnel in executive, finance, human resources and administrative support functions. Other general and administrative expenses include facility-related costs not otherwise allocated to research and development expense, professional fees for auditing, tax and legal services, expenses associated with obtaining and maintaining patents, consulting costs and costs of our information systems.</w:t>
      </w:r>
    </w:p>
    <w:p>
      <w:pPr>
        <w:spacing w:after="0" w:line="186" w:lineRule="exact"/>
        <w:rPr>
          <w:sz w:val="20"/>
          <w:szCs w:val="20"/>
          <w:color w:val="auto"/>
        </w:rPr>
      </w:pPr>
    </w:p>
    <w:p>
      <w:pPr>
        <w:jc w:val="both"/>
        <w:ind w:left="20" w:right="100"/>
        <w:spacing w:after="0" w:line="259"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fluctuate as we continue to operate as a public reporting company and continue to develop our product candidates. We believe that these fluctuations will likely include costs related to the hiring of additional personnel and fees for outside consultants, lawyers and accountants. We also expect to continue to incur costs to comply with corporate governance, internal control, investor relations, disclosure and similar requirements applicable to public reporting companies.</w:t>
      </w:r>
    </w:p>
    <w:p>
      <w:pPr>
        <w:sectPr>
          <w:pgSz w:w="11900" w:h="16867" w:orient="portrait"/>
          <w:cols w:equalWidth="0" w:num="1">
            <w:col w:w="11360"/>
          </w:cols>
          <w:pgMar w:left="300" w:top="121" w:right="239" w:bottom="0" w:gutter="0" w:footer="0" w:header="0"/>
        </w:sectPr>
      </w:pPr>
    </w:p>
    <w:p>
      <w:pPr>
        <w:spacing w:after="0" w:line="1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84</w:t>
      </w:r>
    </w:p>
    <w:p>
      <w:pPr>
        <w:sectPr>
          <w:pgSz w:w="11900" w:h="16867" w:orient="portrait"/>
          <w:cols w:equalWidth="0" w:num="1">
            <w:col w:w="11360"/>
          </w:cols>
          <w:pgMar w:left="300" w:top="121" w:right="239" w:bottom="0" w:gutter="0" w:footer="0" w:header="0"/>
          <w:type w:val="continuous"/>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27" w:lineRule="exact"/>
        <w:rPr>
          <w:sz w:val="20"/>
          <w:szCs w:val="20"/>
          <w:color w:val="auto"/>
        </w:rPr>
      </w:pPr>
    </w:p>
    <w:p>
      <w:pPr>
        <w:jc w:val="both"/>
        <w:ind w:left="20" w:right="80"/>
        <w:spacing w:after="0" w:line="259" w:lineRule="auto"/>
        <w:rPr>
          <w:sz w:val="20"/>
          <w:szCs w:val="20"/>
          <w:color w:val="auto"/>
        </w:rPr>
      </w:pPr>
      <w:r>
        <w:rPr>
          <w:rFonts w:ascii="Times New Roman" w:cs="Times New Roman" w:eastAsia="Times New Roman" w:hAnsi="Times New Roman"/>
          <w:sz w:val="18"/>
          <w:szCs w:val="18"/>
          <w:color w:val="auto"/>
        </w:rPr>
        <w:t>Other (expense) income consists primarily of non-cash costs associated with fair value adjustments to our derivative and warrant liability and amortization of debt issuance costs and debt discount to interest expense. Other (expense) income also includes interest expense incurred on our outstanding borrowings as well as interest and other income consisting primarily of interest earned on investments. These items are unrelated to our core business and thus are recognized as other (expense) income in our consolidated statements of operations.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7"/>
          <w:szCs w:val="17"/>
          <w:color w:val="auto"/>
        </w:rPr>
        <w:t>The results of operations and changes in stockholders' equity for Acer were included in the Company's consolidated financial statements beginning November 18, 2023. Acer had total operating revenue of $42,000 and a net loss of $6.8 million for the period from November 18, 2023, through December 31, 2023.</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11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Period-to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 Change</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Revenue, net</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23,612</w:t>
            </w:r>
          </w:p>
        </w:tc>
        <w:tc>
          <w:tcPr>
            <w:tcW w:w="1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27,461</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Cost of product revenue (excluding $6,235 and $772 in intangible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amortization for the years ended December 31, 2024, and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respectively, shown separately below)</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5,244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5,463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54,868</w:t>
            </w: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20,554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96,963</w:t>
            </w:r>
          </w:p>
        </w:tc>
        <w:tc>
          <w:tcPr>
            <w:tcW w:w="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74,120</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22,843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(87,003</w:t>
            </w:r>
          </w:p>
        </w:tc>
        <w:tc>
          <w:tcPr>
            <w:tcW w:w="1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00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(49,604</w:t>
            </w:r>
          </w:p>
        </w:tc>
        <w:tc>
          <w:tcPr>
            <w:tcW w:w="8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shd w:val="clear" w:color="auto" w:fill="CCEEFF"/>
          </w:tcPr>
          <w:p>
            <w:pPr>
              <w:jc w:val="right"/>
              <w:ind w:right="15"/>
              <w:spacing w:after="0" w:line="68" w:lineRule="exact"/>
              <w:rPr>
                <w:sz w:val="20"/>
                <w:szCs w:val="20"/>
                <w:color w:val="auto"/>
              </w:rPr>
            </w:pPr>
            <w:r>
              <w:rPr>
                <w:rFonts w:ascii="Times New Roman" w:cs="Times New Roman" w:eastAsia="Times New Roman" w:hAnsi="Times New Roman"/>
                <w:sz w:val="7"/>
                <w:szCs w:val="7"/>
                <w:color w:val="auto"/>
              </w:rPr>
              <w:t>(37,399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adjustment related to warrant and CVR liability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(15,371)</w:t>
            </w:r>
          </w:p>
        </w:tc>
        <w:tc>
          <w:tcPr>
            <w:tcW w:w="0" w:type="dxa"/>
            <w:vAlign w:val="bottom"/>
          </w:tcPr>
          <w:p>
            <w:pPr>
              <w:spacing w:after="0"/>
              <w:rPr>
                <w:sz w:val="1"/>
                <w:szCs w:val="1"/>
                <w:color w:val="auto"/>
              </w:rPr>
            </w:pPr>
          </w:p>
        </w:tc>
      </w:tr>
      <w:tr>
        <w:trPr>
          <w:trHeight w:val="249"/>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line="249" w:lineRule="exact"/>
              <w:rPr>
                <w:sz w:val="20"/>
                <w:szCs w:val="20"/>
                <w:color w:val="auto"/>
              </w:rPr>
            </w:pPr>
            <w:r>
              <w:rPr>
                <w:rFonts w:ascii="Times New Roman" w:cs="Times New Roman" w:eastAsia="Times New Roman" w:hAnsi="Times New Roman"/>
                <w:sz w:val="15"/>
                <w:szCs w:val="15"/>
                <w:color w:val="auto"/>
              </w:rPr>
              <w:t>(105,511</w:t>
            </w:r>
            <w:r>
              <w:rPr>
                <w:rFonts w:ascii="Times New Roman" w:cs="Times New Roman" w:eastAsia="Times New Roman" w:hAnsi="Times New Roman"/>
                <w:sz w:val="28"/>
                <w:szCs w:val="28"/>
                <w:color w:val="auto"/>
                <w:vertAlign w:val="superscript"/>
              </w:rPr>
              <w:t>)</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249" w:lineRule="exact"/>
              <w:rPr>
                <w:sz w:val="20"/>
                <w:szCs w:val="20"/>
                <w:color w:val="auto"/>
              </w:rPr>
            </w:pPr>
            <w:r>
              <w:rPr>
                <w:rFonts w:ascii="Times New Roman" w:cs="Times New Roman" w:eastAsia="Times New Roman" w:hAnsi="Times New Roman"/>
                <w:sz w:val="15"/>
                <w:szCs w:val="15"/>
                <w:color w:val="auto"/>
              </w:rPr>
              <w:t>(46,049</w:t>
            </w:r>
            <w:r>
              <w:rPr>
                <w:rFonts w:ascii="Times New Roman" w:cs="Times New Roman" w:eastAsia="Times New Roman" w:hAnsi="Times New Roman"/>
                <w:sz w:val="28"/>
                <w:szCs w:val="28"/>
                <w:color w:val="auto"/>
                <w:vertAlign w:val="superscript"/>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49" w:lineRule="exact"/>
              <w:rPr>
                <w:sz w:val="20"/>
                <w:szCs w:val="20"/>
                <w:color w:val="auto"/>
              </w:rPr>
            </w:pPr>
            <w:r>
              <w:rPr>
                <w:rFonts w:ascii="Times New Roman" w:cs="Times New Roman" w:eastAsia="Times New Roman" w:hAnsi="Times New Roman"/>
                <w:sz w:val="15"/>
                <w:szCs w:val="15"/>
                <w:color w:val="auto"/>
              </w:rPr>
              <w:t>(59,462</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5" w:lineRule="exact"/>
        <w:rPr>
          <w:sz w:val="20"/>
          <w:szCs w:val="20"/>
          <w:color w:val="auto"/>
        </w:rPr>
      </w:pPr>
    </w:p>
    <w:p>
      <w:pPr>
        <w:jc w:val="both"/>
        <w:ind w:left="20" w:right="80"/>
        <w:spacing w:after="0" w:line="256" w:lineRule="auto"/>
        <w:rPr>
          <w:sz w:val="20"/>
          <w:szCs w:val="20"/>
          <w:color w:val="auto"/>
        </w:rPr>
      </w:pPr>
      <w:r>
        <w:rPr>
          <w:rFonts w:ascii="Times New Roman" w:cs="Times New Roman" w:eastAsia="Times New Roman" w:hAnsi="Times New Roman"/>
          <w:sz w:val="18"/>
          <w:szCs w:val="18"/>
          <w:color w:val="auto"/>
        </w:rPr>
        <w:t>Net loss for the year ended December 31, 2024, was $105.5 million compared to net loss of $46.0 million for the year ended December 31, 2023. The change was attributable to an increase in loss from operations of $37.4 million, a change in fair value adjustment related to investments of $0.6 million, an increase in interest expense of $5.9 million, a decrease in net interest income and other income of $2.4 million, and an increase in income tax expense of $15.4 million, partially offset by an increase in the change in fair value adjustment related to derivative and warrant liability and CVR liability of $2.2 million.</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5" w:lineRule="exact"/>
        <w:rPr>
          <w:sz w:val="20"/>
          <w:szCs w:val="20"/>
          <w:color w:val="auto"/>
        </w:rPr>
      </w:pPr>
    </w:p>
    <w:p>
      <w:pPr>
        <w:jc w:val="both"/>
        <w:ind w:left="20" w:right="80"/>
        <w:spacing w:after="0" w:line="259" w:lineRule="auto"/>
        <w:rPr>
          <w:sz w:val="20"/>
          <w:szCs w:val="20"/>
          <w:color w:val="auto"/>
        </w:rPr>
      </w:pPr>
      <w:r>
        <w:rPr>
          <w:rFonts w:ascii="Times New Roman" w:cs="Times New Roman" w:eastAsia="Times New Roman" w:hAnsi="Times New Roman"/>
          <w:sz w:val="18"/>
          <w:szCs w:val="18"/>
          <w:color w:val="auto"/>
        </w:rPr>
        <w:t>Revenue for the year ended December 31, 2024, was $23.6 million, a decrease of approximately $3.8 million compared to revenue of $27.5 million for the year ended December 31, 2023. The decrease was primarily attributable to a decrease in sales under the AZSTARYS License Agreement of $14.2 million and a decrease in consulting revenue of $0.2 million, partially offset by an increase of $10.1 million in MIPLYFFA product sales, an increase in sales under the EAP of approximately $0.4 million, and an increase of $0.1 million in OLPRUVA product sales.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25" w:lineRule="exact"/>
        <w:rPr>
          <w:sz w:val="20"/>
          <w:szCs w:val="20"/>
          <w:color w:val="auto"/>
        </w:rPr>
      </w:pPr>
    </w:p>
    <w:p>
      <w:pPr>
        <w:jc w:val="both"/>
        <w:ind w:left="20" w:right="80"/>
        <w:spacing w:after="0" w:line="259" w:lineRule="auto"/>
        <w:rPr>
          <w:sz w:val="20"/>
          <w:szCs w:val="20"/>
          <w:color w:val="auto"/>
        </w:rPr>
      </w:pPr>
      <w:r>
        <w:rPr>
          <w:rFonts w:ascii="Times New Roman" w:cs="Times New Roman" w:eastAsia="Times New Roman" w:hAnsi="Times New Roman"/>
          <w:sz w:val="18"/>
          <w:szCs w:val="18"/>
          <w:color w:val="auto"/>
        </w:rPr>
        <w:t>Cost of product revenue for the year ended December 31, 2024, was $7.4 million, an increase of $5.2 million compared to cost of product revenue of $2.2 million for the year ended December 31, 2023, primarily due to recognition of $5.7 million of inventory obsolescence related to OLPRUVA, an increase of $0.8 million in cost of MIPLYFFA product sales and royalties, and an increase of $0.2 million related to OLPRUVA product sales and royalties, partially offset by a decrease in royalty payments related to the AZSTARYS License Agreement of approximately $1.5 million.</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p>
    <w:p>
      <w:pPr>
        <w:spacing w:after="0" w:line="225" w:lineRule="exact"/>
        <w:rPr>
          <w:sz w:val="20"/>
          <w:szCs w:val="20"/>
          <w:color w:val="auto"/>
        </w:rPr>
      </w:pPr>
    </w:p>
    <w:p>
      <w:pPr>
        <w:jc w:val="both"/>
        <w:ind w:left="20" w:right="80"/>
        <w:spacing w:after="0" w:line="264" w:lineRule="auto"/>
        <w:rPr>
          <w:sz w:val="20"/>
          <w:szCs w:val="20"/>
          <w:color w:val="auto"/>
        </w:rPr>
      </w:pPr>
      <w:r>
        <w:rPr>
          <w:rFonts w:ascii="Times New Roman" w:cs="Times New Roman" w:eastAsia="Times New Roman" w:hAnsi="Times New Roman"/>
          <w:sz w:val="18"/>
          <w:szCs w:val="18"/>
          <w:color w:val="auto"/>
        </w:rPr>
        <w:t>Intangible asset amortization for the year ended December 31, 2024, was $6.2 million an increase of approximately $5.5 million compared to intangible asset amortization of $0.8 million for the year ended December 31, 2023. The increase was due to an increase of $5.5 million in amortization expense related to definite-lived intangible assets.</w:t>
      </w:r>
    </w:p>
    <w:p>
      <w:pPr>
        <w:sectPr>
          <w:pgSz w:w="11900" w:h="16838" w:orient="portrait"/>
          <w:cols w:equalWidth="0" w:num="1">
            <w:col w:w="11340"/>
          </w:cols>
          <w:pgMar w:left="300" w:top="121" w:right="259" w:bottom="1111" w:gutter="0" w:footer="0" w:header="0"/>
        </w:sectPr>
      </w:pP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00" w:top="121" w:right="259" w:bottom="1111" w:gutter="0" w:footer="0" w:header="0"/>
          <w:type w:val="continuous"/>
        </w:sectPr>
      </w:pPr>
    </w:p>
    <w:bookmarkStart w:id="102" w:name="page103"/>
    <w:bookmarkEnd w:id="10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5"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Research and development expenses increased by $2.3 million, from $39.8 million for the year ended December 31, 2023, to $42.1 million for the year ended December 31, 2024. This increase was attributable to increases in personnel-related costs and share-based compensation expenses of $6.3 million and $0.9 million, respectively, partially offset by decreases in third-party research and development costs of $3.6 million and other research and development costs of $1.3 million.</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5"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$20.6 million, from $34.3 million for the year-ended December 31, 2023, to $54.9 million for the year ended December 31, 2024. This increase was attributable to increases in marketing costs of $10.1 million, share-based compensation expenses of $7.2 million, personnel-related costs of $1.6 million, and other expenses of $2.2 million, primarily made up of expenses related to facilities, insurance, and travel. These increases were partially offset by a decrease in professional fees of $0.5 million. Acer transaction costs were $2.2 million and are included in general and administrative expenses for the year-ended December 31, 2023.</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225"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Other (expense) income changed from $3.6 million of income for the year ended December 31, 2023, to $3.1 million of expense for the year ended December 31, 2024. This period-to-period change in other (expense) income was primarily attributable to an increase in interest expense of $5.9 million, a decrease in the change in fair value related to investments of $0.6 million, and a decrease in net interest and other income of $2.4 million, partially offset by a decrease in the fair value adjustment related to derivative and warrant liability and CVR liability of $2.2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5"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Income tax expense for the year ended December 31, 2024, was $15.4 million as a result of a periodic evaluation of our tax positions. There was no income tax expense for the year ended December 31, 2023.</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Through December 31, 2024, we have funded our research and development and operating activities primarily through the issuance of debt and equity and from revenue received from the EAP, AZSTARYS License Agreement, OLPRUVA product sales, MIPLYFFA product sales and consulting arrangements. As of December 31, 2024, we had cash, cash equivalents and investments of $75.5 million.</w:t>
      </w:r>
    </w:p>
    <w:p>
      <w:pPr>
        <w:spacing w:after="0" w:line="177"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To date, we have generated revenue from product sales of OLPRUVA and MIPLYFFA, product reimbursements from the EAP, proceeds from the AZSTARYS License Agreement, reimbursement of out-of-pocket third-party costs and the performance of consulting services.</w:t>
      </w:r>
    </w:p>
    <w:p>
      <w:pPr>
        <w:spacing w:after="0" w:line="162" w:lineRule="exact"/>
        <w:rPr>
          <w:sz w:val="20"/>
          <w:szCs w:val="20"/>
          <w:color w:val="auto"/>
        </w:rPr>
      </w:pPr>
    </w:p>
    <w:p>
      <w:pPr>
        <w:jc w:val="both"/>
        <w:ind w:left="20"/>
        <w:spacing w:after="0" w:line="310" w:lineRule="auto"/>
        <w:rPr>
          <w:sz w:val="20"/>
          <w:szCs w:val="20"/>
          <w:color w:val="auto"/>
        </w:rPr>
      </w:pPr>
      <w:r>
        <w:rPr>
          <w:rFonts w:ascii="Times New Roman" w:cs="Times New Roman" w:eastAsia="Times New Roman" w:hAnsi="Times New Roman"/>
          <w:sz w:val="17"/>
          <w:szCs w:val="17"/>
          <w:color w:val="auto"/>
        </w:rPr>
        <w:t>On February 26, 2025, we entered into the PRV Transfer Agreement, pursuant to which we agreed to sell the PRV to the buyer, subject to customary closing conditions. Pursuant to the PRV Transfer Agreement, the buyer agreed to pay the Company $150.0 million, payable in cash, upon the closing of the sale.</w:t>
      </w:r>
    </w:p>
    <w:p>
      <w:pPr>
        <w:spacing w:after="0" w:line="140"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We have had recurring negative net operating cash flows throughout our operating history, and we cannot guarantee or predict when we may begin to consistently generate positive net cash flows from operations, or if at all. We expect that our sources of revenue will be from product sales of OLPRUVA and MIPLYFFA, product reimbursements from the EAP, proceeds from our license agreement with Commave, and any other future arrangements related to one of our product candidates.</w:t>
      </w:r>
    </w:p>
    <w:p>
      <w:pPr>
        <w:spacing w:after="0" w:line="181"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or future commercialization efforts.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03" w:name="page104"/>
    <w:bookmarkEnd w:id="10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Statements on Form S-3</w:t>
      </w:r>
    </w:p>
    <w:p>
      <w:pPr>
        <w:spacing w:after="0" w:line="22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In connection with the Merger, we and Nantahala Capital Management, LLC (“Nantahala”) concurrently entered into a registration rights agreement, pursuant to which we agreed to file a resale registration statement with respect to the resale of our common stock issuable to Nantahala. On February 5, 2024, we filed a registration statement on Form S-3 (File No. 333-276856) registering an aggregate of 2,269,721 shares of our common stock. On April 5, 2024, we filed an amendment to such registration statement, which was declared effective on April 8, 2024.</w:t>
      </w:r>
    </w:p>
    <w:p>
      <w:pPr>
        <w:spacing w:after="0" w:line="181"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On June 4, 2024, we filed a registration statement on Form S-3 (File No. 333-279941) (the "June 2024 Registration Statement") under which we sell securities, including as may be issuable upon conversion, redemption, repurchase, exchange or exercise of securities, in one or more offerings up to a total aggregate offering price of $350.0 million, $75.0 million of which was allocated to the sale of the shares of common stock issuable under the 2024 ATM Agreement. The registration statement was declared effective on June 13, 2024.</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August 2024 Offering</w:t>
      </w:r>
    </w:p>
    <w:p>
      <w:pPr>
        <w:spacing w:after="0" w:line="227"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On August 8, 2024, we entered into an underwriting agreement (the “Underwriting Agreement”) with Cantor Fitzgerald &amp; Co. and William Blair &amp; Company, L.L.C., as representatives of the several underwriters named therein (collectively, the “Underwriters”), in connection with the offering, issuance and sale by us of 9,230,770 shares of our common stock at a public offering price of $6.50 per share, pursuant to the June 2024 Registration Statement and a related prospectus supplement dated August 8, 2024 filed with the SEC (the "August 2024 Offering"). Under the terms of the Underwriting Agreement, we also granted the Underwriters an option exercisable for 30 days to purchase up to an additional 1,384,615 shares of our common stock at the public offering price, less underwriting discounts and commissions, which the Underwriters exercised in full on August 9, 2024. The August 2024 Offering closed on August 12, 2024. Total shares issued were 10,615,385. Net proceeds from the offering were approximately $64.5 million, after deducting underwriting discounts and commissions and estimated offering expenses payable by us. We intend to use the net proceeds of the offering to support the commercial launch activities for MIPLYFFA, continued commercial support for OLPRUVA and the continued development of celiprolol and KP1077 through potential NDA filings and other general corporate purposes.</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Entry into 2024 ATM Agreement</w:t>
      </w:r>
    </w:p>
    <w:p>
      <w:pPr>
        <w:spacing w:after="0" w:line="22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On July 12, 2024, we entered into an equity distribution agreement (the "2024 ATM Agreement") with Citizens JMP Securities LLC ("Citizens JMP") under which we may offer and sell, from time to time at our sole discretion, shares of our common stock having an aggregate offering price of up to $75.0 million through Citizens JMP as its sales agent. The issuance and sale, if any, of common stock by us under the 2024 ATM Agreement will be made pursuant to the June 2024 Registration Statement, the accompanying prospectus, and the related prospectus supplement dated July 12, 2024. Citizens JMP may sell the common stock by any method permitted by law deemed to be an “at the market offering” as defined in Rule 415 of the Securities Act. Citizens JMP will use commercially reasonable efforts to sell the common stock from time to time, based upon instructions from us (including any price, time or size limits or other customary parameters or conditions we may impose). We will pay Citizens JMP a commission equal to 3.0% in the aggregate of the gross sales proceeds of any common stock sold through Citizens JMP under the 2024 ATM Agreement. As of December 31, 2024, no shares have been issued or sold under the 2024 ATM Agreement.</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2021 ATM Agreement</w:t>
      </w:r>
    </w:p>
    <w:p>
      <w:pPr>
        <w:spacing w:after="0" w:line="227"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July 2, 2021, we entered into an equity distribution agreement (the "2021 ATM Agreement") with JMP Securities LLC ("JMP") and RBC Capital Markets, LLC ("RBCCM") under which we may offer and sell, from time to time at our sole discretion, shares of our common stock having an aggregate offering price of up to $75.0 million through JMP and RBCCM as its sales agents. The issuance and sale, if any, of common stock by us under the 2021 ATM Agreement was to be made pursuant to the registration statement on Form S-3 (File No. 333-257661) which was declared effective on July 12, 2021, the accompanying prospectus, and the related prospectus supplement dated July 12, 2021. The 2021 ATM Agreement terminated on July 11, 2024, and no shares had been issued or sold under the 2021 ATM Agreement as of the termination date.</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Merger Transactions and Documents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30, 2023, in connection with the Merger Agreement with Acer, the following transactions occurred prior to Closing:</w:t>
      </w:r>
    </w:p>
    <w:p>
      <w:pPr>
        <w:spacing w:after="0" w:line="221" w:lineRule="exact"/>
        <w:rPr>
          <w:sz w:val="20"/>
          <w:szCs w:val="20"/>
          <w:color w:val="auto"/>
        </w:rPr>
      </w:pPr>
    </w:p>
    <w:p>
      <w:pPr>
        <w:jc w:val="both"/>
        <w:ind w:left="200" w:hanging="119"/>
        <w:spacing w:after="0" w:line="255" w:lineRule="auto"/>
        <w:tabs>
          <w:tab w:leader="none" w:pos="2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Bridge Loan </w:t>
      </w:r>
      <w:r>
        <w:rPr>
          <w:rFonts w:ascii="Times New Roman" w:cs="Times New Roman" w:eastAsia="Times New Roman" w:hAnsi="Times New Roman"/>
          <w:sz w:val="18"/>
          <w:szCs w:val="18"/>
          <w:color w:val="auto"/>
        </w:rPr>
        <w:t>- Zevra and Acer entered into a bridge loan agreement (the “Bridge Loan Agreement”), providing for Zevra to make loans (collectively,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“Bridge Loan”) to Acer up to an aggregate principal amount of $16.5 million. The Bridge Loan was provided to Acer to support its termination agreement with Relief Therapeutics Holding SA (“Relief”) and to provide Acer with working capital, including for payments of accounts payable to support the commercial launch of OLPRUVA and the development of celiprolol pending the Merger’s closure. On October 31, 2023, the Company and Acer entered into an amendment to the Bridge Loan Agreement, which increased the aggregate principal amount available under the loan from $16.5 million to $17.8 million.</w:t>
      </w:r>
    </w:p>
    <w:p>
      <w:pPr>
        <w:spacing w:after="0" w:line="185" w:lineRule="exact"/>
        <w:rPr>
          <w:rFonts w:ascii="Times New Roman" w:cs="Times New Roman" w:eastAsia="Times New Roman" w:hAnsi="Times New Roman"/>
          <w:sz w:val="18"/>
          <w:szCs w:val="18"/>
          <w:color w:val="auto"/>
        </w:rPr>
      </w:pPr>
    </w:p>
    <w:p>
      <w:pPr>
        <w:jc w:val="both"/>
        <w:ind w:left="200" w:hanging="119"/>
        <w:spacing w:after="0" w:line="254" w:lineRule="auto"/>
        <w:tabs>
          <w:tab w:leader="none" w:pos="2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Acer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Term Loans </w:t>
      </w:r>
      <w:r>
        <w:rPr>
          <w:rFonts w:ascii="Times New Roman" w:cs="Times New Roman" w:eastAsia="Times New Roman" w:hAnsi="Times New Roman"/>
          <w:sz w:val="18"/>
          <w:szCs w:val="18"/>
          <w:color w:val="auto"/>
        </w:rPr>
        <w:t>- Zevra purchased certain indebtedness of Acer held by Nantahala. Under the loan purchase with Nantahala, certain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and certain other parties (collectively with Nantahala, "Nantahala Holders") Zevra purchased (i) an original senior secured term loan facility made available to Acer in an aggregate amount of $6.5 million and funded on March 14, 2022, and (ii) an additional senior secured term loan made to Acer in an aggregate amount of $7.0 million in a single borrowing which funded on January 31, 2023 for (1) $12.0 million in cash; (2) 98,683 shares of Zevra Common Stock; and (3) a secured Promissory Note payable by Zevra to Nantahala in the original principal amount $5.0 million, which was repaid in full and terminated in April 2024. These were recorded as receivables from Acer and were treated as a settlement of a preexisting relationship in connection with the closing of the transaction and recorded as a component of purchase consideration.</w:t>
      </w:r>
    </w:p>
    <w:p>
      <w:pPr>
        <w:spacing w:after="0" w:line="186" w:lineRule="exact"/>
        <w:rPr>
          <w:rFonts w:ascii="Times New Roman" w:cs="Times New Roman" w:eastAsia="Times New Roman" w:hAnsi="Times New Roman"/>
          <w:sz w:val="18"/>
          <w:szCs w:val="18"/>
          <w:color w:val="auto"/>
        </w:rPr>
      </w:pPr>
    </w:p>
    <w:p>
      <w:pPr>
        <w:jc w:val="both"/>
        <w:ind w:left="200" w:hanging="119"/>
        <w:spacing w:after="0" w:line="265" w:lineRule="auto"/>
        <w:tabs>
          <w:tab w:leader="none" w:pos="2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Acer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Convertible </w:t>
      </w:r>
      <w:r>
        <w:rPr>
          <w:rFonts w:ascii="Times New Roman" w:cs="Times New Roman" w:eastAsia="Times New Roman" w:hAnsi="Times New Roman"/>
          <w:sz w:val="18"/>
          <w:szCs w:val="18"/>
          <w:color w:val="auto"/>
        </w:rPr>
        <w:t>Notes (“Marathon Convertible Notes”) - Under the Note Purchase Agreement with the Nantahala Holders, Zevra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the Marathon Convertible Notes that Nantahala had acquired on June 16, 2023. Zevra acquired the Marathon Convertible Notes in exchange for the issuance of 2,171,038 shares of Zevra Common Stock at $5.0667 per share for a total purchase price of $11.0 million.</w:t>
      </w:r>
    </w:p>
    <w:p>
      <w:pPr>
        <w:sectPr>
          <w:pgSz w:w="11900" w:h="16838" w:orient="portrait"/>
          <w:cols w:equalWidth="0" w:num="1">
            <w:col w:w="11260"/>
          </w:cols>
          <w:pgMar w:left="300" w:top="121" w:right="339" w:bottom="2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251" w:gutter="0" w:footer="0" w:header="0"/>
          <w:type w:val="continuous"/>
        </w:sectPr>
      </w:pPr>
    </w:p>
    <w:bookmarkStart w:id="104" w:name="page105"/>
    <w:bookmarkEnd w:id="10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200" w:hanging="119"/>
        <w:spacing w:after="0" w:line="252" w:lineRule="auto"/>
        <w:tabs>
          <w:tab w:leader="none" w:pos="2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to IP License Agreement and IP Termination Agreement: </w:t>
      </w:r>
      <w:r>
        <w:rPr>
          <w:rFonts w:ascii="Times New Roman" w:cs="Times New Roman" w:eastAsia="Times New Roman" w:hAnsi="Times New Roman"/>
          <w:sz w:val="18"/>
          <w:szCs w:val="18"/>
          <w:color w:val="auto"/>
        </w:rPr>
        <w:t>As a condition to entering into the Merger Agreement, Acer and Relief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Exclusive License Agreement and the Termination Agreement terminating the collaboration and license agreement, dated March 19, 2021, by and between Acer and Relief. Pursuant to the Exclusive License Agreement, Relief holds exclusive development and commercialization rights for OLPRUVA in the European Union, Liechtenstein, San Marino, Vatican City, Norway, Iceland, Principality of Monaco, Andorra, Gibraltar, Switzerland, United Kingdom, Albania, Bosnia, Kosovo, Montenegro, Serbia and North Macedonia (Geographical Europe). Acer has the right to receive a royalty of up to 10.0% of the net sales of OLPRUVA in Geographical Europe. In accordance with the terms of the Termination Agreement, Relief received an upfront payment from Acer of $10.0 million (which payment was funded with the Bridge Loan described above) with an additional payment of $1.5 million due on the first-year anniversary of the $10.0 million payment. Acer has also agreed to pay a 10.0% royalty on net sales of OLPRUVA worldwide, excluding Geographical Europe, and 20.0% of any value received by Acer from certain third parties relating to OLPRUVA licensing or divestment rights, all of the foregoing which are capped at $45.0 million, for total payments to Relief of up to $56.5 million.</w:t>
      </w:r>
    </w:p>
    <w:p>
      <w:pPr>
        <w:spacing w:after="0" w:line="194"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Merger on November 17, 2023, each share of common stock of Acer was converted into the right to receive (i) 0.1210 fully paid and non-assessable shares of common stock of Zevra, par value $0.0001 per share , and (ii) one non-transferable CVR to be issued by Zevra, which will represent the right to receive one or more contingent payments up to an additional $76.0 million upon the achievement, if any, of certain commercial and regulatory milestones for Acer’s OLPRUVA and celiprolol products within specified time periods. Certain additional cash payments are also possible pursuant to the CVRs with respect to milestones involving Acer’s early-stage program ACER-2820 (emetine).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Agreement</w:t>
      </w:r>
    </w:p>
    <w:p>
      <w:pPr>
        <w:spacing w:after="0" w:line="225"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In connection with the Merger, a certain stockholder of Acer entered into, and Acer agreed to use its reasonable best efforts to cause certain other stockholders to enter into joinders to, a stockholders agreement with Zevra (the “Stockholders Agreement”). Pursuant to the Stockholders Agreement, the stockholders party thereto agreed to, or would agree to, among other things, vote all of their shares in Zevra that they own in favor of each nominee included in the Zevra board of director’s slate of nominees for each election of directors and in favor of each matter approved by the Zevra board of directors and submitted to stockholders of Zevra for the approval of stockholders following the closing of the Merger and until the second anniversary of the closing date of the Merger (the “Trigger Date”). In addition, the stockholders party to the Stockholders Agreement will be subject to customary standstill provisions, subject to certain exceptions, until the Trigger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Cancellation of Acer Warrant</w:t>
      </w:r>
    </w:p>
    <w:p>
      <w:pPr>
        <w:spacing w:after="0" w:line="225"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On November 22, 2023, we sold an aggregate of 1,382,489 shares of our common stock and accompanying warrants to purchase up to 1,382,489 shares of our common stock at a price of $4.34 per share to a healthcare focused investment fund (the "Investor") for gross proceeds of approximately $6.0 million and an aggregate of 917,934 shares of our common stock to cancel a warrant held by the Investor to purchase 2,920,306 shares of common stock of Acer. The shares of common stock and warrants were offered and sold to the Investor in a registered direct offering without an underwriter or placement agent.</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Margin Account</w:t>
      </w:r>
    </w:p>
    <w:p>
      <w:pPr>
        <w:spacing w:after="0" w:line="227"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On January 26, 2023, the Company and Wells Fargo, as lender, entered into a margin account agreement. The margin account bears interest at the Prime Rate minus 225 basis points. The Company's investments are used as collateral for the loan and the amount the Company is able to borrow is limited to 80-90% of its outstanding investment balance held with Wells Fargo. As of December 31, 2023, $37.7 million was outstanding under the margin account. The margin loan was included in current liabilities as of December 31, 2023, as the Company expected the outstanding balance to be due and payable in 2024 based on the anticipated level of investment balance expected to be available over the course of fiscal year 2024 to meet the Collateral Requirement. In April 2024, the Company repaid the outstanding balance under the margin account with Wells Fargo, and upon such repayment, the margin capabilities were removed from the account.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2024 and 2023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4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Period-to</w:t>
            </w:r>
          </w:p>
        </w:tc>
      </w:tr>
      <w:tr>
        <w:trPr>
          <w:trHeight w:val="208"/>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 Change</w:t>
            </w:r>
          </w:p>
        </w:tc>
      </w:tr>
      <w:tr>
        <w:trPr>
          <w:trHeight w:val="208"/>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(69,665)</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(33,535)</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(36,130)</w:t>
            </w:r>
          </w:p>
        </w:tc>
      </w:tr>
      <w:tr>
        <w:trPr>
          <w:trHeight w:val="215"/>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w:t>
            </w:r>
          </w:p>
        </w:tc>
      </w:tr>
      <w:tr>
        <w:trPr>
          <w:trHeight w:val="215"/>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82,108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53,644</w:t>
            </w:r>
          </w:p>
        </w:tc>
      </w:tr>
      <w:tr>
        <w:trPr>
          <w:trHeight w:val="215"/>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r>
      <w:tr>
        <w:trPr>
          <w:trHeight w:val="228"/>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(22,417)</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13,153</w:t>
            </w:r>
          </w:p>
        </w:tc>
      </w:tr>
      <w:tr>
        <w:trPr>
          <w:trHeight w:val="20"/>
        </w:trPr>
        <w:tc>
          <w:tcPr>
            <w:tcW w:w="4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2024, net cash used in operating activities of $69.7 million consisted of a net loss of $105.5 million and $6.6 million in changes in working capital, partially offset by $42.5 million in adjustments for non-cash items. Net loss was primarily attributable to our spending on research and development programs and operating costs, partially offset by revenue received from MIPLYFFA and OLPRUVA product sales, royalties under the AZSTARYS License Agreement, and reimbursements from the EAP. The changes in working capital consisted of $3.6 million related to a change in accounts payable and accrued expenses, $8.9 million related to a change in inventories, $2.2 million related to a change in prepaids and other assets, and $0.6 million related to operating lease liabilities, partially offset by $0.4 million related to a change in discount and rebate liabilities, $0.6 million related to a change in operating lease right of use assets, $0.8 million related to a change in other liabilities, and $6.9 million increase in accounts and other receivables. The adjustments for non-cash items primarily consisted of income tax expense of $15.4 million, stock-based compensation expense of $14.9 million, consulting fees paid in stock of$0.5 million, interest expense of $2.1 million, inventory obsolescence of $5.7 million and $5.7 million related to depreciation, amortization and other items, and a loss on disposal of $0.2 million, partially offset by a change in fair value adjustment of warrants and CVR of $2.1 million.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2023, net cash used in operating activities of $33.5 million consisted of a net loss of $46.0 million, partially offset by $6.0 million in changes in working capital and $6.5 million in adjustments for non-cash items. Net loss was primarily attributable to our spending on research and development programs and operating costs, partially offset by revenue received under the AZSTARYS License Agreement, EAP and the Corium Consulting Agreement. The changes in working capital consisted of $11.1 million related to a change in accounts payable and accrued expenses, $3.2 million related to a change in discount and rebate liabilities, $0.2 million related to a change in inventories, $0.3 million related to a change in operating lease right of use assets, $0.4 million related to a change in other liabilities, and $0.2 million related to a change in prepaids and other assets, partially offset by a $9.1 million increase in accounts and other receivables, and $0.3 million related to operating lease liabilities. The adjustments for non-cash items primarily consisted of stock-based compensation expense of $5.9 million, consulting fees paid in stock of $0.2 million, and $1.0 million related to depreciation, amortization and other items, partially offset by a change in the fair value adjustment related to investments of $0.6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 the year ended December 31, 2024, net cash used in investing activities was $22.1 million, which was attributable to purchases of investments of $41.1 million and a $6.0 million regulatory milestone payment to XOMA, partially offset by maturities of investments of $25.0 million.</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the year ended December 31, 2023, net cash used in investing activities was $17.4 million, which was attributable to $30.4 million attributable to the acquisition of Acer, purchases of investments of $45.8 million, and $0.3 million in purchases of property and equipment, partially offset by maturities of investments of $59.1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year ended December 31, 2024, net cash provided by financing activities was $82.1 million, which was primarily attributable to proceeds from the issuance of debt of $58.9 million, proceeds from insurance financing arrangements of $1.0 million and proceeds from sales of common stock under the Employee Stock Purchase Plan, or the ESPP, of$1.1 million, proceeds from issuance of common stock of $66.2 million, partially offset by repayments of debt of $42.7 million, payments of principal on insurance financing arrangements of $0.4 million, and payments of deferred offering costs of $2.0 million.</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net cash provided by financing activities was $28.5 million, which was primarily attributable to proceeds from the issuance of debt of $42.4 million, proceeds from insurance financing arrangements of $1.3 million and proceeds from sales of common stock under the Employee Stock Purchase Plan, or the ESPP, of $0.2 million, proceeds from issuance of common stock of $6.0 million, partially offset by repayments of debt of $17.5 million, payments to repurchase shares as part of the Share Repurchase Program of $3.4 million, and payments of principal on insurance financing arrangements of $0.5 million.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believe that our existing cash, cash equivalents and investments will be sufficient to fund our operations into 2029, subject to continuing compliance with our debt covenants. This estimate includes anticipated revenue from net sales of OLPRUVA and MIPLYFFA, net reimbursements from the EAP, royalties under the AZSTARYS License Agreement, and accounts for continued investments into our development pipeline programs. This estimate does not include proceeds from the PRV sale, which was announced on February 26, 2025.</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major U.S. and multi-national financial institutions, and our deposits at these institutions exceed insured limits. Market conditions can impact the viability of these institutions. In the event of a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near-term sources of additional funding include:</w:t>
      </w:r>
    </w:p>
    <w:p>
      <w:pPr>
        <w:spacing w:after="0" w:line="223" w:lineRule="exact"/>
        <w:rPr>
          <w:sz w:val="20"/>
          <w:szCs w:val="20"/>
          <w:color w:val="auto"/>
        </w:rPr>
      </w:pPr>
    </w:p>
    <w:p>
      <w:pPr>
        <w:ind w:left="260" w:hanging="172"/>
        <w:spacing w:after="0"/>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royalties or net sales milestone payments generated under the AZSTARYS License Agreement;</w:t>
      </w:r>
    </w:p>
    <w:p>
      <w:pPr>
        <w:spacing w:after="0" w:line="222" w:lineRule="exact"/>
        <w:rPr>
          <w:rFonts w:ascii="Times New Roman" w:cs="Times New Roman" w:eastAsia="Times New Roman" w:hAnsi="Times New Roman"/>
          <w:sz w:val="18"/>
          <w:szCs w:val="18"/>
          <w:color w:val="auto"/>
        </w:rPr>
      </w:pPr>
    </w:p>
    <w:p>
      <w:pPr>
        <w:ind w:left="260" w:hanging="172"/>
        <w:spacing w:after="0"/>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reimbursements received for arimoclomol under the EAP;</w:t>
      </w:r>
    </w:p>
    <w:p>
      <w:pPr>
        <w:spacing w:after="0" w:line="222" w:lineRule="exact"/>
        <w:rPr>
          <w:rFonts w:ascii="Times New Roman" w:cs="Times New Roman" w:eastAsia="Times New Roman" w:hAnsi="Times New Roman"/>
          <w:sz w:val="18"/>
          <w:szCs w:val="18"/>
          <w:color w:val="auto"/>
        </w:rPr>
      </w:pPr>
    </w:p>
    <w:p>
      <w:pPr>
        <w:ind w:left="260" w:hanging="172"/>
        <w:spacing w:after="0"/>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sales of OLPRUVA, and</w:t>
      </w:r>
    </w:p>
    <w:p>
      <w:pPr>
        <w:spacing w:after="0" w:line="222" w:lineRule="exact"/>
        <w:rPr>
          <w:rFonts w:ascii="Times New Roman" w:cs="Times New Roman" w:eastAsia="Times New Roman" w:hAnsi="Times New Roman"/>
          <w:sz w:val="18"/>
          <w:szCs w:val="18"/>
          <w:color w:val="auto"/>
        </w:rPr>
      </w:pPr>
    </w:p>
    <w:p>
      <w:pPr>
        <w:ind w:left="260" w:hanging="172"/>
        <w:spacing w:after="0"/>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sales of MIPLYFFA.</w:t>
      </w:r>
    </w:p>
    <w:p>
      <w:pPr>
        <w:spacing w:after="0" w:line="22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We cannot guarantee that we will be able to generate sufficient proceeds from any of these potential sources to fund our operating expenses. We anticipate that our expenses will fluctuate substantially as we:</w:t>
      </w:r>
    </w:p>
    <w:p>
      <w:pPr>
        <w:spacing w:after="0" w:line="162" w:lineRule="exact"/>
        <w:rPr>
          <w:sz w:val="20"/>
          <w:szCs w:val="20"/>
          <w:color w:val="auto"/>
        </w:rPr>
      </w:pPr>
    </w:p>
    <w:p>
      <w:pPr>
        <w:ind w:left="200" w:hanging="139"/>
        <w:spacing w:after="0"/>
        <w:tabs>
          <w:tab w:leader="none" w:pos="2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clinical trials and our product development activities for our pipeline of product candidates;</w:t>
      </w:r>
    </w:p>
    <w:p>
      <w:pPr>
        <w:spacing w:after="0" w:line="222" w:lineRule="exact"/>
        <w:rPr>
          <w:rFonts w:ascii="Times New Roman" w:cs="Times New Roman" w:eastAsia="Times New Roman" w:hAnsi="Times New Roman"/>
          <w:sz w:val="18"/>
          <w:szCs w:val="18"/>
          <w:color w:val="auto"/>
        </w:rPr>
      </w:pPr>
    </w:p>
    <w:p>
      <w:pPr>
        <w:ind w:left="200" w:hanging="139"/>
        <w:spacing w:after="0"/>
        <w:tabs>
          <w:tab w:leader="none" w:pos="2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22" w:lineRule="exact"/>
        <w:rPr>
          <w:rFonts w:ascii="Times New Roman" w:cs="Times New Roman" w:eastAsia="Times New Roman" w:hAnsi="Times New Roman"/>
          <w:sz w:val="18"/>
          <w:szCs w:val="18"/>
          <w:color w:val="auto"/>
        </w:rPr>
      </w:pPr>
    </w:p>
    <w:p>
      <w:pPr>
        <w:ind w:left="200" w:hanging="139"/>
        <w:spacing w:after="0"/>
        <w:tabs>
          <w:tab w:leader="none" w:pos="2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development and clinical trials of our product candidates;</w:t>
      </w:r>
    </w:p>
    <w:p>
      <w:pPr>
        <w:spacing w:after="0" w:line="222" w:lineRule="exact"/>
        <w:rPr>
          <w:rFonts w:ascii="Times New Roman" w:cs="Times New Roman" w:eastAsia="Times New Roman" w:hAnsi="Times New Roman"/>
          <w:sz w:val="18"/>
          <w:szCs w:val="18"/>
          <w:color w:val="auto"/>
        </w:rPr>
      </w:pPr>
    </w:p>
    <w:p>
      <w:pPr>
        <w:ind w:left="200" w:hanging="139"/>
        <w:spacing w:after="0"/>
        <w:tabs>
          <w:tab w:leader="none" w:pos="2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 either internally or in partnership with other pharmaceutical companies;</w:t>
      </w:r>
    </w:p>
    <w:p>
      <w:pPr>
        <w:spacing w:after="0" w:line="222" w:lineRule="exact"/>
        <w:rPr>
          <w:rFonts w:ascii="Times New Roman" w:cs="Times New Roman" w:eastAsia="Times New Roman" w:hAnsi="Times New Roman"/>
          <w:sz w:val="18"/>
          <w:szCs w:val="18"/>
          <w:color w:val="auto"/>
        </w:rPr>
      </w:pPr>
    </w:p>
    <w:p>
      <w:pPr>
        <w:ind w:left="200" w:hanging="139"/>
        <w:spacing w:after="0"/>
        <w:tabs>
          <w:tab w:leader="none" w:pos="2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222" w:lineRule="exact"/>
        <w:rPr>
          <w:rFonts w:ascii="Times New Roman" w:cs="Times New Roman" w:eastAsia="Times New Roman" w:hAnsi="Times New Roman"/>
          <w:sz w:val="18"/>
          <w:szCs w:val="18"/>
          <w:color w:val="auto"/>
        </w:rPr>
      </w:pPr>
    </w:p>
    <w:p>
      <w:pPr>
        <w:ind w:left="200" w:hanging="139"/>
        <w:spacing w:after="0"/>
        <w:tabs>
          <w:tab w:leader="none" w:pos="2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222" w:lineRule="exact"/>
        <w:rPr>
          <w:rFonts w:ascii="Times New Roman" w:cs="Times New Roman" w:eastAsia="Times New Roman" w:hAnsi="Times New Roman"/>
          <w:sz w:val="18"/>
          <w:szCs w:val="18"/>
          <w:color w:val="auto"/>
        </w:rPr>
      </w:pPr>
    </w:p>
    <w:p>
      <w:pPr>
        <w:ind w:left="200" w:hanging="139"/>
        <w:spacing w:after="0"/>
        <w:tabs>
          <w:tab w:leader="none" w:pos="2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222" w:lineRule="exact"/>
        <w:rPr>
          <w:rFonts w:ascii="Times New Roman" w:cs="Times New Roman" w:eastAsia="Times New Roman" w:hAnsi="Times New Roman"/>
          <w:sz w:val="18"/>
          <w:szCs w:val="18"/>
          <w:color w:val="auto"/>
        </w:rPr>
      </w:pPr>
    </w:p>
    <w:p>
      <w:pPr>
        <w:ind w:left="200" w:hanging="139"/>
        <w:spacing w:after="0"/>
        <w:tabs>
          <w:tab w:leader="none" w:pos="2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we have generated revenue from OLPRUVA and MIPLYFFA product sales, the AZSTARYS License Agreement, reimbursements of out-of-pocket third-party costs, the performance of consulting services, and product reimbursements under the EAP. We expect that, for the foreseeable future, our only sources of revenues will be through product sales of OLPRUVA and MIPLYFFA, payments arising from the AZSTARYS License Agreement, and any other future arrangements related to one of our product candidates and product sales under the EAP. We cannot guarantee that our current commercialization strategies, or any strategy we adopt in the future, will be successful. For instance, we received milestone payments under the AZSTARYS License Agreement, but we cannot guarantee that we will earn any additional milestone or royalty payments under this agreement in the future. We also cannot guarantee that we will continue to receive reimbursements under the EAP or successfully commercialize OLPRUVA or MIPLYFFA. We also expect to continue to incur significant additional costs associated with operating as a public company.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based our estimates of our cash needs and cash runway on assumptions that may prove to be wrong, and we may use our available capital resources sooner than we currently expect and we cannot guarantee that we will be able to generate sufficient proceeds from product sales of OLPRUVA and MIPLYFFA, the AZSTARYS License Agreement, product reimbursements under the EAP,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necessary to complete the commercialization and development of our partnered product or product candidates, should they obtain regulatory approval.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and/or commercialization efforts.</w:t>
      </w: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financial statements, which we have prepared in accordance with accounting principles generally accepted in the United States. The preparation of our financial statements requires us to make estimates that affect the reported amounts of assets and liabilities and the disclosure of contingent assets and liabilities at the date of our financial statements, as well as the reported revenues and expenses during the reported periods. We evaluate these estimates on an ongoing basis. We base our estimates on historical experience and on various other factors that we believe are reasonable under the circumstances. Actual results may differ from these estimates under different assumptions or conditions.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B to our audited financial statements appearing elsewhere in this Annual Report on Form 10-K, we believe that the following accounting policies are critical to the process of making significant estimates in the preparation of our financial statements and understanding and evaluating our reported financial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Intangible Assets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record all assets and liabilities acquired in business acquisitions at fair value, including goodwill and other intangible assets. The initial recognition of goodwill and other intangible assets requires management to make subjective judgments concerning estimates of how the acquired assets will perform in the future using valuation methods including discounted cash flow analysis. Inherent in the determination of fair value of the reporting units are certain estimates and judgments, including the interpretation of current economic indicators and market valuations, as well as management’s strategic plans with regard to its operations. When utilizing a quantitative assessment, we determine fair value at the reporting unit level based on a combination of an income approach and market approach. The income approach is based on estimated future cash flows, discounted at a rate that approximates the cost of capital of a market participant, while the market approach is based on sales and/or earnings multiples of similar companies. These approaches use significant estimates and assumptions, including projected future cash flows and the timing of those cash flows, discount rates reflecting risks inherent in future cash flows, perpetual growth rates, and determination of appropriate market comparables.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Definite-Lived Intangible Assets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fair value assigned to the assets purchased and liabilities assumed. Goodwill is not amortized but is evaluated for impairment within our single reporting unit on an annual basis, during the fourth quarter, or more frequently if an event occurs or circumstances change that would more-likely-than-not reduce the fair value of our reporting unit below its carrying amount. Our estimates associated with the annual test of goodwill for impairment, as well as the as-needed assessment of the recoverability of definite-lived intangible assets, are considered critical due to the amount of these assets recorded on our consolidated balance sheets and the judgment required.</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definite-lived intangible assets, we periodically evaluate whether events and circumstances have occurred that may affect the estimated useful life or the recoverability of the remaining balance of such assets. If such events or circumstances indicate that the carrying amount of these assets may not be recoverable, management would estimate the future cash flows expected to result from the use of the assets and their eventual disposition. If the sum of the expected future cash flows (undiscounted and without interest charges) were less than the carrying amount of the assets, we would recognize an impairment charge to reduce such assets to their fair value.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as a result, follows the five-step model when recognizing revenue: 1) identifying a contract; 2) identifying the performance obligations; 3) determining the transaction price; 4) allocating the price to the performance obligations; and 5) recognizing revenue when the performance obligations have been fulfilled.</w:t>
      </w:r>
    </w:p>
    <w:p>
      <w:pPr>
        <w:spacing w:after="0" w:line="17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Net revenues from product sales are recognized at the transaction price when the customer obtains control of the Company's product, which occurs at a point in time, typically upon receipt of the product by the customer. The Company's current single customer is a specialty pharmacy provider.</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net revenues represent total revenues adjusted for discounts and allowances, including estimated cash discounts, chargebacks, rebates, returns, copay assistance, data fees and wholesaler fees for services. These adjustments represent variable consideration under ASC 606 and are recorded as a reduction of revenue. These adjustments are established by management as its best estimate based on available information and will be adjusted to reflect known changes in the factors that impact such allowances. Adjustments for variable consideration are determined based on the contractual terms with customers, historical trends, communications with customers and the levels of inventory remining in the distribution channel, as well as expectations about the market for the product and anticipated introduction of competitive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enter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We record liabilities under these contractual commitments when an obligation has been incurred. This accrual process involves reviewing open contracts and purchase orders, communicating with our applicable personnel to identify services that have been performed and estimating the level of service performed and the associated cost when we have not yet been invoiced or otherwise notified of actual cost. The majority of our service providers invoice us monthly in arrears for services performed. We make estimates of our accrued expenses as of each balance sheet date based on the facts and circumstances known to us. We periodically confirm the accuracy of our estimates with the service providers and make adjustments if necessary. Examples of estimated accrued expenses include:</w:t>
      </w:r>
    </w:p>
    <w:p>
      <w:pPr>
        <w:spacing w:after="0" w:line="189" w:lineRule="exact"/>
        <w:rPr>
          <w:sz w:val="20"/>
          <w:szCs w:val="20"/>
          <w:color w:val="auto"/>
        </w:rPr>
      </w:pPr>
    </w:p>
    <w:p>
      <w:pPr>
        <w:ind w:left="460" w:hanging="224"/>
        <w:spacing w:after="0"/>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CROs in connection with preclinical and toxicology studies and clinical trials;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investigative sites in connection with clinical trials;</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contract manufacturers in connection with the production of our raw materials, drug substance and product candidates; and</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w:t>
      </w:r>
    </w:p>
    <w:p>
      <w:pPr>
        <w:sectPr>
          <w:pgSz w:w="11900" w:h="16838" w:orient="portrait"/>
          <w:cols w:equalWidth="0" w:num="1">
            <w:col w:w="11240"/>
          </w:cols>
          <w:pgMar w:left="320" w:top="121" w:right="339" w:bottom="37" w:gutter="0" w:footer="0" w:header="0"/>
        </w:sectPr>
      </w:pPr>
    </w:p>
    <w:bookmarkStart w:id="108" w:name="page109"/>
    <w:bookmarkEnd w:id="108"/>
    <w:p>
      <w:pPr>
        <w:jc w:val="both"/>
        <w:spacing w:after="0" w:line="254" w:lineRule="auto"/>
        <w:rPr>
          <w:sz w:val="20"/>
          <w:szCs w:val="20"/>
          <w:color w:val="auto"/>
        </w:rPr>
      </w:pPr>
      <w:r>
        <w:rPr>
          <w:rFonts w:ascii="Times New Roman" w:cs="Times New Roman" w:eastAsia="Times New Roman" w:hAnsi="Times New Roman"/>
          <w:sz w:val="18"/>
          <w:szCs w:val="18"/>
          <w:color w:val="auto"/>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record the fair value of stock options issued as of the grant date as compensation expense. We recognize compensation expense over the requisite service period, which is equal to the vesting period. Stock-based compensation expense has been reported in our statements of operations as follows (in thousands):</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40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r>
      <w:tr>
        <w:trPr>
          <w:trHeight w:val="208"/>
        </w:trPr>
        <w:tc>
          <w:tcPr>
            <w:tcW w:w="4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r>
      <w:tr>
        <w:trPr>
          <w:trHeight w:val="208"/>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70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5,819</w:t>
            </w:r>
          </w:p>
        </w:tc>
        <w:tc>
          <w:tcPr>
            <w:tcW w:w="104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2,664</w:t>
            </w:r>
          </w:p>
        </w:tc>
      </w:tr>
      <w:tr>
        <w:trPr>
          <w:trHeight w:val="215"/>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9,087</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3,290</w:t>
            </w:r>
          </w:p>
        </w:tc>
      </w:tr>
      <w:tr>
        <w:trPr>
          <w:trHeight w:val="228"/>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70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14,906</w:t>
            </w:r>
          </w:p>
        </w:tc>
        <w:tc>
          <w:tcPr>
            <w:tcW w:w="104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5,954</w:t>
            </w:r>
          </w:p>
        </w:tc>
      </w:tr>
      <w:tr>
        <w:trPr>
          <w:trHeight w:val="20"/>
        </w:trPr>
        <w:tc>
          <w:tcPr>
            <w:tcW w:w="40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the Fair Value of Stock-Based Compensation Grants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calculate the fair value of stock-based compensation arrangements using the Black-Scholes option-pricing model. The Black-Scholes option-pricing model requires the use of subjective assumptions, including the expected volatility of our common stock, the assumed dividend yield, the expected term of our stock options, the risk-free interest rate for a period that approximates the expected term of our stock options and the fair value of the underlying common stock on the date of grant. In applying these assumptions, we considered the following factors:</w:t>
      </w:r>
    </w:p>
    <w:p>
      <w:pPr>
        <w:spacing w:after="0" w:line="181" w:lineRule="exact"/>
        <w:rPr>
          <w:sz w:val="20"/>
          <w:szCs w:val="20"/>
          <w:color w:val="auto"/>
        </w:rPr>
      </w:pPr>
    </w:p>
    <w:p>
      <w:pPr>
        <w:jc w:val="both"/>
        <w:ind w:left="460" w:hanging="224"/>
        <w:spacing w:after="0" w:line="255" w:lineRule="auto"/>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we have not had sufficient experience to estimate the volatility of our common stock. As such, we calculated the expected volatility based on reported data for selected similar publicly traded companies for which the historical information is available, or peer volatility, and blended it with our historical volatility, or leverage-adjusted peer volatility. For the purpose of identifying peer companies, we consider characteristics such as industry, length of trading history, similar vesting terms and in-the-money option status. We utilized this leverage-adjusted peer volatility for grants prior to the initial public offering, as well as grants within the two-year period immediately following the initial public offering. For grants after the second anniversary of the initial public offering we utilized our historical volatility to determine the expected volatility;</w:t>
      </w:r>
    </w:p>
    <w:p>
      <w:pPr>
        <w:spacing w:after="0" w:line="21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assumed dividend yield is based on our expectation of not paying dividends for the foreseeable future;</w:t>
      </w:r>
    </w:p>
    <w:p>
      <w:pPr>
        <w:spacing w:after="0" w:line="276" w:lineRule="exact"/>
        <w:rPr>
          <w:rFonts w:ascii="Times New Roman" w:cs="Times New Roman" w:eastAsia="Times New Roman" w:hAnsi="Times New Roman"/>
          <w:sz w:val="18"/>
          <w:szCs w:val="18"/>
          <w:color w:val="auto"/>
        </w:rPr>
      </w:pPr>
    </w:p>
    <w:p>
      <w:pPr>
        <w:jc w:val="both"/>
        <w:ind w:left="460" w:hanging="224"/>
        <w:spacing w:after="0" w:line="256" w:lineRule="auto"/>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the average expected life of “plain vanilla” stock options based on the simplified method in accordance with SEC Staff Accounting Bulletin Nos. 107 and 110, as our common stock to date has been publicly traded for a limited amount of time. We expect to use the simplified method until we have sufficient historical exercise data to provide a reasonable basis upon which to estimate expected term. For options that are not considered “plain vanilla,” such as those with exercise prices in excess of the fair market value of the underlying stock, we use an expected life equal to the contractual term of the option;</w:t>
      </w:r>
    </w:p>
    <w:p>
      <w:pPr>
        <w:spacing w:after="0" w:line="212" w:lineRule="exact"/>
        <w:rPr>
          <w:rFonts w:ascii="Times New Roman" w:cs="Times New Roman" w:eastAsia="Times New Roman" w:hAnsi="Times New Roman"/>
          <w:sz w:val="18"/>
          <w:szCs w:val="18"/>
          <w:color w:val="auto"/>
        </w:rPr>
      </w:pPr>
    </w:p>
    <w:p>
      <w:pPr>
        <w:ind w:left="460" w:right="20" w:hanging="224"/>
        <w:spacing w:after="0" w:line="280" w:lineRule="auto"/>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the risk-free interest rate by reference to implied yields available from U.S. Treasury securities with a remaining term equal to the expected life assumed at the date of grant; and</w:t>
      </w:r>
    </w:p>
    <w:p>
      <w:pPr>
        <w:spacing w:after="0" w:line="188"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estimate forfeitures based on our historical analysis of actual stock option forfeitures.</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account for stock-based compensation arrangements with directors and consultants that contain only service conditions for vesting using a fair value approach. The grant date fair value of these options is measured using the Black-Scholes option pricing model reflecting the same assumptions as applied to employee options in each of the reported periods, other than the expected life, which is assumed to be the remaining contractual life of the option.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assumptions used for estimating the fair value of stock options granted to employees for the periods indicated:</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5660" w:type="dxa"/>
            <w:vAlign w:val="bottom"/>
          </w:tcPr>
          <w:p>
            <w:pPr>
              <w:spacing w:after="0"/>
              <w:rPr>
                <w:sz w:val="20"/>
                <w:szCs w:val="20"/>
                <w:color w:val="auto"/>
              </w:rPr>
            </w:pPr>
          </w:p>
        </w:tc>
        <w:tc>
          <w:tcPr>
            <w:tcW w:w="332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2"/>
        </w:trPr>
        <w:tc>
          <w:tcPr>
            <w:tcW w:w="5660" w:type="dxa"/>
            <w:vAlign w:val="bottom"/>
          </w:tcPr>
          <w:p>
            <w:pPr>
              <w:spacing w:after="0"/>
              <w:rPr>
                <w:sz w:val="19"/>
                <w:szCs w:val="19"/>
                <w:color w:val="auto"/>
              </w:rPr>
            </w:pPr>
          </w:p>
        </w:tc>
        <w:tc>
          <w:tcPr>
            <w:tcW w:w="1640" w:type="dxa"/>
            <w:vAlign w:val="bottom"/>
            <w:tcBorders>
              <w:top w:val="single" w:sz="8" w:color="auto"/>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r>
      <w:tr>
        <w:trPr>
          <w:trHeight w:val="208"/>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- 4.50%</w:t>
            </w:r>
          </w:p>
        </w:tc>
        <w:tc>
          <w:tcPr>
            <w:tcW w:w="16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3.34% - 4.79%</w:t>
            </w:r>
          </w:p>
        </w:tc>
        <w:tc>
          <w:tcPr>
            <w:tcW w:w="80" w:type="dxa"/>
            <w:vAlign w:val="bottom"/>
            <w:shd w:val="clear" w:color="auto" w:fill="CCEEFF"/>
          </w:tcPr>
          <w:p>
            <w:pPr>
              <w:spacing w:after="0"/>
              <w:rPr>
                <w:sz w:val="18"/>
                <w:szCs w:val="18"/>
                <w:color w:val="auto"/>
              </w:rPr>
            </w:pPr>
          </w:p>
        </w:tc>
      </w:tr>
      <w:tr>
        <w:trPr>
          <w:trHeight w:val="215"/>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- 6.25</w:t>
            </w:r>
          </w:p>
        </w:tc>
        <w:tc>
          <w:tcPr>
            <w:tcW w:w="16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5.50 - 10.00</w:t>
            </w:r>
          </w:p>
        </w:tc>
        <w:tc>
          <w:tcPr>
            <w:tcW w:w="80" w:type="dxa"/>
            <w:vAlign w:val="bottom"/>
          </w:tcPr>
          <w:p>
            <w:pPr>
              <w:spacing w:after="0"/>
              <w:rPr>
                <w:sz w:val="18"/>
                <w:szCs w:val="18"/>
                <w:color w:val="auto"/>
              </w:rPr>
            </w:pPr>
          </w:p>
        </w:tc>
      </w:tr>
      <w:tr>
        <w:trPr>
          <w:trHeight w:val="21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- 91.32%</w:t>
            </w:r>
          </w:p>
        </w:tc>
        <w:tc>
          <w:tcPr>
            <w:tcW w:w="16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89.48% - 93.67%</w:t>
            </w:r>
          </w:p>
        </w:tc>
        <w:tc>
          <w:tcPr>
            <w:tcW w:w="80" w:type="dxa"/>
            <w:vAlign w:val="bottom"/>
            <w:shd w:val="clear" w:color="auto" w:fill="CCEEFF"/>
          </w:tcPr>
          <w:p>
            <w:pPr>
              <w:spacing w:after="0"/>
              <w:rPr>
                <w:sz w:val="18"/>
                <w:szCs w:val="18"/>
                <w:color w:val="auto"/>
              </w:rPr>
            </w:pP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60" w:type="dxa"/>
            <w:vAlign w:val="bottom"/>
          </w:tcPr>
          <w:p>
            <w:pPr>
              <w:spacing w:after="0"/>
              <w:rPr>
                <w:sz w:val="20"/>
                <w:szCs w:val="20"/>
                <w:color w:val="auto"/>
              </w:rPr>
            </w:pP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0</w:t>
            </w:r>
          </w:p>
        </w:tc>
        <w:tc>
          <w:tcPr>
            <w:tcW w:w="16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0"/>
                <w:szCs w:val="20"/>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Utilization of Net Operating Loss Carryforwards and Research and Development Credits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we had federal net operating loss, or NOL, carryforwards of approximately $381.3 million, $118.5 million of which, if not utilized, will begin to expire in 2027 and $262.8 million of which have no expiration date. We also have certain state net operating loss carryforwards totaling $428.6 million, which, if not utilized, will begin to expire in 2027. We also have Denmark net operating loss carryforwards totaling $7.7 million which have an indefinite carryforward period in Denmark. The Company recorded refundable research and development tax credit as other income and not income tax under ASC 740 in the consolidated statement of operations for the year ended December 31, 2024. These refundable tax credits are a result of increased qualified research and development spending in certain jurisdictions which allow for a refundable credit even when the Company has no current period income tax expense.</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Section 382 of the Code, a change in equity ownership of greater than 50% within a three-year period results in an annual limitation on a company’s ability to utilize its NOL carryforwards created during the tax periods prior to the change in ownership. We performed a Section 382 ownership change analysis in 2017 and determined that we experienced an ownership change in 2010, which resulted in a portion of our net operating loss carryforwards being subject to an annual limitation under Section 382 through 2012. No other ownership changes or limitations on our historical net operating loss carryforwards were noted through the year ended December 31, 2017. In addition, we may have already experienced an ownership change, or may experience an ownership changes in the future, as a result of shifts in our stock ownership. If we determine that an ownership change has occurred and our ability to use our historical net operating loss carryforwards is materially limited, it would harm our future operating results by increasing our future tax obligations.</w:t>
      </w:r>
    </w:p>
    <w:p>
      <w:pPr>
        <w:sectPr>
          <w:pgSz w:w="11900" w:h="16838" w:orient="portrait"/>
          <w:cols w:equalWidth="0" w:num="1">
            <w:col w:w="11240"/>
          </w:cols>
          <w:pgMar w:left="320" w:top="121" w:right="339" w:bottom="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10" w:name="page111"/>
    <w:bookmarkEnd w:id="11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7"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We account for warrants as either equity-classified or liability-classified instruments based on an assessment of the warrant’s specific terms and applicable authoritative guidance in FASB ASC Topic 480, Distinguishing Liabilities from Equity (ASC 480) and FASB ASC Topic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our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6"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For warrants that meet all criteria for equity classification, the warrants are required to be recorded as a component of additional paid-in capital, on the consolidated statement of stockholders’ deficit at the time of issuance. For warrants that do not meet all the criteria for equity classification, the warrants are required to be recorded at their initial fair value on the date of issuance, and on each balance sheet date thereafter. Changes in the estimated fair value of the warrants are recognized as a non-cash gain or loss in other expense, net, on the consolidated statement of operations. The fair value of the warrants was estimated using the Black-Scholes option pricing model.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right="4120"/>
        <w:spacing w:after="0" w:line="284" w:lineRule="auto"/>
        <w:rPr>
          <w:sz w:val="20"/>
          <w:szCs w:val="20"/>
          <w:color w:val="auto"/>
        </w:rPr>
      </w:pPr>
      <w:r>
        <w:rPr>
          <w:rFonts w:ascii="Times New Roman" w:cs="Times New Roman" w:eastAsia="Times New Roman" w:hAnsi="Times New Roman"/>
          <w:sz w:val="18"/>
          <w:szCs w:val="18"/>
          <w:b w:val="1"/>
          <w:bCs w:val="1"/>
          <w:color w:val="auto"/>
        </w:rPr>
        <w:t>ITEM QUANTITATIVE AND QUALITATIVE DISCLOSURES ABOUT MARKET RISK 7A.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required by this Item 8 are set forth beginning in Item 15 of this report and are incorporated herein by reference.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w:t>
        <w:tab/>
        <w:t>CONTROLS AND PROCEDURES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operated, can provide only reasonable assurance of achieving the desired control objectives. In addition, the design of disclosure controls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procedures must reflect the fact that there are resource constraints and that management is required to apply judgment in evaluating the benefits of possible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controls and procedures relative to their costs.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defined in Rules 13a-15(e) and 15d-15(e) under the Exchange Act) as of December 31, 2024. Based on the evaluation of our disclosure controls and procedures as of December 31, 2024, our chief executive officer and our chief financial officer concluded that, as of such date, our disclosure controls and procedures were effective at the reasonable assurance level.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our financial reporting, as such term is defined in Rules 13a-15(f) and 15d-15(e) under the Exchange Act. Under the supervision and with the participation of our management, including our chief executive officer and chief financial officer, we conducted an evaluation of the effectiveness of our internal control over financial reporting. Management has used the framework set forth in the report entitled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published by the Committee of Sponsoring Organizations of the Treadway Commission to evaluate the effectiveness of our internal control over financial reporting. Based on its evaluation, management has concluded that our internal control over financial reporting was effective as of December 31, 2024.</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independent registered public accounting firm has not performed an evaluation of our internal control over financial reporting during any period in accordance with the provisions of the Sarbanes-Oxley Act. For as long as we remain a non-accelerated filer, we intend to take advantage of the exemption permitting us not to comply with the requirement that our independent registered public accounting firm provide an attestation on the effectiveness of our internal control over financial reporting.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Rules 13a-15(d) and 15d-15(d) of the Exchange Act that occurred during our fiscal quarter ended December 31, 2024, that materially affected, or is reasonably likely to materially affect, our internal control over financial reporting.</w:t>
      </w:r>
    </w:p>
    <w:p>
      <w:pPr>
        <w:spacing w:after="0" w:line="200" w:lineRule="exact"/>
        <w:rPr>
          <w:sz w:val="20"/>
          <w:szCs w:val="20"/>
          <w:color w:val="auto"/>
        </w:rPr>
      </w:pPr>
    </w:p>
    <w:p>
      <w:pPr>
        <w:spacing w:after="0" w:line="21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w:t>
        <w:tab/>
        <w:t>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9B.</w:t>
      </w:r>
    </w:p>
    <w:p>
      <w:pPr>
        <w:spacing w:after="0" w:line="20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(a) Disclosure in lieu of reporting on a Current Report on Form 8-K.</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Insider Trading Arrangements and Policies.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During the three-months ended December 31, 2024,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pacing w:after="0" w:line="200" w:lineRule="exact"/>
        <w:rPr>
          <w:sz w:val="20"/>
          <w:szCs w:val="20"/>
          <w:color w:val="auto"/>
        </w:rPr>
      </w:pPr>
    </w:p>
    <w:p>
      <w:pPr>
        <w:spacing w:after="0" w:line="215" w:lineRule="exact"/>
        <w:rPr>
          <w:sz w:val="20"/>
          <w:szCs w:val="20"/>
          <w:color w:val="auto"/>
        </w:rPr>
      </w:pPr>
    </w:p>
    <w:p>
      <w:pPr>
        <w:ind w:right="3100"/>
        <w:spacing w:after="0" w:line="284" w:lineRule="auto"/>
        <w:rPr>
          <w:sz w:val="20"/>
          <w:szCs w:val="20"/>
          <w:color w:val="auto"/>
        </w:rPr>
      </w:pPr>
      <w:r>
        <w:rPr>
          <w:rFonts w:ascii="Times New Roman" w:cs="Times New Roman" w:eastAsia="Times New Roman" w:hAnsi="Times New Roman"/>
          <w:sz w:val="18"/>
          <w:szCs w:val="18"/>
          <w:b w:val="1"/>
          <w:bCs w:val="1"/>
          <w:color w:val="auto"/>
        </w:rPr>
        <w:t>ITEM DISCLOSURES REGARDING FOREIGN JURISDICTIONS THAT PREVENT INSPECTIONS 9C.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3" w:lineRule="exact"/>
        <w:rPr>
          <w:sz w:val="20"/>
          <w:szCs w:val="20"/>
          <w:color w:val="auto"/>
        </w:rPr>
      </w:pPr>
    </w:p>
    <w:p>
      <w:pPr>
        <w:ind w:right="4440"/>
        <w:spacing w:after="0" w:line="284" w:lineRule="auto"/>
        <w:rPr>
          <w:sz w:val="20"/>
          <w:szCs w:val="20"/>
          <w:color w:val="auto"/>
        </w:rPr>
      </w:pPr>
      <w:r>
        <w:rPr>
          <w:rFonts w:ascii="Times New Roman" w:cs="Times New Roman" w:eastAsia="Times New Roman" w:hAnsi="Times New Roman"/>
          <w:sz w:val="18"/>
          <w:szCs w:val="18"/>
          <w:b w:val="1"/>
          <w:bCs w:val="1"/>
          <w:color w:val="auto"/>
        </w:rPr>
        <w:t>ITEM DIRECTORS, EXECUTIVE OFFICERS AND CORPORATE GOVERNANCE 10.</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information required by this Item 10 will be set forth in the headings “Proposal 1 – Election of Directors,” “Executive Officers” and “Information Regarding the Board of Directors and Corporate Governance” and “Delinquent Section 16(a) Reports” in our definitive proxy statement for our 2025 annual meeting of stockholders, or the proxy statement, and, is incorporated herein by reference.</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or the Code of Conduct, applicable to all of our employees, executive officers and directors, including our principal executive officer, principal financial officer, principal accounting officer or controller, or persons performing similar functions. The Code of Conduct is available on our website at </w:t>
      </w:r>
      <w:r>
        <w:rPr>
          <w:rFonts w:ascii="Times New Roman" w:cs="Times New Roman" w:eastAsia="Times New Roman" w:hAnsi="Times New Roman"/>
          <w:sz w:val="18"/>
          <w:szCs w:val="18"/>
          <w:u w:val="single" w:color="auto"/>
          <w:color w:val="auto"/>
        </w:rPr>
        <w:t>www.zevra.com</w:t>
      </w:r>
      <w:r>
        <w:rPr>
          <w:rFonts w:ascii="Times New Roman" w:cs="Times New Roman" w:eastAsia="Times New Roman" w:hAnsi="Times New Roman"/>
          <w:sz w:val="18"/>
          <w:szCs w:val="18"/>
          <w:color w:val="auto"/>
          <w:highlight w:val="white"/>
        </w:rPr>
        <w:t>. The no</w:t>
      </w:r>
      <w:r>
        <w:rPr>
          <w:rFonts w:ascii="Times New Roman" w:cs="Times New Roman" w:eastAsia="Times New Roman" w:hAnsi="Times New Roman"/>
          <w:sz w:val="18"/>
          <w:szCs w:val="18"/>
          <w:color w:val="auto"/>
        </w:rPr>
        <w:t>minating and corporate governance committee of our board of directors is responsible for overseeing the Code of Conduct and must approve any waivers of the Code of Conduct for employees, executive officers and directors. We intend to post any amendments to the Code of Conduct or any waivers of its requirements for any executive officer or director on our website.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information required by this Item 11 will be set forth under the headings “Executive Compensation”, “Director Compensation” and “Information Regarding the Board of Directors and Corporate Governance” in our proxy statement and is incorporated herein by reference.</w:t>
      </w:r>
    </w:p>
    <w:p>
      <w:pPr>
        <w:spacing w:after="0" w:line="158"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w:t>
      </w:r>
    </w:p>
    <w:p>
      <w:pPr>
        <w:spacing w:after="0" w:line="22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information required by this Item 12 will be set forth under the headings “Security Ownership of Certain Beneficial Owners and Management” and “Securities Authorized for Issuance under the Equity Compensation Plans” in the proxy statement and is incorporated herein by reference.</w:t>
      </w:r>
    </w:p>
    <w:p>
      <w:pPr>
        <w:spacing w:after="0" w:line="158" w:lineRule="exact"/>
        <w:rPr>
          <w:sz w:val="20"/>
          <w:szCs w:val="20"/>
          <w:color w:val="auto"/>
        </w:rPr>
      </w:pPr>
    </w:p>
    <w:p>
      <w:pPr>
        <w:ind w:right="2480"/>
        <w:spacing w:after="0" w:line="284" w:lineRule="auto"/>
        <w:rPr>
          <w:sz w:val="20"/>
          <w:szCs w:val="20"/>
          <w:color w:val="auto"/>
        </w:rPr>
      </w:pPr>
      <w:r>
        <w:rPr>
          <w:rFonts w:ascii="Times New Roman" w:cs="Times New Roman" w:eastAsia="Times New Roman" w:hAnsi="Times New Roman"/>
          <w:sz w:val="18"/>
          <w:szCs w:val="18"/>
          <w:b w:val="1"/>
          <w:bCs w:val="1"/>
          <w:color w:val="auto"/>
        </w:rPr>
        <w:t>ITEM CERTAIN RELATIONSHIPS AND RELATED TRANSACTIONS, AND DIRECTOR INDEPENDENCE 13.</w:t>
      </w:r>
    </w:p>
    <w:p>
      <w:pPr>
        <w:spacing w:after="0" w:line="15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items required by this Item 13 will be set forth under the headings “Information Regarding the Board of Directors and Corporate Governance” and “Transactions with Related Persons” in the proxy statement and is incorporated herein by reference.</w:t>
      </w:r>
    </w:p>
    <w:p>
      <w:pPr>
        <w:spacing w:after="0" w:line="15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w:t>
        <w:tab/>
        <w:t>PRINCIPAL ACCOUNTING FEES AND SERVICES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w:t>
      </w:r>
    </w:p>
    <w:p>
      <w:pPr>
        <w:spacing w:after="0" w:line="20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The information required by this Item 14 will be set forth under the proposal with the heading “Proposal 2 - Ratification of Appointment of Independent Registered Public Accounting Firm” in the proxy statement and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97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2"/>
        </w:trPr>
        <w:tc>
          <w:tcPr>
            <w:tcW w:w="4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760" w:type="dxa"/>
            <w:vAlign w:val="bottom"/>
            <w:gridSpan w:val="6"/>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ITEM</w:t>
            </w:r>
          </w:p>
        </w:tc>
        <w:tc>
          <w:tcPr>
            <w:tcW w:w="922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SCHEDULES</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9220" w:type="dxa"/>
            <w:vAlign w:val="bottom"/>
            <w:gridSpan w:val="11"/>
            <w:vMerge w:val="continue"/>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9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480" w:type="dxa"/>
            <w:vAlign w:val="bottom"/>
          </w:tcPr>
          <w:p>
            <w:pPr>
              <w:spacing w:after="0"/>
              <w:rPr>
                <w:sz w:val="24"/>
                <w:szCs w:val="24"/>
                <w:color w:val="auto"/>
              </w:rPr>
            </w:pPr>
          </w:p>
        </w:tc>
        <w:tc>
          <w:tcPr>
            <w:tcW w:w="92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Index list to Financial Statements:</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940" w:type="dxa"/>
            <w:vAlign w:val="bottom"/>
            <w:gridSpan w:val="10"/>
            <w:vMerge w:val="restart"/>
          </w:tcPr>
          <w:p>
            <w:pPr>
              <w:ind w:left="60"/>
              <w:spacing w:after="0"/>
              <w:rPr>
                <w:sz w:val="20"/>
                <w:szCs w:val="20"/>
                <w:color w:val="auto"/>
              </w:rPr>
            </w:pPr>
            <w:r>
              <w:rPr>
                <w:rFonts w:ascii="Times New Roman" w:cs="Times New Roman" w:eastAsia="Times New Roman" w:hAnsi="Times New Roman"/>
                <w:sz w:val="18"/>
                <w:szCs w:val="18"/>
                <w:color w:val="0000EE"/>
              </w:rPr>
              <w:t xml:space="preserve">Report of EY US LLP </w:t>
            </w:r>
            <w:r>
              <w:rPr>
                <w:rFonts w:ascii="Times New Roman" w:cs="Times New Roman" w:eastAsia="Times New Roman" w:hAnsi="Times New Roman"/>
                <w:sz w:val="18"/>
                <w:szCs w:val="18"/>
                <w:color w:val="000000"/>
              </w:rPr>
              <w:t>(PCAOB ID:42)</w:t>
            </w:r>
          </w:p>
        </w:tc>
        <w:tc>
          <w:tcPr>
            <w:tcW w:w="154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8"/>
        </w:trPr>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940" w:type="dxa"/>
            <w:vAlign w:val="bottom"/>
            <w:gridSpan w:val="10"/>
            <w:vMerge w:val="continue"/>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8880" w:type="dxa"/>
            <w:vAlign w:val="bottom"/>
            <w:gridSpan w:val="9"/>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700" w:type="dxa"/>
            <w:vAlign w:val="bottom"/>
            <w:gridSpan w:val="3"/>
            <w:shd w:val="clear" w:color="auto" w:fill="CCEEFF"/>
          </w:tcPr>
          <w:p>
            <w:pPr>
              <w:jc w:val="center"/>
              <w:ind w:left="430"/>
              <w:spacing w:after="0" w:line="175" w:lineRule="exact"/>
              <w:rPr>
                <w:sz w:val="20"/>
                <w:szCs w:val="20"/>
                <w:color w:val="auto"/>
              </w:rPr>
            </w:pPr>
            <w:r>
              <w:rPr>
                <w:rFonts w:ascii="Times New Roman" w:cs="Times New Roman" w:eastAsia="Times New Roman" w:hAnsi="Times New Roman"/>
                <w:sz w:val="18"/>
                <w:szCs w:val="18"/>
                <w:color w:val="0000EE"/>
                <w:w w:val="99"/>
              </w:rPr>
              <w:t>99</w:t>
            </w: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8880" w:type="dxa"/>
            <w:vAlign w:val="bottom"/>
            <w:gridSpan w:val="9"/>
          </w:tcPr>
          <w:p>
            <w:pPr>
              <w:spacing w:after="0" w:line="175"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2024, and 2023</w:t>
            </w:r>
          </w:p>
        </w:tc>
        <w:tc>
          <w:tcPr>
            <w:tcW w:w="122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6"/>
              </w:rPr>
              <w:t>100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7140" w:type="dxa"/>
            <w:vAlign w:val="bottom"/>
            <w:gridSpan w:val="7"/>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9"/>
              </w:rPr>
              <w:t>Consolidated Statements of Comprehensive Loss for the years ended December 31, 2024, and 2023</w:t>
            </w:r>
          </w:p>
        </w:tc>
        <w:tc>
          <w:tcPr>
            <w:tcW w:w="1740" w:type="dxa"/>
            <w:vAlign w:val="bottom"/>
            <w:gridSpan w:val="2"/>
            <w:shd w:val="clear" w:color="auto" w:fill="CCEEFF"/>
          </w:tcPr>
          <w:p>
            <w:pPr>
              <w:spacing w:after="0"/>
              <w:rPr>
                <w:sz w:val="15"/>
                <w:szCs w:val="15"/>
                <w:color w:val="auto"/>
              </w:rPr>
            </w:pPr>
          </w:p>
        </w:tc>
        <w:tc>
          <w:tcPr>
            <w:tcW w:w="122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6"/>
              </w:rPr>
              <w:t>100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8880" w:type="dxa"/>
            <w:vAlign w:val="bottom"/>
            <w:gridSpan w:val="9"/>
          </w:tcPr>
          <w:p>
            <w:pPr>
              <w:spacing w:after="0" w:line="175"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for the years ended December 31, 2024, and 2023</w:t>
            </w:r>
          </w:p>
        </w:tc>
        <w:tc>
          <w:tcPr>
            <w:tcW w:w="122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6"/>
              </w:rPr>
              <w:t>102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8880" w:type="dxa"/>
            <w:vAlign w:val="bottom"/>
            <w:gridSpan w:val="9"/>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and 2023</w:t>
            </w:r>
          </w:p>
        </w:tc>
        <w:tc>
          <w:tcPr>
            <w:tcW w:w="122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6"/>
              </w:rPr>
              <w:t>103</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6460" w:type="dxa"/>
            <w:vAlign w:val="bottom"/>
            <w:gridSpan w:val="6"/>
          </w:tcPr>
          <w:p>
            <w:pPr>
              <w:spacing w:after="0" w:line="175"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420" w:type="dxa"/>
            <w:vAlign w:val="bottom"/>
            <w:gridSpan w:val="3"/>
          </w:tcPr>
          <w:p>
            <w:pPr>
              <w:spacing w:after="0"/>
              <w:rPr>
                <w:sz w:val="15"/>
                <w:szCs w:val="15"/>
                <w:color w:val="auto"/>
              </w:rPr>
            </w:pPr>
          </w:p>
        </w:tc>
        <w:tc>
          <w:tcPr>
            <w:tcW w:w="122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8"/>
                <w:szCs w:val="18"/>
                <w:color w:val="0000EE"/>
                <w:w w:val="96"/>
              </w:rPr>
              <w:t>104</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1"/>
        </w:trPr>
        <w:tc>
          <w:tcPr>
            <w:tcW w:w="48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3120" w:type="dxa"/>
            <w:vAlign w:val="bottom"/>
            <w:tcBorders>
              <w:top w:val="single" w:sz="8" w:color="0000EE"/>
            </w:tcBorders>
            <w:gridSpan w:val="3"/>
          </w:tcPr>
          <w:p>
            <w:pPr>
              <w:ind w:left="60"/>
              <w:spacing w:after="0"/>
              <w:rPr>
                <w:sz w:val="20"/>
                <w:szCs w:val="20"/>
                <w:color w:val="auto"/>
              </w:rPr>
            </w:pPr>
            <w:r>
              <w:rPr>
                <w:rFonts w:ascii="Times New Roman" w:cs="Times New Roman" w:eastAsia="Times New Roman" w:hAnsi="Times New Roman"/>
                <w:sz w:val="18"/>
                <w:szCs w:val="18"/>
                <w:i w:val="1"/>
                <w:iCs w:val="1"/>
                <w:color w:val="auto"/>
              </w:rPr>
              <w:t>Financial Statement Schedules</w:t>
            </w:r>
          </w:p>
        </w:tc>
        <w:tc>
          <w:tcPr>
            <w:tcW w:w="576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20" w:type="dxa"/>
            <w:vAlign w:val="bottom"/>
            <w:gridSpan w:val="15"/>
          </w:tcPr>
          <w:p>
            <w:pPr>
              <w:ind w:left="40"/>
              <w:spacing w:after="0"/>
              <w:rPr>
                <w:sz w:val="20"/>
                <w:szCs w:val="20"/>
                <w:color w:val="auto"/>
              </w:rPr>
            </w:pPr>
            <w:r>
              <w:rPr>
                <w:rFonts w:ascii="Times New Roman" w:cs="Times New Roman" w:eastAsia="Times New Roman" w:hAnsi="Times New Roman"/>
                <w:sz w:val="18"/>
                <w:szCs w:val="18"/>
                <w:color w:val="auto"/>
                <w:w w:val="99"/>
              </w:rPr>
              <w:t>All other schedules are omitted because they are not required or the required information is included in the financial statements or notes thereto.</w:t>
            </w:r>
          </w:p>
        </w:tc>
        <w:tc>
          <w:tcPr>
            <w:tcW w:w="0" w:type="dxa"/>
            <w:vAlign w:val="bottom"/>
          </w:tcPr>
          <w:p>
            <w:pPr>
              <w:spacing w:after="0"/>
              <w:rPr>
                <w:sz w:val="1"/>
                <w:szCs w:val="1"/>
                <w:color w:val="auto"/>
              </w:rPr>
            </w:pPr>
          </w:p>
        </w:tc>
      </w:tr>
      <w:tr>
        <w:trPr>
          <w:trHeight w:val="430"/>
        </w:trPr>
        <w:tc>
          <w:tcPr>
            <w:tcW w:w="48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4"/>
                <w:szCs w:val="24"/>
                <w:color w:val="auto"/>
              </w:rPr>
            </w:pPr>
          </w:p>
        </w:tc>
        <w:tc>
          <w:tcPr>
            <w:tcW w:w="8880" w:type="dxa"/>
            <w:vAlign w:val="bottom"/>
            <w:gridSpan w:val="9"/>
          </w:tcPr>
          <w:p>
            <w:pPr>
              <w:ind w:left="60"/>
              <w:spacing w:after="0"/>
              <w:rPr>
                <w:sz w:val="20"/>
                <w:szCs w:val="20"/>
                <w:color w:val="auto"/>
              </w:rPr>
            </w:pPr>
            <w:r>
              <w:rPr>
                <w:rFonts w:ascii="Times New Roman" w:cs="Times New Roman" w:eastAsia="Times New Roman" w:hAnsi="Times New Roman"/>
                <w:sz w:val="18"/>
                <w:szCs w:val="18"/>
                <w:i w:val="1"/>
                <w:iCs w:val="1"/>
                <w:color w:val="auto"/>
              </w:rPr>
              <w:t>Exhibits</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8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report.</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60" w:type="dxa"/>
            <w:vAlign w:val="bottom"/>
            <w:gridSpan w:val="6"/>
          </w:tcPr>
          <w:p>
            <w:pPr>
              <w:jc w:val="right"/>
              <w:ind w:right="1500"/>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 the Stockholders and the Board of Directors of Zevra Therapeutics, Inc.</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jc w:val="both"/>
        <w:ind w:left="160"/>
        <w:spacing w:after="0" w:line="275"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Zevra Therapeutics, Inc. (the Company) as of December 31, 2024 and 2023, the related consolidated statements of operations, comprehensive loss, changes in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1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7"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6"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7"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18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31" w:lineRule="exact"/>
        <w:rPr>
          <w:sz w:val="20"/>
          <w:szCs w:val="20"/>
          <w:color w:val="auto"/>
        </w:rPr>
      </w:pPr>
    </w:p>
    <w:p>
      <w:pPr>
        <w:jc w:val="both"/>
        <w:ind w:left="2180" w:hanging="2176"/>
        <w:spacing w:after="0" w:line="250" w:lineRule="auto"/>
        <w:tabs>
          <w:tab w:leader="none" w:pos="216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At December 31, 2024, the Company had a definite-lived intangible asset related to the acquisition of OLPRUVA of $61.3 million. As discussed in Notes B and S to the consolidated financial statements, the Company periodically evaluates whether events and circumstances have occurred that may affect the recoverability of the remaining balance of such asset. During the year ended December 31, 2024, management considered events or circumstances that would indicate that the carrying amount of this asset may not be recoverable, and prepared an estimate of the future cash flows expected to result from the use of the asset and their eventual disposition. This analysis yielded a conclusion that the asset was recoverable as of December 31, 2024 and no impairment was recorded as of and for the year then ended.</w:t>
      </w:r>
    </w:p>
    <w:p>
      <w:pPr>
        <w:spacing w:after="0" w:line="192" w:lineRule="exact"/>
        <w:rPr>
          <w:sz w:val="20"/>
          <w:szCs w:val="20"/>
          <w:color w:val="auto"/>
        </w:rPr>
      </w:pPr>
    </w:p>
    <w:p>
      <w:pPr>
        <w:jc w:val="both"/>
        <w:ind w:left="2180"/>
        <w:spacing w:after="0" w:line="256" w:lineRule="auto"/>
        <w:rPr>
          <w:sz w:val="20"/>
          <w:szCs w:val="20"/>
          <w:color w:val="auto"/>
        </w:rPr>
      </w:pPr>
      <w:r>
        <w:rPr>
          <w:rFonts w:ascii="Times New Roman" w:cs="Times New Roman" w:eastAsia="Times New Roman" w:hAnsi="Times New Roman"/>
          <w:sz w:val="18"/>
          <w:szCs w:val="18"/>
          <w:color w:val="auto"/>
        </w:rPr>
        <w:t>Auditing the Company's recoverability analysis for its definite-lived intangible asset related to the acquisition of OLPRUVA was complex due to the significant estimation uncertainty pertaining to the significant assumption of forecasted revenues used in management’s analysis. The significant estimation uncertainty was primarily due to the lack of historical revenue experience observed during the course of the year ended December 31, 2024. This significant assumption is forward-looking and could be affected by future economic and market conditions.</w:t>
      </w:r>
    </w:p>
    <w:p>
      <w:pPr>
        <w:spacing w:after="0" w:line="184" w:lineRule="exact"/>
        <w:rPr>
          <w:sz w:val="20"/>
          <w:szCs w:val="20"/>
          <w:color w:val="auto"/>
        </w:rPr>
      </w:pPr>
    </w:p>
    <w:p>
      <w:pPr>
        <w:spacing w:after="0"/>
        <w:tabs>
          <w:tab w:leader="none" w:pos="216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To test the recoverability analysis for its definite-lived intangible asset related to the acquisition of OLPRUVA, our audit</w:t>
      </w:r>
    </w:p>
    <w:p>
      <w:pPr>
        <w:spacing w:after="0" w:line="29" w:lineRule="exact"/>
        <w:rPr>
          <w:sz w:val="20"/>
          <w:szCs w:val="20"/>
          <w:color w:val="auto"/>
        </w:rPr>
      </w:pPr>
    </w:p>
    <w:p>
      <w:pPr>
        <w:ind w:left="2180" w:right="140" w:hanging="2176"/>
        <w:spacing w:after="0" w:line="251" w:lineRule="auto"/>
        <w:tabs>
          <w:tab w:leader="none" w:pos="216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procedures included, among others, evaluating the prospective financial information (“PFI”) used in management’s analysis, testing the completeness and accuracy of the underlying data and evaluating the Company’s use of appropriate impairment evaluation methodologies. Our procedures to assess the PFI used in the analysis, included, among others, evaluating the significant assumption discussed above, by comparing it to industry and economic publications and trends, analyst reports, and other objective sources.</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Orlando, Florida</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March 12, 2025</w:t>
      </w:r>
    </w:p>
    <w:p>
      <w:pPr>
        <w:sectPr>
          <w:pgSz w:w="11900" w:h="16838" w:orient="portrait"/>
          <w:cols w:equalWidth="0" w:num="1">
            <w:col w:w="11240"/>
          </w:cols>
          <w:pgMar w:left="320" w:top="121" w:right="339" w:bottom="1093" w:gutter="0" w:footer="0" w:header="0"/>
        </w:sectPr>
      </w:pP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29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093"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62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ZEVRA THERAPEUTICS, INC.</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2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par value amounts)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6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33,785</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at fair value, current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35,711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10,509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current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86,027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86,938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at fair value, noncurrent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noncurrent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10,999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68,993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69,227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8"/>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178,127</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25,456</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 of credit payable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discount and rebate liabilities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4,989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59,504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and warrant liability</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payable, noncurrent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14,431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and rebate liabilities, less current portion</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7,655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4,630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138,461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110,463</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K)</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80" w:type="dxa"/>
            <w:vAlign w:val="bottom"/>
            <w:gridSpan w:val="2"/>
          </w:tcPr>
          <w:p>
            <w:pPr>
              <w:ind w:left="640"/>
              <w:spacing w:after="0" w:line="197" w:lineRule="exact"/>
              <w:rPr>
                <w:sz w:val="20"/>
                <w:szCs w:val="20"/>
                <w:color w:val="auto"/>
              </w:rPr>
            </w:pPr>
            <w:r>
              <w:rPr>
                <w:rFonts w:ascii="Times New Roman" w:cs="Times New Roman" w:eastAsia="Times New Roman" w:hAnsi="Times New Roman"/>
                <w:sz w:val="18"/>
                <w:szCs w:val="18"/>
                <w:color w:val="auto"/>
              </w:rPr>
              <w:t>Undesignated preferred stock, $0.0001 par value, 10,000,000 shares authorized, no shares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issued or outstanding as of December 31, 2024 or December 31, 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8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Common stock, $0.0001 par value, 250,000,000 shares authorized, 55,246,401 shares issued and 53,670,709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as of December 31, 2024; 43,110,360 shares issued and 41,534,668 shares outstanding as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December 31, 2023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555,302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472,664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(505,289)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39,666</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61,864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178,127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172,327</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40"/>
          </w:cols>
          <w:pgMar w:left="320" w:top="107"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74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ZEVRA THERAPEUTICS, INC.</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4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4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6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23,612</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27,461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0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Cost of product revenue (excluding $6,235 and $772 in intangible asset amortization for the years ended</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2024, and 2023, respectively, shown separately below)</w:t>
            </w:r>
          </w:p>
        </w:tc>
        <w:tc>
          <w:tcPr>
            <w:tcW w:w="3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54,868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34,314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96,963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(87,003)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adjustment related to warrant and CVR liability</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(46,049)</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674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of common stock:</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46,251,239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35,452,460</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0"/>
        </w:trPr>
        <w:tc>
          <w:tcPr>
            <w:tcW w:w="128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54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ZEVRA THERAPEUTICS, INC.</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COMPREHENSIVE LOSS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4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3"/>
        </w:trPr>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603"/>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8"/>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4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(105,511)</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(46,049)</w:t>
            </w:r>
          </w:p>
        </w:tc>
        <w:tc>
          <w:tcPr>
            <w:tcW w:w="0" w:type="dxa"/>
            <w:vAlign w:val="bottom"/>
          </w:tcPr>
          <w:p>
            <w:pPr>
              <w:spacing w:after="0"/>
              <w:rPr>
                <w:sz w:val="1"/>
                <w:szCs w:val="1"/>
                <w:color w:val="auto"/>
              </w:rPr>
            </w:pPr>
          </w:p>
        </w:tc>
      </w:tr>
      <w:tr>
        <w:trPr>
          <w:trHeight w:val="215"/>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0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155"/>
        </w:trPr>
        <w:tc>
          <w:tcPr>
            <w:tcW w:w="29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spacing w:after="0" w:line="15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67"/>
        </w:trPr>
        <w:tc>
          <w:tcPr>
            <w:tcW w:w="2980" w:type="dxa"/>
            <w:vAlign w:val="bottom"/>
            <w:gridSpan w:val="2"/>
            <w:vMerge w:val="continue"/>
          </w:tcPr>
          <w:p>
            <w:pPr>
              <w:spacing w:after="0"/>
              <w:rPr>
                <w:sz w:val="5"/>
                <w:szCs w:val="5"/>
                <w:color w:val="auto"/>
              </w:rPr>
            </w:pPr>
          </w:p>
        </w:tc>
        <w:tc>
          <w:tcPr>
            <w:tcW w:w="50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jc w:val="right"/>
              <w:ind w:right="23"/>
              <w:spacing w:after="0" w:line="68" w:lineRule="exact"/>
              <w:rPr>
                <w:sz w:val="20"/>
                <w:szCs w:val="20"/>
                <w:color w:val="auto"/>
              </w:rPr>
            </w:pPr>
            <w:r>
              <w:rPr>
                <w:rFonts w:ascii="Times New Roman" w:cs="Times New Roman" w:eastAsia="Times New Roman" w:hAnsi="Times New Roman"/>
                <w:sz w:val="7"/>
                <w:szCs w:val="7"/>
                <w:color w:val="auto"/>
              </w:rPr>
              <w:t>(156</w:t>
            </w:r>
          </w:p>
        </w:tc>
        <w:tc>
          <w:tcPr>
            <w:tcW w:w="0" w:type="dxa"/>
            <w:vAlign w:val="bottom"/>
          </w:tcPr>
          <w:p>
            <w:pPr>
              <w:spacing w:after="0"/>
              <w:rPr>
                <w:sz w:val="1"/>
                <w:szCs w:val="1"/>
                <w:color w:val="auto"/>
              </w:rPr>
            </w:pPr>
          </w:p>
        </w:tc>
      </w:tr>
      <w:tr>
        <w:trPr>
          <w:trHeight w:val="289"/>
        </w:trPr>
        <w:tc>
          <w:tcPr>
            <w:tcW w:w="2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50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249" w:lineRule="exact"/>
              <w:rPr>
                <w:sz w:val="20"/>
                <w:szCs w:val="20"/>
                <w:color w:val="auto"/>
              </w:rPr>
            </w:pPr>
            <w:r>
              <w:rPr>
                <w:rFonts w:ascii="Times New Roman" w:cs="Times New Roman" w:eastAsia="Times New Roman" w:hAnsi="Times New Roman"/>
                <w:sz w:val="15"/>
                <w:szCs w:val="15"/>
                <w:color w:val="auto"/>
              </w:rPr>
              <w:t>(104,837</w:t>
            </w:r>
            <w:r>
              <w:rPr>
                <w:rFonts w:ascii="Times New Roman" w:cs="Times New Roman" w:eastAsia="Times New Roman" w:hAnsi="Times New Roman"/>
                <w:sz w:val="28"/>
                <w:szCs w:val="28"/>
                <w:color w:val="auto"/>
                <w:vertAlign w:val="superscript"/>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249" w:lineRule="exact"/>
              <w:rPr>
                <w:sz w:val="20"/>
                <w:szCs w:val="20"/>
                <w:color w:val="auto"/>
              </w:rPr>
            </w:pPr>
            <w:r>
              <w:rPr>
                <w:rFonts w:ascii="Times New Roman" w:cs="Times New Roman" w:eastAsia="Times New Roman" w:hAnsi="Times New Roman"/>
                <w:sz w:val="15"/>
                <w:szCs w:val="15"/>
                <w:color w:val="auto"/>
              </w:rPr>
              <w:t>(46,205</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0"/>
        </w:trPr>
        <w:tc>
          <w:tcPr>
            <w:tcW w:w="128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gridSpan w:val="7"/>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ZEVRA THERAPEUTICS, INC.</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7640" w:type="dxa"/>
            <w:vAlign w:val="bottom"/>
            <w:gridSpan w:val="16"/>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CHANGES IN STOCKHOLDERS’ EQUITY</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center"/>
              <w:ind w:right="213"/>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w w:val="92"/>
              </w:rPr>
              <w:t>Treasury</w:t>
            </w:r>
          </w:p>
        </w:tc>
        <w:tc>
          <w:tcPr>
            <w:tcW w:w="1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9"/>
                <w:szCs w:val="19"/>
                <w:color w:val="auto"/>
              </w:rPr>
            </w:pPr>
          </w:p>
        </w:tc>
        <w:tc>
          <w:tcPr>
            <w:tcW w:w="1220" w:type="dxa"/>
            <w:vAlign w:val="bottom"/>
            <w:gridSpan w:val="2"/>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8"/>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0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436,269</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(353,729)</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75,120</w:t>
            </w:r>
          </w:p>
        </w:tc>
        <w:tc>
          <w:tcPr>
            <w:tcW w:w="0" w:type="dxa"/>
            <w:vAlign w:val="bottom"/>
          </w:tcPr>
          <w:p>
            <w:pPr>
              <w:spacing w:after="0"/>
              <w:rPr>
                <w:sz w:val="1"/>
                <w:szCs w:val="1"/>
                <w:color w:val="auto"/>
              </w:rPr>
            </w:pPr>
          </w:p>
        </w:tc>
      </w:tr>
      <w:tr>
        <w:trPr>
          <w:trHeight w:val="208"/>
        </w:trPr>
        <w:tc>
          <w:tcPr>
            <w:tcW w:w="3200" w:type="dxa"/>
            <w:vAlign w:val="bottom"/>
            <w:tcBorders>
              <w:top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(46,049)</w:t>
            </w: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(46,049)</w:t>
            </w:r>
          </w:p>
        </w:tc>
        <w:tc>
          <w:tcPr>
            <w:tcW w:w="0" w:type="dxa"/>
            <w:vAlign w:val="bottom"/>
          </w:tcPr>
          <w:p>
            <w:pPr>
              <w:spacing w:after="0"/>
              <w:rPr>
                <w:sz w:val="1"/>
                <w:szCs w:val="1"/>
                <w:color w:val="auto"/>
              </w:rPr>
            </w:pPr>
          </w:p>
        </w:tc>
      </w:tr>
      <w:tr>
        <w:trPr>
          <w:trHeight w:val="215"/>
        </w:trPr>
        <w:tc>
          <w:tcPr>
            <w:tcW w:w="3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5,954</w:t>
            </w:r>
          </w:p>
        </w:tc>
        <w:tc>
          <w:tcPr>
            <w:tcW w:w="0" w:type="dxa"/>
            <w:vAlign w:val="bottom"/>
          </w:tcPr>
          <w:p>
            <w:pPr>
              <w:spacing w:after="0"/>
              <w:rPr>
                <w:sz w:val="1"/>
                <w:szCs w:val="1"/>
                <w:color w:val="auto"/>
              </w:rPr>
            </w:pPr>
          </w:p>
        </w:tc>
      </w:tr>
      <w:tr>
        <w:trPr>
          <w:trHeight w:val="197"/>
        </w:trPr>
        <w:tc>
          <w:tcPr>
            <w:tcW w:w="3200" w:type="dxa"/>
            <w:vAlign w:val="bottom"/>
            <w:gridSpan w:val="2"/>
          </w:tcPr>
          <w:p>
            <w:pPr>
              <w:ind w:left="160"/>
              <w:spacing w:after="0" w:line="197" w:lineRule="exact"/>
              <w:rPr>
                <w:sz w:val="20"/>
                <w:szCs w:val="20"/>
                <w:color w:val="auto"/>
              </w:rPr>
            </w:pPr>
            <w:r>
              <w:rPr>
                <w:rFonts w:ascii="Times New Roman" w:cs="Times New Roman" w:eastAsia="Times New Roman" w:hAnsi="Times New Roman"/>
                <w:sz w:val="18"/>
                <w:szCs w:val="18"/>
                <w:color w:val="auto"/>
              </w:rPr>
              <w:t>Issuance of common stock in connection</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with the Merger</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28,391</w:t>
            </w:r>
          </w:p>
        </w:tc>
        <w:tc>
          <w:tcPr>
            <w:tcW w:w="0" w:type="dxa"/>
            <w:vAlign w:val="bottom"/>
          </w:tcPr>
          <w:p>
            <w:pPr>
              <w:spacing w:after="0"/>
              <w:rPr>
                <w:sz w:val="1"/>
                <w:szCs w:val="1"/>
                <w:color w:val="auto"/>
              </w:rPr>
            </w:pPr>
          </w:p>
        </w:tc>
      </w:tr>
      <w:tr>
        <w:trPr>
          <w:trHeight w:val="215"/>
        </w:trPr>
        <w:tc>
          <w:tcPr>
            <w:tcW w:w="3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6,106</w:t>
            </w:r>
          </w:p>
        </w:tc>
        <w:tc>
          <w:tcPr>
            <w:tcW w:w="0" w:type="dxa"/>
            <w:vAlign w:val="bottom"/>
          </w:tcPr>
          <w:p>
            <w:pPr>
              <w:spacing w:after="0"/>
              <w:rPr>
                <w:sz w:val="1"/>
                <w:szCs w:val="1"/>
                <w:color w:val="auto"/>
              </w:rPr>
            </w:pPr>
          </w:p>
        </w:tc>
      </w:tr>
      <w:tr>
        <w:trPr>
          <w:trHeight w:val="215"/>
        </w:trPr>
        <w:tc>
          <w:tcPr>
            <w:tcW w:w="3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Issuance of warrants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197"/>
        </w:trPr>
        <w:tc>
          <w:tcPr>
            <w:tcW w:w="3200" w:type="dxa"/>
            <w:vAlign w:val="bottom"/>
            <w:gridSpan w:val="2"/>
            <w:shd w:val="clear" w:color="auto" w:fill="CCEEFF"/>
          </w:tcPr>
          <w:p>
            <w:pPr>
              <w:ind w:left="160"/>
              <w:spacing w:after="0" w:line="197" w:lineRule="exact"/>
              <w:rPr>
                <w:sz w:val="20"/>
                <w:szCs w:val="20"/>
                <w:color w:val="auto"/>
              </w:rPr>
            </w:pPr>
            <w:r>
              <w:rPr>
                <w:rFonts w:ascii="Times New Roman" w:cs="Times New Roman" w:eastAsia="Times New Roman" w:hAnsi="Times New Roman"/>
                <w:sz w:val="18"/>
                <w:szCs w:val="18"/>
                <w:color w:val="auto"/>
              </w:rPr>
              <w:t>Shares repurchased as part of the Share</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Repurchase Program</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0" w:type="dxa"/>
            <w:vAlign w:val="bottom"/>
          </w:tcPr>
          <w:p>
            <w:pPr>
              <w:spacing w:after="0"/>
              <w:rPr>
                <w:sz w:val="1"/>
                <w:szCs w:val="1"/>
                <w:color w:val="auto"/>
              </w:rPr>
            </w:pPr>
          </w:p>
        </w:tc>
      </w:tr>
      <w:tr>
        <w:trPr>
          <w:trHeight w:val="197"/>
        </w:trPr>
        <w:tc>
          <w:tcPr>
            <w:tcW w:w="3200" w:type="dxa"/>
            <w:vAlign w:val="bottom"/>
            <w:gridSpan w:val="2"/>
          </w:tcPr>
          <w:p>
            <w:pPr>
              <w:ind w:left="160"/>
              <w:spacing w:after="0" w:line="197" w:lineRule="exact"/>
              <w:rPr>
                <w:sz w:val="20"/>
                <w:szCs w:val="20"/>
                <w:color w:val="auto"/>
              </w:rPr>
            </w:pPr>
            <w:r>
              <w:rPr>
                <w:rFonts w:ascii="Times New Roman" w:cs="Times New Roman" w:eastAsia="Times New Roman" w:hAnsi="Times New Roman"/>
                <w:sz w:val="18"/>
                <w:szCs w:val="18"/>
                <w:color w:val="auto"/>
              </w:rPr>
              <w:t>Issuance of common stock as part of the</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197"/>
        </w:trPr>
        <w:tc>
          <w:tcPr>
            <w:tcW w:w="3200" w:type="dxa"/>
            <w:vAlign w:val="bottom"/>
            <w:gridSpan w:val="2"/>
            <w:shd w:val="clear" w:color="auto" w:fill="CCEEFF"/>
          </w:tcPr>
          <w:p>
            <w:pPr>
              <w:ind w:left="160"/>
              <w:spacing w:after="0" w:line="197" w:lineRule="exact"/>
              <w:rPr>
                <w:sz w:val="20"/>
                <w:szCs w:val="20"/>
                <w:color w:val="auto"/>
              </w:rPr>
            </w:pPr>
            <w:r>
              <w:rPr>
                <w:rFonts w:ascii="Times New Roman" w:cs="Times New Roman" w:eastAsia="Times New Roman" w:hAnsi="Times New Roman"/>
                <w:sz w:val="18"/>
                <w:szCs w:val="18"/>
                <w:color w:val="auto"/>
              </w:rPr>
              <w:t>Issuance of common stock in exchange</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 consulting services</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161"/>
        </w:trPr>
        <w:tc>
          <w:tcPr>
            <w:tcW w:w="3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line="16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3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jc w:val="right"/>
              <w:ind w:right="13"/>
              <w:spacing w:after="0" w:line="68" w:lineRule="exact"/>
              <w:rPr>
                <w:sz w:val="20"/>
                <w:szCs w:val="20"/>
                <w:color w:val="auto"/>
              </w:rPr>
            </w:pPr>
            <w:r>
              <w:rPr>
                <w:rFonts w:ascii="Times New Roman" w:cs="Times New Roman" w:eastAsia="Times New Roman" w:hAnsi="Times New Roman"/>
                <w:sz w:val="7"/>
                <w:szCs w:val="7"/>
                <w:color w:val="auto"/>
              </w:rPr>
              <w:t>(156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60" w:type="dxa"/>
            <w:vAlign w:val="bottom"/>
            <w:gridSpan w:val="2"/>
            <w:vMerge w:val="restart"/>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472,664</w:t>
            </w: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(399,778)</w:t>
            </w: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61,864</w:t>
            </w:r>
          </w:p>
        </w:tc>
        <w:tc>
          <w:tcPr>
            <w:tcW w:w="0" w:type="dxa"/>
            <w:vAlign w:val="bottom"/>
          </w:tcPr>
          <w:p>
            <w:pPr>
              <w:spacing w:after="0"/>
              <w:rPr>
                <w:sz w:val="1"/>
                <w:szCs w:val="1"/>
                <w:color w:val="auto"/>
              </w:rPr>
            </w:pPr>
          </w:p>
        </w:tc>
      </w:tr>
      <w:tr>
        <w:trPr>
          <w:trHeight w:val="67"/>
        </w:trPr>
        <w:tc>
          <w:tcPr>
            <w:tcW w:w="3200" w:type="dxa"/>
            <w:vAlign w:val="bottom"/>
            <w:gridSpan w:val="2"/>
            <w:vMerge w:val="continue"/>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220" w:type="dxa"/>
            <w:vAlign w:val="bottom"/>
            <w:gridSpan w:val="2"/>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1000" w:type="dxa"/>
            <w:vAlign w:val="bottom"/>
            <w:shd w:val="clear" w:color="auto" w:fill="CCEEFF"/>
          </w:tcPr>
          <w:p>
            <w:pPr>
              <w:jc w:val="right"/>
              <w:ind w:right="14"/>
              <w:spacing w:after="0" w:line="68" w:lineRule="exact"/>
              <w:rPr>
                <w:sz w:val="20"/>
                <w:szCs w:val="20"/>
                <w:color w:val="auto"/>
              </w:rPr>
            </w:pPr>
            <w:r>
              <w:rPr>
                <w:rFonts w:ascii="Times New Roman" w:cs="Times New Roman" w:eastAsia="Times New Roman" w:hAnsi="Times New Roman"/>
                <w:sz w:val="7"/>
                <w:szCs w:val="7"/>
                <w:color w:val="auto"/>
              </w:rPr>
              <w:t>(10,983</w:t>
            </w:r>
          </w:p>
        </w:tc>
        <w:tc>
          <w:tcPr>
            <w:tcW w:w="300" w:type="dxa"/>
            <w:vAlign w:val="bottom"/>
            <w:gridSpan w:val="2"/>
            <w:vMerge w:val="continue"/>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400" w:type="dxa"/>
            <w:vAlign w:val="bottom"/>
            <w:gridSpan w:val="2"/>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(105,511)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(105,511)</w:t>
            </w:r>
          </w:p>
        </w:tc>
        <w:tc>
          <w:tcPr>
            <w:tcW w:w="0" w:type="dxa"/>
            <w:vAlign w:val="bottom"/>
          </w:tcPr>
          <w:p>
            <w:pPr>
              <w:spacing w:after="0"/>
              <w:rPr>
                <w:sz w:val="1"/>
                <w:szCs w:val="1"/>
                <w:color w:val="auto"/>
              </w:rPr>
            </w:pPr>
          </w:p>
        </w:tc>
      </w:tr>
      <w:tr>
        <w:trPr>
          <w:trHeight w:val="215"/>
        </w:trPr>
        <w:tc>
          <w:tcPr>
            <w:tcW w:w="3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14,906</w:t>
            </w:r>
          </w:p>
        </w:tc>
        <w:tc>
          <w:tcPr>
            <w:tcW w:w="0" w:type="dxa"/>
            <w:vAlign w:val="bottom"/>
          </w:tcPr>
          <w:p>
            <w:pPr>
              <w:spacing w:after="0"/>
              <w:rPr>
                <w:sz w:val="1"/>
                <w:szCs w:val="1"/>
                <w:color w:val="auto"/>
              </w:rPr>
            </w:pPr>
          </w:p>
        </w:tc>
      </w:tr>
      <w:tr>
        <w:trPr>
          <w:trHeight w:val="197"/>
        </w:trPr>
        <w:tc>
          <w:tcPr>
            <w:tcW w:w="3200" w:type="dxa"/>
            <w:vAlign w:val="bottom"/>
            <w:gridSpan w:val="2"/>
          </w:tcPr>
          <w:p>
            <w:pPr>
              <w:ind w:left="160"/>
              <w:spacing w:after="0" w:line="197" w:lineRule="exact"/>
              <w:rPr>
                <w:sz w:val="20"/>
                <w:szCs w:val="20"/>
                <w:color w:val="auto"/>
              </w:rPr>
            </w:pPr>
            <w:r>
              <w:rPr>
                <w:rFonts w:ascii="Times New Roman" w:cs="Times New Roman" w:eastAsia="Times New Roman" w:hAnsi="Times New Roman"/>
                <w:sz w:val="18"/>
                <w:szCs w:val="18"/>
                <w:color w:val="auto"/>
              </w:rPr>
              <w:t>Issuance of common stock in public</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offering (Note B)</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64,516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64,517</w:t>
            </w:r>
          </w:p>
        </w:tc>
        <w:tc>
          <w:tcPr>
            <w:tcW w:w="0" w:type="dxa"/>
            <w:vAlign w:val="bottom"/>
          </w:tcPr>
          <w:p>
            <w:pPr>
              <w:spacing w:after="0"/>
              <w:rPr>
                <w:sz w:val="1"/>
                <w:szCs w:val="1"/>
                <w:color w:val="auto"/>
              </w:rPr>
            </w:pPr>
          </w:p>
        </w:tc>
      </w:tr>
      <w:tr>
        <w:trPr>
          <w:trHeight w:val="197"/>
        </w:trPr>
        <w:tc>
          <w:tcPr>
            <w:tcW w:w="3200" w:type="dxa"/>
            <w:vAlign w:val="bottom"/>
            <w:gridSpan w:val="2"/>
            <w:shd w:val="clear" w:color="auto" w:fill="CCEEFF"/>
          </w:tcPr>
          <w:p>
            <w:pPr>
              <w:ind w:left="160"/>
              <w:spacing w:after="0" w:line="197" w:lineRule="exact"/>
              <w:rPr>
                <w:sz w:val="20"/>
                <w:szCs w:val="20"/>
                <w:color w:val="auto"/>
              </w:rPr>
            </w:pPr>
            <w:r>
              <w:rPr>
                <w:rFonts w:ascii="Times New Roman" w:cs="Times New Roman" w:eastAsia="Times New Roman" w:hAnsi="Times New Roman"/>
                <w:sz w:val="18"/>
                <w:szCs w:val="18"/>
                <w:color w:val="auto"/>
              </w:rPr>
              <w:t>Issuance of common stock in exchange</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 consulting services</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197"/>
        </w:trPr>
        <w:tc>
          <w:tcPr>
            <w:tcW w:w="3200" w:type="dxa"/>
            <w:vAlign w:val="bottom"/>
            <w:gridSpan w:val="2"/>
          </w:tcPr>
          <w:p>
            <w:pPr>
              <w:ind w:left="160"/>
              <w:spacing w:after="0" w:line="197" w:lineRule="exact"/>
              <w:rPr>
                <w:sz w:val="20"/>
                <w:szCs w:val="20"/>
                <w:color w:val="auto"/>
              </w:rPr>
            </w:pPr>
            <w:r>
              <w:rPr>
                <w:rFonts w:ascii="Times New Roman" w:cs="Times New Roman" w:eastAsia="Times New Roman" w:hAnsi="Times New Roman"/>
                <w:sz w:val="18"/>
                <w:szCs w:val="18"/>
                <w:color w:val="auto"/>
              </w:rPr>
              <w:t>Issuance of common stock as part of</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Employee Stock Purchase Plan</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197"/>
        </w:trPr>
        <w:tc>
          <w:tcPr>
            <w:tcW w:w="3200" w:type="dxa"/>
            <w:vAlign w:val="bottom"/>
            <w:gridSpan w:val="2"/>
            <w:shd w:val="clear" w:color="auto" w:fill="CCEEFF"/>
          </w:tcPr>
          <w:p>
            <w:pPr>
              <w:ind w:left="160"/>
              <w:spacing w:after="0" w:line="197" w:lineRule="exact"/>
              <w:rPr>
                <w:sz w:val="20"/>
                <w:szCs w:val="20"/>
                <w:color w:val="auto"/>
              </w:rPr>
            </w:pPr>
            <w:r>
              <w:rPr>
                <w:rFonts w:ascii="Times New Roman" w:cs="Times New Roman" w:eastAsia="Times New Roman" w:hAnsi="Times New Roman"/>
                <w:sz w:val="18"/>
                <w:szCs w:val="18"/>
                <w:color w:val="auto"/>
              </w:rPr>
              <w:t>Issuance of common stock for options</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1,684</w:t>
            </w:r>
          </w:p>
        </w:tc>
        <w:tc>
          <w:tcPr>
            <w:tcW w:w="0" w:type="dxa"/>
            <w:vAlign w:val="bottom"/>
          </w:tcPr>
          <w:p>
            <w:pPr>
              <w:spacing w:after="0"/>
              <w:rPr>
                <w:sz w:val="1"/>
                <w:szCs w:val="1"/>
                <w:color w:val="auto"/>
              </w:rPr>
            </w:pPr>
          </w:p>
        </w:tc>
      </w:tr>
      <w:tr>
        <w:trPr>
          <w:trHeight w:val="215"/>
        </w:trPr>
        <w:tc>
          <w:tcPr>
            <w:tcW w:w="3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69"/>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555,302</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line="249" w:lineRule="exact"/>
              <w:rPr>
                <w:sz w:val="20"/>
                <w:szCs w:val="20"/>
                <w:color w:val="auto"/>
              </w:rPr>
            </w:pPr>
            <w:r>
              <w:rPr>
                <w:rFonts w:ascii="Times New Roman" w:cs="Times New Roman" w:eastAsia="Times New Roman" w:hAnsi="Times New Roman"/>
                <w:sz w:val="15"/>
                <w:szCs w:val="15"/>
                <w:color w:val="auto"/>
              </w:rPr>
              <w:t>(10,983</w:t>
            </w:r>
            <w:r>
              <w:rPr>
                <w:rFonts w:ascii="Times New Roman" w:cs="Times New Roman" w:eastAsia="Times New Roman" w:hAnsi="Times New Roman"/>
                <w:sz w:val="28"/>
                <w:szCs w:val="28"/>
                <w:color w:val="auto"/>
                <w:vertAlign w:val="superscript"/>
              </w:rPr>
              <w:t>)</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line="249" w:lineRule="exact"/>
              <w:rPr>
                <w:sz w:val="20"/>
                <w:szCs w:val="20"/>
                <w:color w:val="auto"/>
              </w:rPr>
            </w:pPr>
            <w:r>
              <w:rPr>
                <w:rFonts w:ascii="Times New Roman" w:cs="Times New Roman" w:eastAsia="Times New Roman" w:hAnsi="Times New Roman"/>
                <w:sz w:val="15"/>
                <w:szCs w:val="15"/>
                <w:color w:val="auto"/>
              </w:rPr>
              <w:t>(505,289</w:t>
            </w:r>
            <w:r>
              <w:rPr>
                <w:rFonts w:ascii="Times New Roman" w:cs="Times New Roman" w:eastAsia="Times New Roman" w:hAnsi="Times New Roman"/>
                <w:sz w:val="28"/>
                <w:szCs w:val="28"/>
                <w:color w:val="auto"/>
                <w:vertAlign w:val="superscript"/>
              </w:rPr>
              <w:t>)</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39,666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58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ZEVRA THERAPEUTICS, INC.</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8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CASH FLOWS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8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6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obsolescence</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adjustment related to derivative and warrant liability and CVR liability</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(accretion) on investments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sublease and disposal of property and equipment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Consulting fees paid in common stock</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Gain on foreign currency exchange rates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Discount and rebate liabilities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(33,535)</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 net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royalty to XOMA</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investments</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59,121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58,990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insurance financing arrangements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stock issuance</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64,516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common stock for options exercised</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principal on insurance financing arrangements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debt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to repurchase shares as part of the Share Repurchase Program</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principal on finance lease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82,108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43,049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65,466</w:t>
            </w:r>
          </w:p>
        </w:tc>
        <w:tc>
          <w:tcPr>
            <w:tcW w:w="0" w:type="dxa"/>
            <w:vAlign w:val="bottom"/>
          </w:tcPr>
          <w:p>
            <w:pPr>
              <w:spacing w:after="0"/>
              <w:rPr>
                <w:sz w:val="1"/>
                <w:szCs w:val="1"/>
                <w:color w:val="auto"/>
              </w:rPr>
            </w:pPr>
          </w:p>
        </w:tc>
      </w:tr>
      <w:tr>
        <w:trPr>
          <w:trHeight w:val="208"/>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33,785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5,262</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 in connection with the Merger (Note 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financing activities: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secured promissory note for the Merger (Note 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contingent value rights for the Merger (Note 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40"/>
          </w:cols>
          <w:pgMar w:left="320" w:top="107" w:right="339" w:bottom="278"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278" w:gutter="0" w:footer="0" w:header="0"/>
          <w:type w:val="continuous"/>
        </w:sectPr>
      </w:pPr>
    </w:p>
    <w:bookmarkStart w:id="121" w:name="page122"/>
    <w:bookmarkEnd w:id="12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2" w:lineRule="exact"/>
        <w:rPr>
          <w:sz w:val="20"/>
          <w:szCs w:val="20"/>
          <w:color w:val="auto"/>
        </w:rPr>
      </w:pPr>
    </w:p>
    <w:p>
      <w:pPr>
        <w:ind w:left="720" w:hanging="693"/>
        <w:spacing w:after="0"/>
        <w:tabs>
          <w:tab w:leader="none" w:pos="7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Basis of Presentation, and Significant Transactions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7"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Zevra Therapeutics, Inc</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(the "Company") is a commercial-stage company focused on addressing unmet needs for the treatment of rare diseases. The Company has a diverse portfolio of products and product candidates, which includes clinical stage pipeline and commercial stage assets. On September 20, 2024, the U.S. Food and Drug Administration ("FDA") approved the New Drug Application (“NDA”) for MIPLYFFA™ (arimoclomol), an orally-delivered treatment for Niemann-Pick disease type C (“NPC”), which is an ultra-rare and progressive neurodegenerative disease. MIPLYFFA, the first FDA-approved treatment for NPC, is indicated for use in combination with miglustat for the treatment of neurological manifestations of NPC in adult and pediatric patients two years of age and older. In addition, the Company received a transferable rare pediatric disease priority review voucher (“PRV”) in conjunction with the approval of MIPLYFFA. On February 26, 2025, the Company and Zevra Denmark A/S entered into an asset purchase agreement (the “PRV Transfer Agreement”), pursuant to which the Company agreed to sell the PRV to the buyer. Pursuant to the PRV Transfer Agreement, the buyer agreed to pay the Company $150.0 million, payable in cash, upon the closing of the sale. The PRV Transfer Agreement contains customary representations, warranties, covenants, and indemnification provisions subject to certain limitations. The transaction remains subject to customary closing conditions, including the expiration or termination of the applicable waiting period under the Hart-Scott-Rodino Antitrust Improvements Act of 1976. MIPLYFFA has also been granted orphan medicinal product designation for the treatment of NPC by the European Commission. OLPRUVA® (sodium phenylbutyrate) for oral suspension is approved by the FDA for the treatment of urea cycle disorders ("UCDs"). The Company also has a pipeline of investigational product candidates, including celiprolol for the treatment of vascular Ehlers-Danlos syndrome in patients with a confirmed type III collagen mutation. KP1077 is the Company's clinical development product candidate which is being developed as a treatment for idiopathic hypersomnia ("IH"), a rare neurological sleep disorder, and narcolepsy. KP1077 is comprised solely of serdexmethylphenidate (“SDX”), the Company's proprietary prodrug of d-methylphenidate ("d-MPH"). The FDA has granted KP1077 orphan drug designation for the treatment of IH.</w:t>
      </w:r>
    </w:p>
    <w:p>
      <w:pPr>
        <w:spacing w:after="0" w:line="190"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The Company changed its name from KemPharm, Inc. to Zevra Therapeutics, Inc. effective as of February 21, 2023. On March 1, 2023, following its name change, the Company's common stock began trading on the Nasdaq Global Select Market under the ticker symbol "ZVRA".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The Company prepared the consolidated financial statements in accordance with accounting principles generally accepted in the United States of America (“US GAAP”) and the rules and regulations of the Securities and Exchange Commission (“SEC”) and, in the Company’s opinion, reflect all adjustments, including normal recurring items that are necessary. All significant intercompany accounts and transactions have been eliminated in consolidation.</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Merger</w:t>
      </w:r>
    </w:p>
    <w:p>
      <w:pPr>
        <w:spacing w:after="0" w:line="22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On August 30, 2023, the Company and Aspen Z Merger Sub, Inc., a wholly-owned subsidiary of Zevra (“Merger Sub”), entered into an Agreement and Plan of Merger (the “Merger Agreement”) with Acer Therapeutics Inc. (“Acer”), a pharmaceutical company focused on development and commercialization of therapies for rare and life-threatening diseases. On November 17, 2023 (the "Closing Date"), the Company completed the acquisition of Acer. Pursuant to the Merger Agreement, on the Closing Date, Merger Sub was merged with and into Acer (the "Merger"), with Acer continuing as the surviving entity and as a wholly-owned subsidiary of Zevra. In connection therewith, Zevra has also purchased Acer’s secured debt from Nantahala Capital Management, LLC ("NCM”), certain of its affiliates and certain other parties (collectively with NCM, “Nantahala”) through a series of transactions and Zevra agreed to provide Acer with a bridge loan facility for up to $18.0 million ("Bridge Loan"), subject to certain terms and conditions. The Merger has expanded Zevra's rare disease portfolio, as well as increased and diversified its revenues with the addition of a U.S. commercial asset, OLPRUVA, indicated for the treatment of UCDs. See Note T for further discussion related to the Merger.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22" w:name="page123"/>
    <w:bookmarkEnd w:id="12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Statements on Form S-3</w:t>
      </w:r>
    </w:p>
    <w:p>
      <w:pPr>
        <w:spacing w:after="0" w:line="22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In connection with the Merger, Zevra and Nantahala concurrently entered into a registration rights agreement, pursuant to which Zevra agreed to file a resale registration statement with respect to the resale of the Zevra common stock issuable to Nantahala. On February 5, 2024, Zevra filed a registration statement on Form S-3 (File No. 333-276856) registering an aggregate of 2,269,721 shares of Zevra’s common stock. On April 5, 2024, the Company filed an amendment to such registration statement, which was declared effective on April 8, 2024.</w:t>
      </w:r>
    </w:p>
    <w:p>
      <w:pPr>
        <w:spacing w:after="0" w:line="181"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On June 4, 2024, the Company filed a registration statement on Form S-3 (File No. 333-279941) (the "June 2024 Registration Statement") under which the Company may sell securities, including as may be issuable upon conversion, redemption, repurchase, exchange or exercise of securities, in one or more offerings up to a total aggregate offering price of $350.0 million, $75.0 million of which was allocated to the sale of the shares of common stock issuable under the 2024 ATM Agreement (as described further below). The registration statement was declared effective on June 13,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2024 Offering</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On August 8, 2024, the Company entered into an underwriting agreement (the “Underwriting Agreement”) with Cantor Fitzgerald &amp; Co. and William Blair</w:t>
      </w:r>
    </w:p>
    <w:p>
      <w:pPr>
        <w:spacing w:after="0" w:line="27" w:lineRule="exact"/>
        <w:rPr>
          <w:sz w:val="20"/>
          <w:szCs w:val="20"/>
          <w:color w:val="auto"/>
        </w:rPr>
      </w:pPr>
    </w:p>
    <w:p>
      <w:pPr>
        <w:jc w:val="both"/>
        <w:ind w:left="20" w:firstLine="7"/>
        <w:spacing w:after="0" w:line="250" w:lineRule="auto"/>
        <w:tabs>
          <w:tab w:leader="none" w:pos="23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L.L.C., as representatives of the several underwriters named therein (collectively, the “Underwriters”), in connection with the offering, issuance and sale by the Company of 9,230,770 shares of the Company’s common stock at a public offering price of $6.50 per share, pursuant to the June 2024 Registration Statement and a related prospectus supplement dated August 8, 2024, filed with the SEC (the "August 2024 Offering"). Under the terms of the Underwriting Agreement, the Company also granted the Underwriters an option exercisable for 30 days to purchase up to an additional 1,384,615 shares of its Common Stock at the public offering price, less underwriting discounts and commissions, which the Underwriters exercised in full on August 9, 2024. The August 2024 Offering closed on August 12, 2024. Total shares issued were 10,615,385. Net proceeds from the offering were approximately $64.5 million, after deducting underwriting discounts and commissions and estimated offering expenses payable by the Company. The Company intends to use the net proceeds of the offering to support the commercial launch activities for MIPLYFFA, continued commercial support for OLPRUVA and the continued development of celiprolol and KP1077 through potential NDA filings and other general corporate purposes.</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Entry into 2024 ATM Agreement</w:t>
      </w:r>
    </w:p>
    <w:p>
      <w:pPr>
        <w:spacing w:after="0" w:line="22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On July 12, 2024, the Company entered into an equity distribution agreement (the "2024 ATM Agreement") with Citizens JMP Securities LLC ("Citizens JMP") under which the Company may offer and sell, from time to time at its sole discretion, shares of its common stock having an aggregate offering price of up to $75.0 million through Citizens JMP as its sales agent. The issuance and sale, if any, of common stock by the Company under the 2024 ATM Agreement will be made pursuant to the June 2024 Registration Statement, the accompanying prospectus, and the related prospectus supplement dated July 12, 2024. Citizens JMP may sell the common stock by any method permitted by law deemed to be an “at the market offering” as defined in Rule 415 of the Securities Act. Citizens JMP will use commercially reasonable efforts to sell the common stock from time to time, based upon instructions from the Company (including any price, time or size limits or other customary parameters or conditions the Company may impose). The Company will pay Citizens JMP a commission equal to 3.0% in the aggregate of the gross sales proceeds of any common stock sold through Citizens JMP under the 2024 ATM Agreement. As of December 31, 2024, no shares have been issued or sold under the 2024 ATM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2021 ATM Agreement</w:t>
      </w:r>
    </w:p>
    <w:p>
      <w:pPr>
        <w:spacing w:after="0" w:line="227"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July 2, 2021, the Company entered into an equity distribution agreement (the "2021 ATM Agreement") with JMP Securities LLC ("JMP") and RBC Capital Markets, LLC ("RBCCM") under which the Company may offer and sell, from time to time at its sole discretion, shares of its common stock having an aggregate offering price of up to $75.0 million through JMP and RBCCM as its sales agents. The issuance and sale, if any, of common stock by the Company under the 2021 ATM Agreement was made pursuant to the registration statement on Form S-3 (File No. 333-257661) which was declared effective on July 12, 2021, the accompanying prospectus, and the related prospectus supplement dated July 12, 2021. The 2021 ATM Agreement terminated on July 11, 2024, and no shares had been issued or sold under the 2021 ATM Agreement as of the termination date.</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7"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Certain reclassifications were made to the 2023 consolidated financial statements to conform to the classifications used in 2024. These reclassifications had no impact on the consolidated net loss, changes in stockholder's equity, or cash flows previously reported.</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23" w:name="page124"/>
    <w:bookmarkEnd w:id="12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720" w:hanging="693"/>
        <w:spacing w:after="0"/>
        <w:tabs>
          <w:tab w:leader="none" w:pos="7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7" w:lineRule="exact"/>
        <w:rPr>
          <w:sz w:val="20"/>
          <w:szCs w:val="20"/>
          <w:color w:val="auto"/>
        </w:rPr>
      </w:pPr>
    </w:p>
    <w:p>
      <w:pPr>
        <w:jc w:val="both"/>
        <w:ind w:left="20" w:right="20"/>
        <w:spacing w:after="0" w:line="280"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U.S. GAAP requires the Company to make estimates and assumptions that affect the amounts reported in the consolidated financial statements and accompanying notes. Actual results could differ from those estimates.</w:t>
      </w:r>
    </w:p>
    <w:p>
      <w:pPr>
        <w:spacing w:after="0" w:line="162"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the fair value of the derivative and warrant liability and discount and rebate liabilities,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7" w:lineRule="exact"/>
        <w:rPr>
          <w:sz w:val="20"/>
          <w:szCs w:val="20"/>
          <w:color w:val="auto"/>
        </w:rPr>
      </w:pPr>
    </w:p>
    <w:p>
      <w:pPr>
        <w:jc w:val="both"/>
        <w:ind w:left="20" w:right="20"/>
        <w:spacing w:after="0" w:line="264"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principally of cash on deposit and investments with multiple financial institutions, the balances of which frequently exceed insured limits, and accounts receivable, which are concentrated amongst a limited number of customers.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considers any highly liquid investments with an original maturity of three months or less to be cash equivalents.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7"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 xml:space="preserve">The Company maintains investment securities that are classified as available-for-sale securities for which the Company has elected the fair value option under Financial Accounting Standards Board ("FASB") Accounting Standards Codification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 such, these securities are carried at fair value with unrealized gains and losses included in fair value adjustment related to investments on the consolidated statements of operations. The securities primarily consist of U.S. Treasury securities and U.S. government-sponsored agency securities and are included in securities at fair value in the consolidated balance sheets. As of December 31, 2024, and 2023, the Company held securities with an aggregate fair value of $41.7 million and $24.7 million, respectively, that contained aggregate unrealized gains of approximately $18,000 and $0.6 million, respectively. For securities held at December 31, 2024, $35.7 million mature within one year and $6.0 million mature in one to five years. Applying fair value accounting to these debt securities more accurately represents the Company's investment strategy due to the fact that excess cash is currently being invested for the purpose of funding future operation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I nterest income is recognized as earned using an effective yield method giving effect to the amortization of premium and accretion of discount and is based on the economic life of the securities. Interest income is included in Interest and other income, net in the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primary beneficiary of a variable interest entity ("VIE") is required to consolidate the assets and liabilities of the VIE. When the Company obtains a variable interest in another entity, it assesses at the inception of the relationship and upon occurrence of certain significant events whether the entity is a VIE, and if so, whether the Company is the primary beneficiary of the VIE based on its power to direct the activities of the VIE that most significantly impact the VIE's economic performance and the Company's obligation to absorb losses or the rights to receive benefits from the VIE that could potentially be significant to the VIE.</w:t>
      </w:r>
    </w:p>
    <w:p>
      <w:pPr>
        <w:spacing w:after="0" w:line="186"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To assess whether the Company has the power to direct the activities of the VIE that most significantly impact the VIE's economic performance, the Company considers all the facts and circumstances, including the Company's role in establishing the VIE and the Company's ongoing rights and responsibilities. The assessment includes identifying the activities that most significantly impact the VIE's economic performance and identifying which party, if any, has the power to direct those activities. In general, the parties that make the most significant decisions affecting the VIE (management and representation on the Board of Directors) are deemed to have the power to direct the activities of a VIE.</w:t>
      </w:r>
    </w:p>
    <w:p>
      <w:pPr>
        <w:spacing w:after="0" w:line="186"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To assess whether the Company has the obligation to absorb losses of the VIE or the rights to receive benefits from the VIE that could potentially be significant to the VIE, the Company considers all of its economic interests that are deemed to be variable interests in the VIE.</w:t>
      </w:r>
    </w:p>
    <w:p>
      <w:pPr>
        <w:spacing w:after="0" w:line="162"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This assessment requires judgement in determining whether these interests, in the aggregate, are considered potentially significant to the VIE. As of December 31, 2024, and 2023, the Company identified Acer to be the Company's sole interest in a VIE (Note T). As Zevra is the final decision maker for all of Acer's research, development, and commercialization of drug candidates that it is producing, the Company directs the activities of Acer that most significantly impact its performance. Therefore, the Company is the primary beneficiary of this VIE for accounting purposes.</w:t>
      </w:r>
    </w:p>
    <w:p>
      <w:pPr>
        <w:sectPr>
          <w:pgSz w:w="11900" w:h="16838" w:orient="portrait"/>
          <w:cols w:equalWidth="0" w:num="1">
            <w:col w:w="11260"/>
          </w:cols>
          <w:pgMar w:left="300" w:top="121"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76200</wp:posOffset>
            </wp:positionV>
            <wp:extent cx="71329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124" w:name="page125"/>
    <w:bookmarkEnd w:id="12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fair value of the net assets acquired when accounted for using the acquisition method of accounting for business combinations. Goodwill is not amortized but is evaluated for impairment within the Company’s single reporting unit on an annual basis, during the fourth quarter, or more frequently if an event occurs or circumstances change that would more-likely-than-not reduce the fair value of the Company’s reporting unit below its carrying amount. The Company establishes its reporting units based on the organizational structure and has determined it has one reporting unit. In performing its analysis, in accordance with ASC 350, the Company has the option to first assess qualitatively whether it is more likely than not that the fair value of a reporting unit is less than its carrying amount, including goodwill. In performing qualitative assessments, the Company considers, among other factors, macroeconomic conditions, the Company’s overall financial performance (including, but not limited to, comparisons to prior periods, current period internal expectations, and comparable peer companies), broader industry and market considerations, and the trading price performance of the Company’s common stock.</w:t>
      </w:r>
    </w:p>
    <w:p>
      <w:pPr>
        <w:spacing w:after="0" w:line="186"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Company's goodwill balance was $4.7 million as of December 31, 2024, and 2023. As of December 31, 2024, and 2023, the Company completed its annual qualitative assessment under ASC 350 to determine whether the existence of events or circumstances indicated that it was more likely than not that the fair value of its reporting unit was less than its respective carrying value. The Company concluded that based on the relevant events and circumstances, it was more likely than not that the reporting unit’s fair value exceeded its related carrying value and therefore no quantitative assessment was required. No goodwill impairment charges were recorded for the year ended December 31, 2024, or 2023.</w:t>
      </w:r>
    </w:p>
    <w:p>
      <w:pPr>
        <w:spacing w:after="0" w:line="186"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Acquired in-process research and development (“IPR&amp;D”) that the Company acquires in conjunction with the acquisition of a business represents the fair value assigned to incomplete research projects which, at the time of acquisition, have not reached technological feasibility. The amounts are capitalized and are accounted for as indefinite-lived intangible assets, subject to impairment testing until completion or abandonment of the projects. Upon successful completion of each IPR&amp;D project, the Company will make a determination as to the then-useful life of the intangible asset, generally determined by the period in which the substantial majority of the cash flows are expected to be generated and begin amortization. The Company evaluates IPR&amp;D for impairment on an annual basis, during the fourth quarter, or more frequently if impairment indicators exist. The Company’s IPR&amp;D balance was $2.0 million as of December 31, 2024, and 2023. No IPR&amp;D impairment charges were recognized for the years ended December 31, 2024, or 2023.</w:t>
      </w:r>
    </w:p>
    <w:p>
      <w:pPr>
        <w:spacing w:after="0" w:line="186"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As of December 31, 2024, and 2023, the Company had a definite-lived intangible asset, net related to the acquisition of OLPRUVA as a result of the Merger of $61.3 million and $67.2 million, respectively. This asset is amortized on a straight-line basis over the OLPRUVA patent life of thirteen years. Amortization expense is recorded as intangible asset amortization in the consolidated statements of operations and was $5.9 million and $0.8 million for the years ended December 31, 2024, and 2023, respectively. The Company reviews the estimated useful lives of its intangible assets on an ongoing basis (Note S).</w:t>
      </w:r>
    </w:p>
    <w:p>
      <w:pPr>
        <w:spacing w:after="0" w:line="186" w:lineRule="exact"/>
        <w:rPr>
          <w:sz w:val="20"/>
          <w:szCs w:val="20"/>
          <w:color w:val="auto"/>
        </w:rPr>
      </w:pPr>
    </w:p>
    <w:p>
      <w:pPr>
        <w:jc w:val="both"/>
        <w:ind w:left="20"/>
        <w:spacing w:after="0" w:line="279" w:lineRule="auto"/>
        <w:rPr>
          <w:sz w:val="20"/>
          <w:szCs w:val="20"/>
          <w:color w:val="auto"/>
        </w:rPr>
      </w:pPr>
      <w:r>
        <w:rPr>
          <w:rFonts w:ascii="Times New Roman" w:cs="Times New Roman" w:eastAsia="Times New Roman" w:hAnsi="Times New Roman"/>
          <w:sz w:val="17"/>
          <w:szCs w:val="17"/>
          <w:color w:val="auto"/>
        </w:rPr>
        <w:t>In connection with the XOMA License Agreement, the Company paid XOMA a regulatory milestone payment of $6.0 million upon approval of MIPLYFFA in September 2024, which is included in intangible assets, net in the consolidated balance sheet. This definite-lived intangible asset is amortized on a straight-line basis over the MIPLYFFA patent life of approximately five years and is reviewed periodically for impairment. Amortization expense is recorded as intangible asset amortization in the consolidated statement of operations and was $0.3 million for the year ended December 31, 2024.</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Company records property and equipment at cost less accumulated depreciation and amortization. Costs of renewals and improvements that extend the useful lives of the assets are capitalized. Maintenance and repairs are expensed as incurred. Depreciation is determined on a straight-line basis over the estimated useful lives of the assets, which generally range from three to ten years. Leasehold improvements are amortized over the shorter of the useful life of the asset or the term of the related lease. Upon retirement or disposition of assets, the costs and related accumulated depreciation and amortization are removed from the accounts with the resulting gains or losses, if any, reflected in the consolidated statements of operations.</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Long-lived assets to be held and used are reviewed for impairment whenever events or changes in circumstances indicate that the carrying amounts of the assets may not be recoverable. When such events occur, the Company compares the carrying amounts of the assets to their undiscounted expected future cash flows. If the undiscounted cash flows are insufficient to recover the carrying values, an impairment loss is recorded for the difference between the carrying values and fair values of the asset. No such impairment occurred for the years ended December 31, 2024, or 2023.</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as a result, follows the five-step model when recognizing revenue: 1) identifying a contract; 2) identifying the performance obligations; 3) determining the transaction price; 4) allocating the price to the performance obligations; and 5) recognizing revenue when the performance obligations have been fulfilled.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25" w:name="page126"/>
    <w:bookmarkEnd w:id="12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Product Revenues, Net</w:t>
      </w:r>
    </w:p>
    <w:p>
      <w:pPr>
        <w:spacing w:after="0" w:line="227"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Net revenues from product sales are recognized at the transaction price when the customer obtains control of the Company's product, which occurs at a point in time, typically upon receipt of the product by the customer. The Company's current single customer is a specialty pharmacy provider.</w:t>
      </w:r>
    </w:p>
    <w:p>
      <w:pPr>
        <w:spacing w:after="0" w:line="162"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The Company's net revenues represent total revenues adjusted for discounts and allowances, including estimated cash discounts, chargebacks, rebates, returns, copay assistance, data fees and wholesaler fees for services. These adjustments represent variable consideration under ASC 606 and are recorded as a reduction of revenue. These adjustments are established by management as its best estimate based on available information and will be adjusted to reflect known changes in the factors that impact such allowances. Adjustments for variable consideration are determined based on the contractual terms with customers, historical trends, communications with customers and the levels of inventory remining in the distribution channel, as well as expectations about the market for the product and anticipated introduction of competitive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Agreements</w:t>
      </w:r>
    </w:p>
    <w:p>
      <w:pPr>
        <w:spacing w:after="0" w:line="22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The terms of the Company’s licensing agreements typically include one or more of the following: (i) upfront fees; (ii) milestone payments related to the achievement of development, regulatory, or commercial goals; and (iii) royalties on net sales of licensed products. Each of these payments may result in licensing revenues.</w:t>
      </w:r>
    </w:p>
    <w:p>
      <w:pPr>
        <w:spacing w:after="0" w:line="17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probability of regulatory success. The Company evaluates each performance obligation to determine if they can be satisfied at a point in time or over time, and it measures the services delivered to the licensee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87"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8"/>
          <w:szCs w:val="18"/>
          <w:i w:val="1"/>
          <w:iCs w:val="1"/>
          <w:color w:val="auto"/>
        </w:rPr>
        <w:t>Up-front Fees</w:t>
      </w:r>
      <w:r>
        <w:rPr>
          <w:rFonts w:ascii="Times New Roman" w:cs="Times New Roman" w:eastAsia="Times New Roman" w:hAnsi="Times New Roman"/>
          <w:sz w:val="18"/>
          <w:szCs w:val="18"/>
          <w:color w:val="auto"/>
        </w:rPr>
        <w:t>: If a license to the Company’s intellectual property is determined to be distinct from the other performance obligations identified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78"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At the inception of each arrangement that includes milestone payments (variable consideration), the Company evaluates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licensing revenues and earnings in the period of adjustment.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Arimoclomol Expanded Access Program</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Net revenue includes revenue from the sale of arimoclomol for the treatment of NPC under the remunerated expanded access compassionate use program in France, Accès Compassionnel (“French AC”). An expanded access compassionate use program is a program giving specific patients access to a drug, which is not yet approved for commercial sale. Only drugs targeting serious or rare indications and for which there is currently no appropriate treatment are considered for expanded access compassionate use programs. Further, to be considered for the expanded access compassionate use program, the drug must have proven efficacy and safety and must either be undergoing price negotiations or seeking marketing approval.</w:t>
      </w:r>
    </w:p>
    <w:p>
      <w:pPr>
        <w:spacing w:after="0" w:line="186"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In accordance with ASC 606, the Company recognizes revenue when fulfilling its performance obligation under the Arimoclomol Expanded Access Program ("Arimoclomol EAP")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customer acceptance has been received. Revenue is recognized net of sales deductions, including discounts, rebates, applicable distributor fees, and revenue-based taxes.</w:t>
      </w:r>
    </w:p>
    <w:p>
      <w:pPr>
        <w:spacing w:after="0" w:line="185"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The French Health Authorities and the manufacturer have agreed to a price for sales under the French AC, but the final transaction price depends on the terms and conditions in the contracts with the French Health Authorities, following market approval. Any excess in the price charged by the manufacturer compared to the price agreed with the health authorities once the drug product is approved in France must be repaid. The repayment is considered in the clawback liability (rebate). An estimate of net revenue and clawback liability are recognized using the ‘expected value’ method. Accounting for net revenue and clawback liability requires determination of the most appropriate method for the expected final transaction price. This estimate also requires assumptions with respect to inputs into the method, including current pricing of comparable marketed products within the rare disease area in France. Management has considered the expected final sales price as well as the price of similar drug products. The Company is operating within a rare disease therapeutic area where there is unmet treatment need and hence a limited number of comparable commercialized drug products. The limited available relevant market information for directly comparable commercialized drugs within rare disease increases the uncertainty in management's estimate.</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Acquired IPR&amp;D and Milestones Expenses</w:t>
      </w:r>
    </w:p>
    <w:p>
      <w:pPr>
        <w:spacing w:after="0" w:line="22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In an asset acquisition, payments incurred prior to regulatory approval to acquire rights to in-process R&amp;D projects are expensed as acquired IPR&amp;D and milestones expense in the consolidated statements of earnings unless the project has an alternative future use. These costs include upfront and development milestone payments related to R&amp;D collaborations, licensing arrangements, or other asset acquisitions that provide rights to develop, manufacture and/or sell pharmaceutical products. Where contingent development milestone payments are due to third parties, prior to regulatory approval, the payment</w:t>
      </w:r>
    </w:p>
    <w:p>
      <w:pPr>
        <w:sectPr>
          <w:pgSz w:w="11900" w:h="16838" w:orient="portrait"/>
          <w:cols w:equalWidth="0" w:num="1">
            <w:col w:w="11260"/>
          </w:cols>
          <w:pgMar w:left="300" w:top="121" w:right="339" w:bottom="0" w:gutter="0" w:footer="0" w:header="0"/>
        </w:sectPr>
      </w:pPr>
    </w:p>
    <w:bookmarkStart w:id="126" w:name="page127"/>
    <w:bookmarkEnd w:id="126"/>
    <w:p>
      <w:pPr>
        <w:spacing w:after="0" w:line="280" w:lineRule="auto"/>
        <w:rPr>
          <w:sz w:val="20"/>
          <w:szCs w:val="20"/>
          <w:color w:val="auto"/>
        </w:rPr>
      </w:pPr>
      <w:r>
        <w:rPr>
          <w:rFonts w:ascii="Times New Roman" w:cs="Times New Roman" w:eastAsia="Times New Roman" w:hAnsi="Times New Roman"/>
          <w:sz w:val="18"/>
          <w:szCs w:val="18"/>
          <w:color w:val="auto"/>
        </w:rPr>
        <w:t>obligations are expensed when the milestone results are achieved. Regulatory and commercial milestone payments made to third parties subsequent to regulatory approval are capitalized as intangible assets and amortized to intangible asset amortization over the remaining useful life of the related product.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7" w:lineRule="exact"/>
        <w:rPr>
          <w:sz w:val="20"/>
          <w:szCs w:val="20"/>
          <w:color w:val="auto"/>
        </w:rPr>
      </w:pPr>
    </w:p>
    <w:p>
      <w:pPr>
        <w:ind w:left="20" w:right="300"/>
        <w:spacing w:after="0" w:line="264" w:lineRule="auto"/>
        <w:rPr>
          <w:sz w:val="20"/>
          <w:szCs w:val="20"/>
          <w:color w:val="auto"/>
        </w:rPr>
      </w:pPr>
      <w:r>
        <w:rPr>
          <w:rFonts w:ascii="Times New Roman" w:cs="Times New Roman" w:eastAsia="Times New Roman" w:hAnsi="Times New Roman"/>
          <w:sz w:val="18"/>
          <w:szCs w:val="18"/>
          <w:color w:val="auto"/>
        </w:rPr>
        <w:t>The value of inventories is recorded at net realizable value. The Company determines the cost of its other inventories, which includes amounts related to materials and manufacturing overhead, on a first-in, first-out basis. Inventories that are not expected to be sold within 12 months are classified as Inventories, noncurrent.</w:t>
      </w:r>
    </w:p>
    <w:p>
      <w:pPr>
        <w:spacing w:after="0" w:line="177"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The Company may scale-up and make commercial quantities of its product candidates prior to the date it anticipates that such product will receive final regulatory approval. The scale-up and commercial production of pre-launch inventory involves the risk that such products may not be approved for marketing on a timely basis, or ever. This risk notwithstanding, the Company may scale-up and build pre-launch inventory of product that have not received final regulatory approval when the Company believes such action is appropriate in relation to the commercial value of the product launch opportunity. 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 We had no pre-approval inventory on our consolidated balance sheet as of December 31, 2024, or 2023. Inventory used in clinical trials is also expensed as research and development expense, when selected for such use. Inventory that can be used in either the production of clinical or commercial products is expensed as research and development costs when identified for use in a clinical manufacturing campaign. The cost of finished goods inventory that is shipped to a customer to support the Company’s patient assistance programs is expensed when those shipments take place. As of December 31, 2024, and 2023, the Company did not have pre-launch inventory that qualified for capitalization.</w:t>
      </w:r>
    </w:p>
    <w:p>
      <w:pPr>
        <w:spacing w:after="0" w:line="196"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inventory during each reporting period and writes down any excess and obsolete inventory to its net realizable value in the period in which the impairment is first identified. Such impairment charges, should they occur, are recorded as a component of cost of product revenue in the statements of operations and comprehensive loss. The determination of whether inventory costs will be realizable requires the use of estimates by management. If actual market conditions are less favorable than projected by management, additional write-downs of inventory may be required. Additionally, the Company’s product is subject to strict quality control and monitoring that it performs throughout the manufacturing process. In the event that certain batches or units of product do not meet quality specifications, the Company will record a charge to cost of product revenue, to write-down any unsaleable inventory to its estimated net realizable value. For the year ended December 31, 2024, the Company recognized a charge of approximately $5.7 million related to write-downs for unsaleable inventory. No such write downs were recognized for the year ended December 31, 2023.</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components of cost of product revenue are royalties and expenses directly attributable to revenue. To date, the Company has generated revenue from product sales of MIPLYFFA and OLPRUVA, the AZSTARYS License Agreement, sales of arimoclomol under the EAP, reimbursement of out-of-pocket third-party costs and the performance of consulting services. In connection with the AZSTARYS License Agreement, the Company pays Aquestive a royalty equal to 10% of all regulatory milestone and royalty payments. In addition, the Company capitalized incremental costs directly attributable to the AZSTARYS License Agreement. These costs are amortized to royalties and contract costs as revenue is recognized.</w:t>
      </w:r>
    </w:p>
    <w:p>
      <w:pPr>
        <w:spacing w:after="0" w:line="186"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Under the XOMA License Agreement, XOMA is entitled to a mid-single digit percentage royalty with respect to net sales of MIPLYFFA. In addition, the Company also pays a low-single digit percentage royalty to Kansas University Center for Technology Commercialization, Inc. with respect to net sales of MIPLYFFA.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and Other Receivables</w:t>
      </w:r>
    </w:p>
    <w:p>
      <w:pPr>
        <w:spacing w:after="0" w:line="227"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Accounts and other receivables consist of receivables from MIPLYFFA and OLPRUVA product sales, receivables under the AZSTARYS License Agreement and the EAP, and income tax receivables and other receivables due to the Company. Receivables under the AZSTARYS License Agreement are recorded for amounts due to the Company related to reimbursable third-party costs as well as milestones and royalties on product sales. Receivables under the EAP are recorded for product sales under the French AC. The Company provides reserves against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Major components of research and development costs include cash compensation, stock-based compensation, depreciation and amortization expense on research and development property and equipment,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the Company’s behalf. Costs incurred in research and development are expensed as incurred.</w:t>
      </w:r>
    </w:p>
    <w:p>
      <w:pPr>
        <w:spacing w:after="0" w:line="181"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The Company records nonrefundable advance payments it makes for future research and development activities as prepaid expenses. Prepaid expenses are recognized as expense in the statements of operations as the Company receives the related goods or services.</w:t>
      </w:r>
    </w:p>
    <w:p>
      <w:pPr>
        <w:spacing w:after="0" w:line="162"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The Company enters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The Company records liabilities under these contractual commitments when an obligation has been incurred. This accrual process involves reviewing open contracts and purchase orders, communicating with the applicable personnel to identify services that have been performed and estimating the level of service performed and the associated cost when the Company has not yet been invoiced or otherwise notified of actual cost. The majority of the service providers invoice the Company monthly in arrears for services performed. The Company makes estimates of the accrued expenses as of each balance sheet date based on the facts and circumstances known. The Company periodically confirms the accuracy of the estimates with the service providers and make adjustments, if necessary.</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Patent costs, including related legal costs, are expensed as incurred and recorded within general and administrative expenses on the statements of operations.</w:t>
      </w:r>
    </w:p>
    <w:p>
      <w:pPr>
        <w:sectPr>
          <w:pgSz w:w="11900" w:h="16838" w:orient="portrait"/>
          <w:cols w:equalWidth="0" w:num="1">
            <w:col w:w="11260"/>
          </w:cols>
          <w:pgMar w:left="300" w:top="121" w:right="339" w:bottom="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85090</wp:posOffset>
            </wp:positionV>
            <wp:extent cx="71329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336" w:right="1440" w:bottom="1440" w:gutter="0" w:footer="0" w:header="0"/>
        </w:sectPr>
      </w:pPr>
    </w:p>
    <w:bookmarkStart w:id="129" w:name="page130"/>
    <w:bookmarkEnd w:id="12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tax rates that are expected to apply to taxable income for the years in which those tax assets and liabilities are expected to be realized or settled. Valuation allowances are recorded to reduce deferred tax assets to the amount the Company believes is more likely than not to be realized.</w:t>
      </w:r>
    </w:p>
    <w:p>
      <w:pPr>
        <w:spacing w:after="0" w:line="181"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unrecognized income tax uncertainties in income tax expense. The Company did not have any accrued interest or penalties associated with uncertain tax positions as of December 31, 2024 and 2023.</w:t>
      </w:r>
    </w:p>
    <w:p>
      <w:pPr>
        <w:spacing w:after="0" w:line="181"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for federal and various state jurisdictions. With few exceptions, the Company is no longer subject to U.S. federal and state and local income tax examinations for years prior to 2015, although carryforward attributes that were generated prior to 2017 may still be adjusted upon examination by the Internal Revenue Service if used in a future period. No income tax returns are currently under examination by taxing authorities.</w:t>
      </w:r>
    </w:p>
    <w:p>
      <w:pPr>
        <w:spacing w:after="0" w:line="181"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On December 22, 2017, the U.S. government enacted H.R. 1, “An Act to provide for reconciliation pursuant to titles II and V of the concurrent resolution on the budget for fiscal year 2018” ("Tax Act"). Effective January 1, 2018, the Tax Act provides for a new global intangible low-taxed income ("GILTI") provision. Under the GILTI provision, certain foreign subsidiary earnings in excess of an allowable return on the foreign subsidiary’s tangible assets are included in U.S. taxable income. The Company has not recorded any deferred taxes for future GILTI inclusions as any future inclusions are expected to be treated as a period expense and offset by net operating loss carryforwards in the U.S.</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all stock-based payment awards made to employees, officers and directors based on the estimated fair values of the awards as of the grant date. The Company records the value of the portion of the award that is ultimately expected to vest as expense over the requisite service period. The Company also accounts for equity instruments issued to non-employees using a fair value approach under Accounting Standards Codification ("ASC") subtopic 505-50. The Company values equity instruments and stock options granted using the Black-Scholes option pricing model.</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Share of Common Stock</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Company uses the two-class method to compute net loss per common share because the Company has issued securities, other than common stock, that contractually entitle the holders to participate in dividends and earnings of the Company. The two-class method requires earnings for the period to be allocated between common stock and participating securities based upon their respective rights to receive distributed and undistributed earnings. Holders of each series of the Company’s convertible preferred stock and select warrants are entitled to participate in distributions, when and if declared by the board of directors, that are made to common stockholders and, as a result, are considered participating securities.</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(business activity from which it earns revenue and incurs expenses) for which discrete financial information is available and regularly reviewed by the chief operating decision maker ("CODM") in deciding how to allocate resources and in assessing performance. The Company’s CODM is its Chief Executive Officer. The Company views its operations and manages its business as a single operating and reporting segment. The Company holds long-lived assets in the United States of $13.4 million and $10.9 million as of December 31, 2024 and 2023 respectively. The Company holds long-lived assets in Europe of $0.5 million as of both December 31, 2024 and 2023</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Assets and liabilities are translated into the reporting currency using the exchange rates in effect on the consolidated balance sheet dates. Equity accounts are translated at historical rates, except for the change in retained earnings during the year, which is the result of the income statement translation process. Revenue and expense accounts are translated using the weighted average exchange rate during the period. The cumulative translation adjustments associated with the net assets of foreign subsidiaries are recorded in accumulated other comprehensive income/loss in the accompanying consolidated statements of stockholders’ equity.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7"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Debt issuance costs incurred in connection with financing arrangements are recorded as a reduction of the related debt on the balance sheet and amortized over the life of the respective financing arrangement using the effective interest method.</w:t>
      </w:r>
    </w:p>
    <w:p>
      <w:pPr>
        <w:sectPr>
          <w:pgSz w:w="11900" w:h="16838" w:orient="portrait"/>
          <w:cols w:equalWidth="0" w:num="1">
            <w:col w:w="11260"/>
          </w:cols>
          <w:pgMar w:left="300" w:top="121" w:right="33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92075</wp:posOffset>
            </wp:positionV>
            <wp:extent cx="71329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130" w:name="page131"/>
    <w:bookmarkEnd w:id="13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7"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FASB ASC Topic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The assessment considers whether the warrants are freestanding financial instruments pursuant to ASC 480, meet the definition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6"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For warrants that meet all criteria for equity classification, the warrants are required to be recorded as a component of additional paid-in capital, on the consolidated statement of stockholders’ deficit at the time of issuance. For warrants that do not meet all the criteria for equity classification, the warrants are required to be recorded at their initial fair value on the date of issuance, and on each balance sheet date thereafter. Changes in the estimated fair value of the warrants are recognized as a non-cash gain or loss in other expense, net, on the consolidated statement of operations. The fair value of the warrants was estimated using the Black-Scholes option pricing model.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Recently Adopted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Segment Reporting (Topic 280): Improvements to Reportable Segment Disclosures</w:t>
      </w:r>
    </w:p>
    <w:p>
      <w:pPr>
        <w:spacing w:after="0" w:line="225"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No. 2023-07, Segment Reporting (Topic 280): Improvements to Reportable Segment Disclosures. The standard expands reportable segment disclosure requirements for public business entities primarily through expanded disclosures about significant segment expenses that are regularly provided to the chief operating decision maker ("CODM") and included within each reported measure of segment profit and loss. The Company adopted this standard for its fiscal year 2024 annual financial statements and have applied this standard retrospectively for all prior periods presented in the financial statements. See Note C for further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(Topic 740): Improvements to Income Tax Disclosures</w:t>
      </w:r>
    </w:p>
    <w:p>
      <w:pPr>
        <w:spacing w:after="0" w:line="225"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expands disclosures in an entity’s income tax rate reconciliation table and disclosures regarding cash taxes paid both in the U.S. and foreign jurisdictions. The update will be effective for annual periods beginning after December 15, 2024. The Company is currently evaluating the impact that this guidance will have on the presentation of its consolidated financial statements and accompanying notes.</w:t>
      </w:r>
    </w:p>
    <w:p>
      <w:pPr>
        <w:spacing w:after="0" w:line="200" w:lineRule="exact"/>
        <w:rPr>
          <w:sz w:val="20"/>
          <w:szCs w:val="20"/>
          <w:color w:val="auto"/>
        </w:rPr>
      </w:pPr>
    </w:p>
    <w:p>
      <w:pPr>
        <w:spacing w:after="0" w:line="219" w:lineRule="exact"/>
        <w:rPr>
          <w:sz w:val="20"/>
          <w:szCs w:val="20"/>
          <w:color w:val="auto"/>
        </w:rPr>
      </w:pPr>
    </w:p>
    <w:p>
      <w:pPr>
        <w:ind w:left="720" w:hanging="693"/>
        <w:spacing w:after="0"/>
        <w:tabs>
          <w:tab w:leader="none" w:pos="7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Zevra manages its business activities on a consolidated basis and operates as a single operating segment dedicated to the research and development, manufacturing, commercialization and sale of innovative medicines and therapies. The Company primarily derives its revenue from reimbursements received from the EAP, AZSTARYS License Agreement, OLPRUVA product sales, MIPLYFFA product sales, and consulting arrangements. The accounting policies of the segment are the same as those described in Note B.</w:t>
      </w:r>
    </w:p>
    <w:p>
      <w:pPr>
        <w:spacing w:after="0" w:line="181"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Zevra's CODM is the Company's Chief Executive Officer, Neil F. McFarlane. The CODM uses net loss, as reported in the Company's Consolidated Statements of Comprehensive Loss, in evaluating performance of its segment and determining how to allocate resources of the Company as a whole, including investing in its research and development, commercialization efforts, and acquisition strategy. The CODM does not review assets in evaluating the results of the segment, and therefore, such information is not presented.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operating results of the Company's segment:</w:t>
      </w:r>
    </w:p>
    <w:p>
      <w:pPr>
        <w:spacing w:after="0" w:line="200" w:lineRule="exact"/>
        <w:rPr>
          <w:sz w:val="20"/>
          <w:szCs w:val="20"/>
          <w:color w:val="auto"/>
        </w:rPr>
      </w:pPr>
    </w:p>
    <w:p>
      <w:pPr>
        <w:spacing w:after="0" w:line="234" w:lineRule="exact"/>
        <w:rPr>
          <w:sz w:val="20"/>
          <w:szCs w:val="20"/>
          <w:color w:val="auto"/>
        </w:rPr>
      </w:pPr>
    </w:p>
    <w:tbl>
      <w:tblPr>
        <w:tblLayout w:type="fixed"/>
        <w:tblInd w:w="116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5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23,612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27,461</w:t>
            </w:r>
          </w:p>
        </w:tc>
      </w:tr>
      <w:tr>
        <w:trPr>
          <w:trHeight w:val="215"/>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Less significant segment expenses: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5"/>
        </w:trPr>
        <w:tc>
          <w:tcPr>
            <w:tcW w:w="5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Research and development directly identified to programs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30,083</w:t>
            </w:r>
          </w:p>
        </w:tc>
      </w:tr>
      <w:tr>
        <w:trPr>
          <w:trHeight w:val="215"/>
        </w:trPr>
        <w:tc>
          <w:tcPr>
            <w:tcW w:w="5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 not directly identified to programs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9,723</w:t>
            </w:r>
          </w:p>
        </w:tc>
      </w:tr>
      <w:tr>
        <w:trPr>
          <w:trHeight w:val="215"/>
        </w:trPr>
        <w:tc>
          <w:tcPr>
            <w:tcW w:w="5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 directly identified to programs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7,770</w:t>
            </w:r>
          </w:p>
        </w:tc>
      </w:tr>
      <w:tr>
        <w:trPr>
          <w:trHeight w:val="215"/>
        </w:trPr>
        <w:tc>
          <w:tcPr>
            <w:tcW w:w="5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 not directly identified to programs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26,544</w:t>
            </w:r>
          </w:p>
        </w:tc>
      </w:tr>
      <w:tr>
        <w:trPr>
          <w:trHeight w:val="215"/>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5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r>
      <w:tr>
        <w:trPr>
          <w:trHeight w:val="215"/>
        </w:trPr>
        <w:tc>
          <w:tcPr>
            <w:tcW w:w="5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1,006</w:t>
            </w:r>
          </w:p>
        </w:tc>
      </w:tr>
      <w:tr>
        <w:trPr>
          <w:trHeight w:val="215"/>
        </w:trPr>
        <w:tc>
          <w:tcPr>
            <w:tcW w:w="5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1,501</w:t>
            </w:r>
          </w:p>
        </w:tc>
      </w:tr>
      <w:tr>
        <w:trPr>
          <w:trHeight w:val="215"/>
        </w:trPr>
        <w:tc>
          <w:tcPr>
            <w:tcW w:w="5480" w:type="dxa"/>
            <w:vAlign w:val="bottom"/>
          </w:tcPr>
          <w:p>
            <w:pPr>
              <w:ind w:left="320"/>
              <w:spacing w:after="0" w:line="214" w:lineRule="exact"/>
              <w:rPr>
                <w:sz w:val="20"/>
                <w:szCs w:val="20"/>
                <w:color w:val="auto"/>
              </w:rPr>
            </w:pPr>
            <w:r>
              <w:rPr>
                <w:rFonts w:ascii="Times New Roman" w:cs="Times New Roman" w:eastAsia="Times New Roman" w:hAnsi="Times New Roman"/>
                <w:sz w:val="15"/>
                <w:szCs w:val="15"/>
                <w:color w:val="auto"/>
              </w:rPr>
              <w:t>Other expense, net</w:t>
            </w:r>
            <w:r>
              <w:rPr>
                <w:rFonts w:ascii="Times New Roman" w:cs="Times New Roman" w:eastAsia="Times New Roman" w:hAnsi="Times New Roman"/>
                <w:sz w:val="24"/>
                <w:szCs w:val="24"/>
                <w:color w:val="auto"/>
                <w:vertAlign w:val="superscript"/>
              </w:rPr>
              <w:t>(a)</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6,208</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1,410</w:t>
            </w:r>
          </w:p>
        </w:tc>
      </w:tr>
      <w:tr>
        <w:trPr>
          <w:trHeight w:val="228"/>
        </w:trPr>
        <w:tc>
          <w:tcPr>
            <w:tcW w:w="5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Segment net loss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(46,049)</w:t>
            </w:r>
          </w:p>
        </w:tc>
      </w:tr>
      <w:tr>
        <w:trPr>
          <w:trHeight w:val="20"/>
        </w:trPr>
        <w:tc>
          <w:tcPr>
            <w:tcW w:w="5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20" w:right="160" w:firstLine="7"/>
        <w:spacing w:after="0" w:line="259" w:lineRule="auto"/>
        <w:tabs>
          <w:tab w:leader="none" w:pos="31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expense, net included in segment net loss includes foreign currency exchange gains and losses, cost of product revenue (excluding intangible asset amortization), fair value adjustment related to warrant and CVR liabilities, fair value adjustment related to investments, and other overhead expense.</w:t>
      </w:r>
    </w:p>
    <w:p>
      <w:pPr>
        <w:sectPr>
          <w:pgSz w:w="11900" w:h="16838" w:orient="portrait"/>
          <w:cols w:equalWidth="0" w:num="1">
            <w:col w:w="11260"/>
          </w:cols>
          <w:pgMar w:left="300" w:top="121" w:right="339" w:bottom="0" w:gutter="0" w:footer="0" w:header="0"/>
        </w:sectPr>
      </w:pP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92075</wp:posOffset>
            </wp:positionV>
            <wp:extent cx="71329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700" w:hanging="693"/>
        <w:spacing w:after="0"/>
        <w:tabs>
          <w:tab w:leader="none" w:pos="70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inventory are summarized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54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8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55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Total inventories</w:t>
            </w:r>
          </w:p>
        </w:tc>
        <w:tc>
          <w:tcPr>
            <w:tcW w:w="15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5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Accounts and Other Receivables</w:t>
            </w:r>
          </w:p>
        </w:tc>
        <w:tc>
          <w:tcPr>
            <w:tcW w:w="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440" w:type="dxa"/>
            <w:vAlign w:val="bottom"/>
            <w:vMerge w:val="continue"/>
          </w:tcPr>
          <w:p>
            <w:pPr>
              <w:spacing w:after="0"/>
              <w:rPr>
                <w:sz w:val="24"/>
                <w:szCs w:val="24"/>
                <w:color w:val="auto"/>
              </w:rPr>
            </w:pPr>
          </w:p>
        </w:tc>
        <w:tc>
          <w:tcPr>
            <w:tcW w:w="554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and other receivables consist of the following (in thousands):</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16,119</w:t>
            </w: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and other receivables</w:t>
            </w:r>
          </w:p>
        </w:tc>
        <w:tc>
          <w:tcPr>
            <w:tcW w:w="1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17,377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700" w:hanging="693"/>
        <w:spacing w:after="0"/>
        <w:tabs>
          <w:tab w:leader="none" w:pos="70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1,037</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1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3,015</w:t>
            </w:r>
          </w:p>
        </w:tc>
        <w:tc>
          <w:tcPr>
            <w:tcW w:w="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4,052</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1,824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w:t>
            </w:r>
          </w:p>
        </w:tc>
        <w:tc>
          <w:tcPr>
            <w:tcW w:w="57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463</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hardware</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2,082</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57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356</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estimated useful lives of property and equipment are as follows:</w:t>
            </w:r>
          </w:p>
        </w:tc>
        <w:tc>
          <w:tcPr>
            <w:tcW w:w="1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220" w:type="dxa"/>
            <w:vAlign w:val="bottom"/>
            <w:gridSpan w:val="3"/>
            <w:vMerge w:val="continue"/>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578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10</w:t>
            </w: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5 - 10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hardware</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3 - 7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Depreciation and amortization expense, including amounts pertaining to assets held under finance leases, was approximately $208,000 and $245,000 for the years ended December 31, 2024 and 2023, respectively.</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1329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2" w:name="page133"/>
    <w:bookmarkEnd w:id="132"/>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720" w:hanging="693"/>
        <w:spacing w:after="0"/>
        <w:tabs>
          <w:tab w:leader="none" w:pos="7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Accounts payable and accrued expenses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Accrued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-119380</wp:posOffset>
            </wp:positionV>
            <wp:extent cx="5699760" cy="1365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99760" cy="136525"/>
                    </a:xfrm>
                    <a:prstGeom prst="rect">
                      <a:avLst/>
                    </a:prstGeom>
                    <a:noFill/>
                  </pic:spPr>
                </pic:pic>
              </a:graphicData>
            </a:graphic>
          </wp:anchor>
        </w:drawing>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Accrued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5080</wp:posOffset>
            </wp:positionV>
            <wp:extent cx="5699760" cy="1365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99760" cy="13652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13335</wp:posOffset>
            </wp:positionV>
            <wp:extent cx="5699760" cy="161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99760" cy="161925"/>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Total accounts payable and accrued expenses</w:t>
      </w:r>
    </w:p>
    <w:p>
      <w:pPr>
        <w:spacing w:after="0" w:line="200" w:lineRule="exact"/>
        <w:rPr>
          <w:sz w:val="20"/>
          <w:szCs w:val="20"/>
          <w:color w:val="auto"/>
        </w:rPr>
      </w:pPr>
    </w:p>
    <w:p>
      <w:pPr>
        <w:spacing w:after="0" w:line="261" w:lineRule="exact"/>
        <w:rPr>
          <w:sz w:val="20"/>
          <w:szCs w:val="20"/>
          <w:color w:val="auto"/>
        </w:rPr>
      </w:pPr>
    </w:p>
    <w:p>
      <w:pPr>
        <w:ind w:left="720" w:hanging="693"/>
        <w:spacing w:after="0"/>
        <w:tabs>
          <w:tab w:leader="none" w:pos="7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19050</wp:posOffset>
            </wp:positionV>
            <wp:extent cx="16383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11" w:lineRule="exact"/>
        <w:rPr>
          <w:sz w:val="20"/>
          <w:szCs w:val="20"/>
          <w:color w:val="auto"/>
        </w:rPr>
      </w:pPr>
    </w:p>
    <w:p>
      <w:pPr>
        <w:ind w:left="42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wp:posOffset>
            </wp:positionV>
            <wp:extent cx="16383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1" w:lineRule="exact"/>
        <w:rPr>
          <w:sz w:val="20"/>
          <w:szCs w:val="20"/>
          <w:color w:val="auto"/>
        </w:rPr>
      </w:pPr>
    </w:p>
    <w:p>
      <w:pPr>
        <w:jc w:val="both"/>
        <w:ind w:left="780"/>
        <w:spacing w:after="0"/>
        <w:tabs>
          <w:tab w:leader="none" w:pos="2000" w:val="left"/>
        </w:tabs>
        <w:rPr>
          <w:sz w:val="20"/>
          <w:szCs w:val="20"/>
          <w:color w:val="auto"/>
        </w:rPr>
      </w:pPr>
      <w:r>
        <w:rPr>
          <w:rFonts w:ascii="Times New Roman" w:cs="Times New Roman" w:eastAsia="Times New Roman" w:hAnsi="Times New Roman"/>
          <w:sz w:val="18"/>
          <w:szCs w:val="18"/>
          <w:color w:val="auto"/>
        </w:rPr>
        <w:t>6,126</w:t>
      </w:r>
      <w:r>
        <w:rPr>
          <w:sz w:val="20"/>
          <w:szCs w:val="20"/>
          <w:color w:val="auto"/>
        </w:rPr>
        <w:tab/>
      </w:r>
      <w:r>
        <w:rPr>
          <w:rFonts w:ascii="Times New Roman" w:cs="Times New Roman" w:eastAsia="Times New Roman" w:hAnsi="Times New Roman"/>
          <w:sz w:val="18"/>
          <w:szCs w:val="18"/>
          <w:color w:val="auto"/>
        </w:rPr>
        <w:t>10,671</w:t>
      </w:r>
    </w:p>
    <w:p>
      <w:pPr>
        <w:spacing w:after="0" w:line="21" w:lineRule="exact"/>
        <w:rPr>
          <w:sz w:val="20"/>
          <w:szCs w:val="20"/>
          <w:color w:val="auto"/>
        </w:rPr>
      </w:pPr>
    </w:p>
    <w:p>
      <w:pPr>
        <w:ind w:left="2240" w:hanging="1333"/>
        <w:spacing w:after="0"/>
        <w:tabs>
          <w:tab w:leader="none" w:pos="2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675</w:t>
      </w:r>
    </w:p>
    <w:p>
      <w:pPr>
        <w:spacing w:after="0" w:line="19" w:lineRule="exact"/>
        <w:rPr>
          <w:rFonts w:ascii="Times New Roman" w:cs="Times New Roman" w:eastAsia="Times New Roman" w:hAnsi="Times New Roman"/>
          <w:sz w:val="17"/>
          <w:szCs w:val="17"/>
          <w:color w:val="auto"/>
        </w:rPr>
      </w:pPr>
    </w:p>
    <w:p>
      <w:pPr>
        <w:ind w:left="6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13,075</w:t>
      </w:r>
      <w:r>
        <w:rPr>
          <w:rFonts w:ascii="Times New Roman" w:cs="Times New Roman" w:eastAsia="Times New Roman" w:hAnsi="Times New Roman"/>
          <w:sz w:val="17"/>
          <w:szCs w:val="17"/>
          <w:color w:val="auto"/>
        </w:rPr>
        <w:t>13,987</w:t>
      </w:r>
    </w:p>
    <w:p>
      <w:pPr>
        <w:spacing w:after="0" w:line="8" w:lineRule="exact"/>
        <w:rPr>
          <w:rFonts w:ascii="Times New Roman" w:cs="Times New Roman" w:eastAsia="Times New Roman" w:hAnsi="Times New Roman"/>
          <w:sz w:val="17"/>
          <w:szCs w:val="17"/>
          <w:color w:val="auto"/>
        </w:rPr>
      </w:pP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5,392</w:t>
      </w:r>
      <w:r>
        <w:rPr>
          <w:rFonts w:ascii="Times New Roman" w:cs="Times New Roman" w:eastAsia="Times New Roman" w:hAnsi="Times New Roman"/>
          <w:sz w:val="17"/>
          <w:szCs w:val="17"/>
          <w:color w:val="auto"/>
        </w:rPr>
        <w:t>3,070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5080</wp:posOffset>
            </wp:positionV>
            <wp:extent cx="16383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tabs>
          <w:tab w:leader="none" w:pos="660" w:val="left"/>
          <w:tab w:leader="none" w:pos="1320" w:val="left"/>
          <w:tab w:leader="none" w:pos="2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25,456</w:t>
        <w:tab/>
        <w:t>$</w:t>
      </w:r>
      <w:r>
        <w:rPr>
          <w:sz w:val="20"/>
          <w:szCs w:val="20"/>
          <w:color w:val="auto"/>
        </w:rPr>
        <w:tab/>
      </w:r>
      <w:r>
        <w:rPr>
          <w:rFonts w:ascii="Times New Roman" w:cs="Times New Roman" w:eastAsia="Times New Roman" w:hAnsi="Times New Roman"/>
          <w:sz w:val="17"/>
          <w:szCs w:val="17"/>
          <w:color w:val="auto"/>
        </w:rPr>
        <w:t>28,403</w:t>
      </w:r>
    </w:p>
    <w:p>
      <w:pPr>
        <w:spacing w:after="0" w:line="902" w:lineRule="exact"/>
        <w:rPr>
          <w:sz w:val="20"/>
          <w:szCs w:val="20"/>
          <w:color w:val="auto"/>
        </w:rPr>
      </w:pPr>
    </w:p>
    <w:p>
      <w:pPr>
        <w:sectPr>
          <w:pgSz w:w="11900" w:h="16862" w:orient="portrait"/>
          <w:cols w:equalWidth="0" w:num="2">
            <w:col w:w="6820" w:space="720"/>
            <w:col w:w="3720"/>
          </w:cols>
          <w:pgMar w:left="300" w:top="121" w:right="339" w:bottom="0" w:gutter="0" w:footer="0" w:header="0"/>
        </w:sectPr>
      </w:pP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Secured Promissory Note</w:t>
      </w:r>
    </w:p>
    <w:p>
      <w:pPr>
        <w:spacing w:after="0" w:line="227"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In connection with the Merger (Note T), on August 30, 2023, the Company and Nantahala, entered into a secured promissory note payable by Zevra to Nantahala in the original principal amount of $5.0 million (the "Nantahala Note"). The Nantahala Note initially bore interest at 9.0% per annum, payable quarterly in arrears in cash. The interest rate increased to 12.0% per annum effective March 1, 2024, as the Nantahala Note remained unpaid six months from its issue date. The additional 3.0% interest would have been paid in shares of Zevra's common stock based on the volume weighted average trading price ("VWAP") of Zevra's common stock during the twenty consecutive trading days ending on the date before such interest payment date. Beginning on the first interest payment date following the second anniversary of the Nantahala Note, and on each interest payment date thereafter, Zevra was required to make $0.6 million amortization payments on the Nantahala Note until it was paid in full. All principal and unpaid interest on the Nantahala Note would have been due on August 30, 2026, the third anniversary of the Nantahala Note. Zevra was entitled to prepay the Nantahala Note at any time without penalty. The Nantahala Note was secured by Zevra’s interest in (i) the loan assets under the Loan Purchase Agreement described in Note T; (ii) the note assets under the Note Purchase Agreement described in Note T; (iii) the Bridge Loan described in Note T; and (iv) the proceeds therefrom. The Company used the proceeds from the Nantahala Note, along with $12.0 million in cash and 98,683 shares of Zevra's common stock, to acquire Acer's term loans, as more fully described in Note T. In April 2024, the Nantahala Note was repaid in full and terminated. At the time of repayment, Nantahala elected to receive a cash payment in lieu of shares of Zevra's common stock in exchange for the additional 3.0% interest accrued for the period from March 1, 2024, through April 5, 2024.</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Margin Account</w:t>
      </w:r>
    </w:p>
    <w:p>
      <w:pPr>
        <w:spacing w:after="0" w:line="227"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On January 26, 2023, the Company and Wells Fargo, as lender, entered into a revolving margin account agreement. The Company's investments were used as collateral for the loan and the amount the Company was able to borrow was limited to 80-90% of its outstanding investment balance held with Wells Fargo. The margin account bore interest at the Prime rate minus 225 basis-points. As of December 31, 2023, $37.7 million was outstanding under the margin account. The margin loan was included in current liabilities as of December 31, 2023, as the Company expected the outstanding balance to be due and payable in 2024 based on the anticipated level of investment balance expected to be available over the course of fiscal year 2024 to meet the Collateral Requirement. In April 2024, the Company repaid the outstanding balance under the margin account with Wells Fargo, and upon such repayment, the margin capabilities were removed from the account.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Loans</w:t>
      </w:r>
    </w:p>
    <w:p>
      <w:pPr>
        <w:spacing w:after="0" w:line="22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On April 5, 2024 (the "Term Loans Closing Date"), the Company entered into a credit agreement (the “Credit Agreement”) with HCR Stafford Fund II, L.P., HCR Potomac Fund II, L.P., and Perceptive Credit Holdings IV, LP (collectively, the “Lenders”), and Alter Domus (US) LLC, as administrative agent (the “Administrative Agent”).</w:t>
      </w:r>
    </w:p>
    <w:p>
      <w:pPr>
        <w:spacing w:after="0" w:line="17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Under the terms of the Credit Agreement, the Lenders provided a senior secured loan facility to the Company in the aggregate principal amount of $100.0 million, which is divided into three tranches as follows: (i) $60.0 million which was funded in full on the Term Loans Closing Date; (ii) $20.0 million which is available to the Company in up to two drawings, each in an amount not to exceed $10.0 million, at the Company’s option until 18 months following the Term Loans Closing Date; and (iii) $20.0 million which is available to the Company upon approval by the FDA of the NDA for MIPLYFFA for the treatment of NPC, at the Company’s option until December 31, 2024 (collectively, the “Term Loans”).</w:t>
      </w:r>
    </w:p>
    <w:p>
      <w:pPr>
        <w:spacing w:after="0" w:line="186"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The principal amount of the Term Loans outstanding (the “Outstanding Principal Amount”) will bear interest at a rate equal to 3-Month Term SOFR plus 7.00% per annum. If the net product sales for the calendar year ending December 31, 2025, exceed $100.0 million, the Outstanding Principal Amount will bear interest at 3-Month Term SOFR plus 6.00% per annum. If the net product sales for the calendar year ending December 31, 2025, do not exceed $100.0 million, then for any subsequent period of four consecutive fiscal quarters ending on or after March 31, 2026, in which net product sales exceed $125.0 million, the Outstanding Principal Amount will bear interest at 3-Month Term SOFR plus 6.50% per annum. In all cases, the 3-Month Term SOFR rate will be subject to a floor of 4.00% per annum. Interest will be payable quarterly in arrears on the last day of each calendar quarter. The Company has the option to pay up to 25% of the interest in-kind beginning on the Term Loans Closing Date, through and including June 30, 2026. The Company has recognized approximately $1.4 million of interest-in-kind as of December 31, 2024, which is included in long-term debt in the consolidated balance sheet. The Term Loans will mature on the fifth anniversary of the Term Loans Closing Date. In connection with the Credit Agreement, the Company incurred approximately $2.2 million of costs, which primarily consisted of underwriting, legal and other professional fees, and are included as a reduction to the carrying amount of the related debt liability and are deferred and amortized over the remaining life of the financing using the effective interest method.</w:t>
      </w:r>
    </w:p>
    <w:p>
      <w:pPr>
        <w:spacing w:after="0" w:line="189"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7"/>
          <w:szCs w:val="17"/>
          <w:color w:val="auto"/>
        </w:rPr>
        <w:t>The Credit Agreement contains customary affirmative and negative covenants by the Company, which among other things, will require the Company to provide certain financial reports to the Lenders within 60 days after the end of each of the first three fiscal quarters of each fiscal year and 105 days after the end of each fiscal year, meet certain minimum net product sales amounts, and limit the ability of the Company to incur or guarantee additional indebtedness, engage in certain transactions, and effect a consolidation or merger without consent. In addition, as long as the line of credit remains active, the Company must maintain a minimum cash balance of $20.0 million to ensure the Company can meet its immediate capital needs. The obligations of the Company under the Credit Agreement may be accelerated upon customary events of default, including non-payment of principal, interest, fees and other amounts, covenant defaults, insolvency, material judgments, or inaccuracy of representations and warranties. The Term Loans are secured by a first priority perfected</w:t>
      </w:r>
    </w:p>
    <w:p>
      <w:pPr>
        <w:sectPr>
          <w:pgSz w:w="11900" w:h="16862" w:orient="portrait"/>
          <w:cols w:equalWidth="0" w:num="1">
            <w:col w:w="11260"/>
          </w:cols>
          <w:pgMar w:left="300" w:top="121" w:right="339" w:bottom="0" w:gutter="0" w:footer="0" w:header="0"/>
          <w:type w:val="continuous"/>
        </w:sectPr>
      </w:pPr>
    </w:p>
    <w:bookmarkStart w:id="133" w:name="page134"/>
    <w:bookmarkEnd w:id="133"/>
    <w:p>
      <w:pPr>
        <w:jc w:val="both"/>
        <w:spacing w:after="0" w:line="264" w:lineRule="auto"/>
        <w:rPr>
          <w:sz w:val="20"/>
          <w:szCs w:val="20"/>
          <w:color w:val="auto"/>
        </w:rPr>
      </w:pPr>
      <w:r>
        <w:rPr>
          <w:rFonts w:ascii="Times New Roman" w:cs="Times New Roman" w:eastAsia="Times New Roman" w:hAnsi="Times New Roman"/>
          <w:sz w:val="18"/>
          <w:szCs w:val="18"/>
          <w:color w:val="auto"/>
        </w:rPr>
        <w:t>lien on, and security interest in, substantially all current and future assets of the Company. The proceeds of the Term Loans were used to refinance certain existing indebtedness of the Company and its subsidiaries. The Company will use the remaining proceeds to pay fees and expenses related to the debt financing and fund the development and commercialization of OLPRUVA and MIPLYFFA.</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77"/>
        </w:trPr>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7"/>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8"/>
        </w:trPr>
        <w:tc>
          <w:tcPr>
            <w:tcW w:w="11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1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Secured promissory note</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5,000</w:t>
            </w:r>
          </w:p>
        </w:tc>
      </w:tr>
      <w:tr>
        <w:trPr>
          <w:trHeight w:val="215"/>
        </w:trPr>
        <w:tc>
          <w:tcPr>
            <w:tcW w:w="11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original issue (discount) premium</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148</w:t>
            </w:r>
          </w:p>
        </w:tc>
      </w:tr>
      <w:tr>
        <w:trPr>
          <w:trHeight w:val="215"/>
        </w:trPr>
        <w:tc>
          <w:tcPr>
            <w:tcW w:w="11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debt issuance costs</w:t>
            </w:r>
          </w:p>
        </w:tc>
        <w:tc>
          <w:tcPr>
            <w:tcW w:w="1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(82)</w:t>
            </w:r>
          </w:p>
        </w:tc>
      </w:tr>
      <w:tr>
        <w:trPr>
          <w:trHeight w:val="269"/>
        </w:trPr>
        <w:tc>
          <w:tcPr>
            <w:tcW w:w="1140" w:type="dxa"/>
            <w:vAlign w:val="bottom"/>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72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5,066</w:t>
            </w:r>
          </w:p>
        </w:tc>
      </w:tr>
      <w:tr>
        <w:trPr>
          <w:trHeight w:val="20"/>
        </w:trPr>
        <w:tc>
          <w:tcPr>
            <w:tcW w:w="114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principal payments under the secured promissory note as of December 31, 2024, were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2024</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40" w:type="dxa"/>
            <w:vAlign w:val="bottom"/>
            <w:tcBorders>
              <w:bottom w:val="single" w:sz="8" w:color="CCEEFF"/>
            </w:tcBorders>
            <w:shd w:val="clear" w:color="auto" w:fill="CCEEFF"/>
          </w:tcPr>
          <w:p>
            <w:pPr>
              <w:spacing w:after="0"/>
              <w:rPr>
                <w:sz w:val="20"/>
                <w:szCs w:val="20"/>
                <w:color w:val="auto"/>
              </w:rPr>
            </w:pPr>
          </w:p>
        </w:tc>
      </w:tr>
      <w:tr>
        <w:trPr>
          <w:trHeight w:val="208"/>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tcPr>
          <w:p>
            <w:pPr>
              <w:jc w:val="right"/>
              <w:ind w:right="166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jc w:val="right"/>
              <w:ind w:right="16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80" w:type="dxa"/>
            <w:vAlign w:val="bottom"/>
            <w:gridSpan w:val="2"/>
          </w:tcPr>
          <w:p>
            <w:pPr>
              <w:jc w:val="right"/>
              <w:ind w:right="16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jc w:val="right"/>
              <w:ind w:right="166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61,552</w:t>
            </w:r>
          </w:p>
        </w:tc>
        <w:tc>
          <w:tcPr>
            <w:tcW w:w="1640" w:type="dxa"/>
            <w:vAlign w:val="bottom"/>
            <w:tcBorders>
              <w:bottom w:val="single" w:sz="8" w:color="auto"/>
            </w:tcBorders>
          </w:tcPr>
          <w:p>
            <w:pPr>
              <w:spacing w:after="0"/>
              <w:rPr>
                <w:sz w:val="18"/>
                <w:szCs w:val="18"/>
                <w:color w:val="auto"/>
              </w:rPr>
            </w:pPr>
          </w:p>
        </w:tc>
      </w:tr>
      <w:tr>
        <w:trPr>
          <w:trHeight w:val="208"/>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payments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61,552</w:t>
            </w:r>
          </w:p>
        </w:tc>
        <w:tc>
          <w:tcPr>
            <w:tcW w:w="1640" w:type="dxa"/>
            <w:vAlign w:val="bottom"/>
            <w:shd w:val="clear" w:color="auto" w:fill="CCEEFF"/>
          </w:tcPr>
          <w:p>
            <w:pPr>
              <w:spacing w:after="0"/>
              <w:rPr>
                <w:sz w:val="18"/>
                <w:szCs w:val="18"/>
                <w:color w:val="auto"/>
              </w:rPr>
            </w:pPr>
          </w:p>
        </w:tc>
      </w:tr>
      <w:tr>
        <w:trPr>
          <w:trHeight w:val="215"/>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 and debt issuance costs</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640" w:type="dxa"/>
            <w:vAlign w:val="bottom"/>
            <w:tcBorders>
              <w:bottom w:val="single" w:sz="8" w:color="auto"/>
            </w:tcBorders>
          </w:tcPr>
          <w:p>
            <w:pPr>
              <w:spacing w:after="0"/>
              <w:rPr>
                <w:sz w:val="18"/>
                <w:szCs w:val="18"/>
                <w:color w:val="auto"/>
              </w:rPr>
            </w:pPr>
          </w:p>
        </w:tc>
      </w:tr>
      <w:tr>
        <w:trPr>
          <w:trHeight w:val="248"/>
        </w:trPr>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59,504</w:t>
            </w:r>
          </w:p>
        </w:tc>
        <w:tc>
          <w:tcPr>
            <w:tcW w:w="1640" w:type="dxa"/>
            <w:vAlign w:val="bottom"/>
            <w:shd w:val="clear" w:color="auto" w:fill="CCEEFF"/>
          </w:tcPr>
          <w:p>
            <w:pPr>
              <w:spacing w:after="0"/>
              <w:rPr>
                <w:sz w:val="21"/>
                <w:szCs w:val="21"/>
                <w:color w:val="auto"/>
              </w:rPr>
            </w:pPr>
          </w:p>
        </w:tc>
      </w:tr>
      <w:tr>
        <w:trPr>
          <w:trHeight w:val="652"/>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w:t>
            </w:r>
          </w:p>
        </w:tc>
        <w:tc>
          <w:tcPr>
            <w:tcW w:w="500" w:type="dxa"/>
            <w:vAlign w:val="bottom"/>
          </w:tcPr>
          <w:p>
            <w:pPr>
              <w:spacing w:after="0"/>
              <w:rPr>
                <w:sz w:val="24"/>
                <w:szCs w:val="24"/>
                <w:color w:val="auto"/>
              </w:rPr>
            </w:pPr>
          </w:p>
        </w:tc>
        <w:tc>
          <w:tcPr>
            <w:tcW w:w="574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Revenue, net</w:t>
            </w: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AZSTARYS License Agreement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entered into a Collaboration and License Agreement (the “AZSTARYS License Agreement”) with Commave Therapeutics SA (formerly known as Boston Pharmaceutical S.A.) ("Commave"), an affiliate of Gurnet Point Capital, L.P., dated September 3, 2019. Under the AZSTARYS License Agreement, as amended, the Company granted to Commave an exclusive, worldwide license to develop, manufacture and commercialize the Company’s product candidates containing SDX and d-MPH, including AZSTARYS, or any other product candidates containing SDX and developed to treat ADHD or any other central nervous system disorder. Corium Inc. was tasked by Commave to lead all commercialization activities for AZSTARYS under the AZSTARYS License Agreement. Pursuant to the AZSTARYS License Agreement, Commave agreed to pay milestone payments up to an aggregate of $590.0 million upon the occurrence of specified regulatory milestones related to AZSTARYS, additional fixed payments upon the achievement of specified U.S. sales milestones, and quarterly, tiered royalty payments based on a range of percentages of net sales (as defined in the AZSTARYS License Agreement). Commave is obligated to make such royalty payments on a product-by-product basis until expiration of the royalty term for the applicable product.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concluded that these regulatory milestones, sales milestones and royalty payments each contain a significant uncertainty associated with a future event. As such, these milestone and royalty payments are constrained at contract inception and are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and royalty payments are constrained by considering both the likelihood and magnitude of the potential revenue reversal. For the year ended December 31, 2024, the Company recognized $4.3 million of revenue under the AZSTARYS License Agreement, respectively, primarily related to royalties. For the year ended December 31, 2023, the Company recognized revenue under the AZSTARYS License Agreement of $18.5 million, which includes $15.0 million in net sales milestone payments earned during the year then ended. There was no deferred revenue related to this agreement as of December 31, 2024, and 2023. All revenues recognized under this agreement derived in the United States.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accordance with the terms of the Company’s Termination Agreement with Aquestive Therapeutics ("Aquestive") dated March 20, 2012, Aquestive has the right to receive an amount equal to 10% of any royalty or milestone payments made to the Company related to AZSTARYS or KP1077 under the AZSTARYS License Agreement.</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AZSTARYS License Agreement is within the scope of ASC 606, as the transaction represents a contract with a customer where the participants function in a customer / vendor relationship and are not exposed equally to the risks and rewards of the activities contemplated under the AZSTARYS License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Relief Exclusive License Agreement</w:t>
      </w:r>
    </w:p>
    <w:p>
      <w:pPr>
        <w:spacing w:after="0" w:line="2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As a condition to entering into the Merger Agreement, Acer and Relief Therapeutics SA ("Relief") entered into an exclusive license agreement on August 30, 2023 (the “Relief License Agreement”). Pursuant to the Relief License Agreement, Relief will hold exclusive development and commercialization rights for OLPRUVA in the European Union, Liechtenstein, San Marino, Vatican City, Norway, Iceland, Principality of Monaco, Andorra, Gibraltar, Switzerland, United Kingdom, Albania, Bosnia, Kosovo, Montenegro, Serbia and North Macedonia ("Geographical Europe"). The Company will have the right to receive a royalty of up to 10% of the net sales of OLPRUVA in Geographical Europe. For the year ended December 31, 2024, the Company did not recognize any revenue under the Relief License Agreement. There was no deferred revenue related to this agreement as of December 31, 2024, and 2023. For further discussion of the Relief License Agreement, see Note T.</w:t>
      </w:r>
    </w:p>
    <w:p>
      <w:pPr>
        <w:sectPr>
          <w:pgSz w:w="11900" w:h="16838" w:orient="portrait"/>
          <w:cols w:equalWidth="0" w:num="1">
            <w:col w:w="11240"/>
          </w:cols>
          <w:pgMar w:left="320" w:top="107" w:right="339" w:bottom="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13295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 Net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Expanded Access Program</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revenue includes revenue from the sale of arimoclomol for the treatment of NPC under the remunerated expanded access compassionate use program in France, Accès Compassionnnel (“French AC”). An expanded access compassionate use program is a program giving specific patients access to a drug, which is not yet approved for commercial sale. Only drugs targeting serious or rare indications and for which there is currently no appropriate treatment are considered for expanded access compassionate use programs. Further, to be considered for the expanded access compassionate use program, the drug must have proven efficacy and safety and must either be undergoing price negotiations or seeking marketing approval.</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ASC 606, the Company recognizes revenue when fulfilling its performance obligation under the Expanded Access Program ("EAP")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the customer acceptance has been received. Revenue is recognized net of sales deductions, including discounts, rebates, applicable distributor fees, and revenue-based taxes.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French Health Authorities and the manufacturer have agreed to a price for sales under the French AC, but the final transaction price depends on the terms and conditions in the contracts with the French Health Authorities and is subject to price negotiations with the French Health Authorities following market approval. Any excess in the price charged the manufacturer compared to the price agreed with the health authorities once the drug product is approved in France must be repaid. The repayment is considered in the clawback liability (rebate). An estimate of net revenue and clawback liability are recognized using the ‘expected value’ method. Accounting for net revenue and clawback liability requires determination of the most appropriate method for the expected final transaction price. This estimate also requires assumptions with respect to inputs into the method, including current pricing of comparable marketed products within the rare disease area in France. Management has considered the expected final sales price as well as the price of similar drug products. The Company is operating within a rare disease therapeutic area where there is unmet treatment need and hence a limited number of comparable commercialized drugs products. The limited available relevant market information for directly comparable commercialized drugs within rare disease increases the uncertainty in management's estimate.</w:t>
      </w:r>
    </w:p>
    <w:p>
      <w:pPr>
        <w:spacing w:after="0" w:line="1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recognized revenue related to the EAP in France of $9.1 million and $8.7 million, respectively, which is net of a clawback liability of $ 5.7 million and $5 .1 million, respectively, and other gross to net adjustments. The total estimated reserve liability as of December 31, 2024, and 2023 was $12 .6 million and $12.2 million, respectively. As of December 31, 2024, and 2023, this estimated reserve liability is recorded as discount and rebate liabilities in the consolidated balance sheets and is separated into current and long-term based upon the timing of the expected payment to the French regulators.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December 27, 2022, the FDA approved OLPRUVA (sodium phenylbutyrate), a prescription medicine used along with certain therapy, including changes in diet, for the long-term management of adults and children with UCDs weighing 44 pounds (20 kg) or greater and with a body surface area of 1.2m2 or greater. On November 17, 2023, the Company acquired OLPRUVA in connection with the Merger (Note T). For the year ended December 31, 2024, sales of OLPRUVA were $0.1 million. For the year ended December 31, 2023, there were no sales of OLPRUVA.</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September 20, 2024, the NDA for MIPLYFFA, an orally-delivered treatment for NPC, which is an ultra-rare and progressive neurodegenerative disease, was approved. For the year ended December 31, 2024, net sales of MIPLYFFA were $10.1 million.</w:t>
      </w:r>
    </w:p>
    <w:p>
      <w:pPr>
        <w:spacing w:after="0" w:line="16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Company currently utilizes a single specialty pharmacy provider as its sole distributor for both OLPRUVA and MIPLYFFA. The Company also enters into arrangements with health care providers and payors that provide for government mandated and/or privately negotiated rebates with respect to the purchase of its products. To commercialize OLPRUVA for oral suspension and MIPLYFFA in the U.S., the Company has built marketing, sales, medical affairs, distribution, managerial and other non-technical capabilities or is making arrangements with third parties to perform these services. All revenues derived from sales of OLPRUVA and MIPLYFFA are in the United States.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720" w:hanging="693"/>
        <w:spacing w:after="0"/>
        <w:tabs>
          <w:tab w:leader="none" w:pos="7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Litigation Related to the Merger</w:t>
      </w:r>
    </w:p>
    <w:p>
      <w:pPr>
        <w:spacing w:after="0" w:line="225"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On October 12, 2023, Brodsky &amp; Smith, purporting to act as counsel for Jerry Beavee, who was asserted to be a stockholder of Acer, filed a complaint entitled Jerry Beavee v. Acer Therapeutics Inc., et al., No. 1:23-cv-08995 in the United States District Court for the Southern District of New York (the "Action") alleging that defendants violated Section 14(a) and 20(a) of the Securities Exchange Act of 1934 by filing the Preliminary Merger Registration Statement which allegedly omitted certain information that such counsel asserts is material to Acer’s required disclosure.</w:t>
      </w:r>
    </w:p>
    <w:p>
      <w:pPr>
        <w:spacing w:after="0" w:line="181"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On October 30, 2023, Acer filed with the SEC a Schedule DEF14A that contained additional information regarding the Merger, which mooted the disclosure claims alleged in the Action. On December 8, 2023, Jerry Beavee filed with the court a notice of dismissal of the Action without prejudice.</w:t>
      </w:r>
    </w:p>
    <w:p>
      <w:pPr>
        <w:spacing w:after="0" w:line="162"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October 20, 2023, Long Law, LLC and Acocelli Law, PLLC, purporting to act as counsel for Kevin Turner, who was asserted to be a stockholder of Acer, filed a complaint entitled Kevin Turner v. Acer Therapeutics Inc., et al., No. 1:23-cv-01185 in the United States District Court for the District of Delaware alleging that defendants violated Section 14(a) and 20(a) of the Securities Exchange Act of 1934 as well as SEC Rule 14a-9 by filing the Definitive Proxy Statement which allegedly omitted certain information that such counsel asserts is material to Acer’s required disclosure. The complaint prays that, if asserted omissions are not adequately corrected, then Turner will seek to enjoin Acer from holding a stockholder meeting to approve the Merger and, if the Merger closes, will seek to rescind it and seek an award of damages.</w:t>
      </w:r>
    </w:p>
    <w:p>
      <w:pPr>
        <w:spacing w:after="0" w:line="185"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October 20, 2023, Long Law, LLC, purporting to act as counsel for Matthew Jones, who was asserted to be a stockholder of Acer, filed a complaint entitled Matthew Jones v. Acer Therapeutics Inc., et al., No. 1:23-cv-01186 in the United States District Court for the District of Delaware alleging that defendants violated Section 14(a) and 20(a) of the Securities Exchange Act of 1934 as well as SEC Rule 14a-9 by filing the Definitive Proxy Statement which allegedly omitted certain information that such counsel asserts is material to the Acer’s required disclosure. The complaint prays that, if asserted omissions are not adequately corrected, then Jones will seek to enjoin Acer from holding a stockholder meeting to approve the Merger and, if the Merger closes, will seek to rescind it and seek an award of damages.</w:t>
      </w:r>
    </w:p>
    <w:p>
      <w:pPr>
        <w:spacing w:after="0" w:line="185"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On June 19, 2024, the Company entered into a confidential fee agreement (the "Fee Agreement") to settle the above stockholder litigation matters related to the Merger. The parties to the Fee Agreement were entitled to an aggregate payment of approximately $0.3 million, which was paid during the second quarter of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37" w:name="page138"/>
    <w:bookmarkEnd w:id="13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Related to the AZSTARYS License Agreement</w:t>
      </w:r>
    </w:p>
    <w:p>
      <w:pPr>
        <w:spacing w:after="0" w:line="225"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In September 2024, the Company became engaged in a legal dispute regarding the AZSTARYS License Agreement. The litigation is in its early stages. The Company cannot predict with certainty the timing or ultimate outcome of this litigation or its potential impact on the Company's business, financial condition, or results of operations. At this time, the Company has not recorded any accrual for contingent liability associated with this matter. The AZSTARYS License Agreement remains in effect during this litigation, and both parties continue to perform their respective obligations thereunder. However, there can be no assurance that this dispute will not have an adverse impact on the Company's relationship with Commave or on the Company's business. The Company will continue to monitor developments in this matter and will assess the potential impact on the Company's financial statements in future periods. The Company expects to incur significant legal expenses in connection with this litigation, which may materially affect its results of operations in future periods.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December 31, 2023, no accruals were made related to commitments and contingencies.</w:t>
      </w:r>
    </w:p>
    <w:p>
      <w:pPr>
        <w:spacing w:after="0" w:line="246" w:lineRule="exact"/>
        <w:rPr>
          <w:sz w:val="20"/>
          <w:szCs w:val="20"/>
          <w:color w:val="auto"/>
        </w:rPr>
      </w:pPr>
    </w:p>
    <w:p>
      <w:pPr>
        <w:ind w:left="720" w:hanging="693"/>
        <w:spacing w:after="0"/>
        <w:tabs>
          <w:tab w:leader="none" w:pos="7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and Warrants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Authorized, Issued, and Outstanding Common Shares</w:t>
      </w:r>
    </w:p>
    <w:p>
      <w:pPr>
        <w:spacing w:after="0" w:line="22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As of December 31, 2024, and 2023, the Company had authorized shares of common stock of 250,000,000 shares. Of the authorized shares, 55,246,401 and 43,110,360 shares of common stock were issued as of December 31, 2024, and 2023, respectively, and 53,670,709 and 41,534,668 shares of common stock were outstanding as of December 31, 2024, and 2023, respectively.</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December 31, 2024, and 2023, the Company had reserved authorized shares of common stock for future issuance as follows:</w:t>
      </w:r>
    </w:p>
    <w:p>
      <w:pPr>
        <w:spacing w:after="0" w:line="219"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11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8"/>
        </w:trPr>
        <w:tc>
          <w:tcPr>
            <w:tcW w:w="114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awards under equity incentive plans</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7,789,658</w:t>
            </w:r>
          </w:p>
        </w:tc>
        <w:tc>
          <w:tcPr>
            <w:tcW w:w="16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8,023,142</w:t>
            </w:r>
          </w:p>
        </w:tc>
      </w:tr>
      <w:tr>
        <w:trPr>
          <w:trHeight w:val="215"/>
        </w:trPr>
        <w:tc>
          <w:tcPr>
            <w:tcW w:w="114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common stock warrants</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5,483,537</w:t>
            </w: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5,603,729</w:t>
            </w:r>
          </w:p>
        </w:tc>
      </w:tr>
      <w:tr>
        <w:trPr>
          <w:trHeight w:val="215"/>
        </w:trPr>
        <w:tc>
          <w:tcPr>
            <w:tcW w:w="114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Possible future issuances under equity incentive plans</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5,383,165</w:t>
            </w:r>
          </w:p>
        </w:tc>
        <w:tc>
          <w:tcPr>
            <w:tcW w:w="16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1,728,885</w:t>
            </w:r>
          </w:p>
        </w:tc>
      </w:tr>
      <w:tr>
        <w:trPr>
          <w:trHeight w:val="215"/>
        </w:trPr>
        <w:tc>
          <w:tcPr>
            <w:tcW w:w="11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Possible future issuances under employee stock purchase plan</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1,148,012</w:t>
            </w:r>
          </w:p>
        </w:tc>
        <w:tc>
          <w:tcPr>
            <w:tcW w:w="80" w:type="dxa"/>
            <w:vAlign w:val="bottom"/>
          </w:tcPr>
          <w:p>
            <w:pPr>
              <w:spacing w:after="0"/>
              <w:rPr>
                <w:sz w:val="18"/>
                <w:szCs w:val="18"/>
                <w:color w:val="auto"/>
              </w:rPr>
            </w:pPr>
          </w:p>
        </w:tc>
        <w:tc>
          <w:tcPr>
            <w:tcW w:w="16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1,340,172</w:t>
            </w:r>
          </w:p>
        </w:tc>
      </w:tr>
      <w:tr>
        <w:trPr>
          <w:trHeight w:val="248"/>
        </w:trPr>
        <w:tc>
          <w:tcPr>
            <w:tcW w:w="114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common shares reserved for future issuance</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19,804,372</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16,695,928</w:t>
            </w:r>
          </w:p>
        </w:tc>
      </w:tr>
      <w:tr>
        <w:trPr>
          <w:trHeight w:val="411"/>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Activity</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0"/>
        </w:trPr>
        <w:tc>
          <w:tcPr>
            <w:tcW w:w="8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common stock activity for the years ended December 31, 2024 and 2023: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7"/>
        </w:trPr>
        <w:tc>
          <w:tcPr>
            <w:tcW w:w="11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215"/>
        </w:trPr>
        <w:tc>
          <w:tcPr>
            <w:tcW w:w="11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37"/>
        </w:trPr>
        <w:tc>
          <w:tcPr>
            <w:tcW w:w="114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08"/>
        </w:trPr>
        <w:tc>
          <w:tcPr>
            <w:tcW w:w="1140" w:type="dxa"/>
            <w:vAlign w:val="bottom"/>
          </w:tcPr>
          <w:p>
            <w:pPr>
              <w:spacing w:after="0"/>
              <w:rPr>
                <w:sz w:val="18"/>
                <w:szCs w:val="18"/>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34,540,304</w:t>
            </w:r>
          </w:p>
        </w:tc>
      </w:tr>
      <w:tr>
        <w:trPr>
          <w:trHeight w:val="208"/>
        </w:trPr>
        <w:tc>
          <w:tcPr>
            <w:tcW w:w="1140" w:type="dxa"/>
            <w:vAlign w:val="bottom"/>
          </w:tcPr>
          <w:p>
            <w:pPr>
              <w:spacing w:after="0"/>
              <w:rPr>
                <w:sz w:val="18"/>
                <w:szCs w:val="18"/>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stock issued as compensation to third-parties</w:t>
            </w:r>
          </w:p>
        </w:tc>
        <w:tc>
          <w:tcPr>
            <w:tcW w:w="1260" w:type="dxa"/>
            <w:vAlign w:val="bottom"/>
          </w:tcPr>
          <w:p>
            <w:pPr>
              <w:spacing w:after="0"/>
              <w:rPr>
                <w:sz w:val="18"/>
                <w:szCs w:val="18"/>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44,791</w:t>
            </w:r>
          </w:p>
        </w:tc>
      </w:tr>
      <w:tr>
        <w:trPr>
          <w:trHeight w:val="215"/>
        </w:trPr>
        <w:tc>
          <w:tcPr>
            <w:tcW w:w="1140" w:type="dxa"/>
            <w:vAlign w:val="bottom"/>
          </w:tcPr>
          <w:p>
            <w:pPr>
              <w:spacing w:after="0"/>
              <w:rPr>
                <w:sz w:val="18"/>
                <w:szCs w:val="18"/>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issued as a result of stock warrants exercised</w:t>
            </w:r>
          </w:p>
        </w:tc>
        <w:tc>
          <w:tcPr>
            <w:tcW w:w="12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r>
      <w:tr>
        <w:trPr>
          <w:trHeight w:val="215"/>
        </w:trPr>
        <w:tc>
          <w:tcPr>
            <w:tcW w:w="1140" w:type="dxa"/>
            <w:vAlign w:val="bottom"/>
          </w:tcPr>
          <w:p>
            <w:pPr>
              <w:spacing w:after="0"/>
              <w:rPr>
                <w:sz w:val="18"/>
                <w:szCs w:val="18"/>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stock issued as a result of stock options exercised</w:t>
            </w:r>
          </w:p>
        </w:tc>
        <w:tc>
          <w:tcPr>
            <w:tcW w:w="1260" w:type="dxa"/>
            <w:vAlign w:val="bottom"/>
          </w:tcPr>
          <w:p>
            <w:pPr>
              <w:spacing w:after="0"/>
              <w:rPr>
                <w:sz w:val="18"/>
                <w:szCs w:val="18"/>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7,500</w:t>
            </w:r>
          </w:p>
        </w:tc>
      </w:tr>
      <w:tr>
        <w:trPr>
          <w:trHeight w:val="215"/>
        </w:trPr>
        <w:tc>
          <w:tcPr>
            <w:tcW w:w="1140" w:type="dxa"/>
            <w:vAlign w:val="bottom"/>
          </w:tcPr>
          <w:p>
            <w:pPr>
              <w:spacing w:after="0"/>
              <w:rPr>
                <w:sz w:val="18"/>
                <w:szCs w:val="18"/>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repurchased as a result of the Stock Repurchase Program</w:t>
            </w:r>
          </w:p>
        </w:tc>
        <w:tc>
          <w:tcPr>
            <w:tcW w:w="12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(665,739)</w:t>
            </w:r>
          </w:p>
        </w:tc>
      </w:tr>
      <w:tr>
        <w:trPr>
          <w:trHeight w:val="215"/>
        </w:trPr>
        <w:tc>
          <w:tcPr>
            <w:tcW w:w="1140" w:type="dxa"/>
            <w:vAlign w:val="bottom"/>
          </w:tcPr>
          <w:p>
            <w:pPr>
              <w:spacing w:after="0"/>
              <w:rPr>
                <w:sz w:val="18"/>
                <w:szCs w:val="18"/>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stock issued in connection with the Merger (Note T)</w:t>
            </w:r>
          </w:p>
        </w:tc>
        <w:tc>
          <w:tcPr>
            <w:tcW w:w="1260" w:type="dxa"/>
            <w:vAlign w:val="bottom"/>
          </w:tcPr>
          <w:p>
            <w:pPr>
              <w:spacing w:after="0"/>
              <w:rPr>
                <w:sz w:val="18"/>
                <w:szCs w:val="18"/>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7,530,509</w:t>
            </w:r>
          </w:p>
        </w:tc>
      </w:tr>
      <w:tr>
        <w:trPr>
          <w:trHeight w:val="215"/>
        </w:trPr>
        <w:tc>
          <w:tcPr>
            <w:tcW w:w="1140" w:type="dxa"/>
            <w:vAlign w:val="bottom"/>
          </w:tcPr>
          <w:p>
            <w:pPr>
              <w:spacing w:after="0"/>
              <w:rPr>
                <w:sz w:val="18"/>
                <w:szCs w:val="18"/>
                <w:color w:val="auto"/>
              </w:rPr>
            </w:pPr>
          </w:p>
        </w:tc>
        <w:tc>
          <w:tcPr>
            <w:tcW w:w="60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issued as a result of the Employee Stock Purchase Plan</w:t>
            </w:r>
          </w:p>
        </w:tc>
        <w:tc>
          <w:tcPr>
            <w:tcW w:w="1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77,193</w:t>
            </w:r>
          </w:p>
        </w:tc>
      </w:tr>
      <w:tr>
        <w:trPr>
          <w:trHeight w:val="208"/>
        </w:trPr>
        <w:tc>
          <w:tcPr>
            <w:tcW w:w="114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41,534,668</w:t>
            </w:r>
          </w:p>
        </w:tc>
      </w:tr>
      <w:tr>
        <w:trPr>
          <w:trHeight w:val="208"/>
        </w:trPr>
        <w:tc>
          <w:tcPr>
            <w:tcW w:w="1140" w:type="dxa"/>
            <w:vAlign w:val="bottom"/>
          </w:tcPr>
          <w:p>
            <w:pPr>
              <w:spacing w:after="0"/>
              <w:rPr>
                <w:sz w:val="18"/>
                <w:szCs w:val="18"/>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issued in connection with the Public Offering (Note B)</w:t>
            </w:r>
          </w:p>
        </w:tc>
        <w:tc>
          <w:tcPr>
            <w:tcW w:w="12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10,615,385</w:t>
            </w:r>
          </w:p>
        </w:tc>
      </w:tr>
      <w:tr>
        <w:trPr>
          <w:trHeight w:val="215"/>
        </w:trPr>
        <w:tc>
          <w:tcPr>
            <w:tcW w:w="1140" w:type="dxa"/>
            <w:vAlign w:val="bottom"/>
          </w:tcPr>
          <w:p>
            <w:pPr>
              <w:spacing w:after="0"/>
              <w:rPr>
                <w:sz w:val="18"/>
                <w:szCs w:val="18"/>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stock issued in connection with restricted stock units</w:t>
            </w:r>
          </w:p>
        </w:tc>
        <w:tc>
          <w:tcPr>
            <w:tcW w:w="1260" w:type="dxa"/>
            <w:vAlign w:val="bottom"/>
          </w:tcPr>
          <w:p>
            <w:pPr>
              <w:spacing w:after="0"/>
              <w:rPr>
                <w:sz w:val="18"/>
                <w:szCs w:val="18"/>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218,000</w:t>
            </w:r>
          </w:p>
        </w:tc>
      </w:tr>
      <w:tr>
        <w:trPr>
          <w:trHeight w:val="215"/>
        </w:trPr>
        <w:tc>
          <w:tcPr>
            <w:tcW w:w="1140" w:type="dxa"/>
            <w:vAlign w:val="bottom"/>
          </w:tcPr>
          <w:p>
            <w:pPr>
              <w:spacing w:after="0"/>
              <w:rPr>
                <w:sz w:val="18"/>
                <w:szCs w:val="18"/>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issued as compensation to third-parties</w:t>
            </w:r>
          </w:p>
        </w:tc>
        <w:tc>
          <w:tcPr>
            <w:tcW w:w="12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92,988</w:t>
            </w:r>
          </w:p>
        </w:tc>
      </w:tr>
      <w:tr>
        <w:trPr>
          <w:trHeight w:val="215"/>
        </w:trPr>
        <w:tc>
          <w:tcPr>
            <w:tcW w:w="1140" w:type="dxa"/>
            <w:vAlign w:val="bottom"/>
          </w:tcPr>
          <w:p>
            <w:pPr>
              <w:spacing w:after="0"/>
              <w:rPr>
                <w:sz w:val="18"/>
                <w:szCs w:val="18"/>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stock issued in connection with vesting of performance-based awards</w:t>
            </w:r>
          </w:p>
        </w:tc>
        <w:tc>
          <w:tcPr>
            <w:tcW w:w="1260" w:type="dxa"/>
            <w:vAlign w:val="bottom"/>
          </w:tcPr>
          <w:p>
            <w:pPr>
              <w:spacing w:after="0"/>
              <w:rPr>
                <w:sz w:val="18"/>
                <w:szCs w:val="18"/>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547,945</w:t>
            </w:r>
          </w:p>
        </w:tc>
      </w:tr>
      <w:tr>
        <w:trPr>
          <w:trHeight w:val="215"/>
        </w:trPr>
        <w:tc>
          <w:tcPr>
            <w:tcW w:w="1140" w:type="dxa"/>
            <w:vAlign w:val="bottom"/>
          </w:tcPr>
          <w:p>
            <w:pPr>
              <w:spacing w:after="0"/>
              <w:rPr>
                <w:sz w:val="18"/>
                <w:szCs w:val="18"/>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issued as a result of stock options exercised</w:t>
            </w:r>
          </w:p>
        </w:tc>
        <w:tc>
          <w:tcPr>
            <w:tcW w:w="12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469,563</w:t>
            </w:r>
          </w:p>
        </w:tc>
      </w:tr>
      <w:tr>
        <w:trPr>
          <w:trHeight w:val="215"/>
        </w:trPr>
        <w:tc>
          <w:tcPr>
            <w:tcW w:w="1140" w:type="dxa"/>
            <w:vAlign w:val="bottom"/>
          </w:tcPr>
          <w:p>
            <w:pPr>
              <w:spacing w:after="0"/>
              <w:rPr>
                <w:sz w:val="18"/>
                <w:szCs w:val="18"/>
                <w:color w:val="auto"/>
              </w:rPr>
            </w:pPr>
          </w:p>
        </w:tc>
        <w:tc>
          <w:tcPr>
            <w:tcW w:w="6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stock issued as a result of the Employee Stock Purchase Plan</w:t>
            </w:r>
          </w:p>
        </w:tc>
        <w:tc>
          <w:tcPr>
            <w:tcW w:w="12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192,160</w:t>
            </w:r>
          </w:p>
        </w:tc>
      </w:tr>
      <w:tr>
        <w:trPr>
          <w:trHeight w:val="248"/>
        </w:trPr>
        <w:tc>
          <w:tcPr>
            <w:tcW w:w="11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53,670,709</w:t>
            </w:r>
          </w:p>
        </w:tc>
      </w:tr>
    </w:tbl>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Authorized, Issued, and Outstanding Preferred Stock</w:t>
      </w:r>
    </w:p>
    <w:p>
      <w:pPr>
        <w:spacing w:after="0" w:line="227" w:lineRule="exact"/>
        <w:rPr>
          <w:sz w:val="20"/>
          <w:szCs w:val="20"/>
          <w:color w:val="auto"/>
        </w:rPr>
      </w:pPr>
    </w:p>
    <w:p>
      <w:pPr>
        <w:ind w:left="20"/>
        <w:spacing w:after="0" w:line="280" w:lineRule="auto"/>
        <w:rPr>
          <w:sz w:val="20"/>
          <w:szCs w:val="20"/>
          <w:color w:val="auto"/>
        </w:rPr>
      </w:pPr>
      <w:r>
        <w:rPr>
          <w:rFonts w:ascii="Times New Roman" w:cs="Times New Roman" w:eastAsia="Times New Roman" w:hAnsi="Times New Roman"/>
          <w:sz w:val="18"/>
          <w:szCs w:val="18"/>
          <w:color w:val="auto"/>
        </w:rPr>
        <w:t>As of December 31, 2024, and 2023, the Company had 10,000,000 shares of authorized, unallocated and unissued preferred stock. As of December 31, 2024, and 2023, no shares of preferred stock were designated, issued or outstanding.</w:t>
      </w:r>
    </w:p>
    <w:p>
      <w:pPr>
        <w:sectPr>
          <w:pgSz w:w="11900" w:h="16838" w:orient="portrait"/>
          <w:cols w:equalWidth="0" w:num="1">
            <w:col w:w="11260"/>
          </w:cols>
          <w:pgMar w:left="300" w:top="121" w:right="339"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92075</wp:posOffset>
            </wp:positionV>
            <wp:extent cx="713295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Common Stock</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has issued warrants to purchase common stock to various third parties, of which 5,483,537 remain outstanding as of December 31, 2024, and are immediately exercisable. These warrants qualify as participating securities under ASC Topic 260, Earnings per Share, and are treated as such in the net loss per share calculation (Note P). The Company may be required to redeem these warrants for a cash amount equal to the Black-Scholes value of the portion of the warrants to be redeemed (the “Put Option”).</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Merger (Note T), in November 2023, the Company directly issued to certain investors an aggregate of 1,382,489 shares of its common stock, par value $0.0001 per share, and accompanying warrants to purchase up to 1,382,489 shares of its common stock (the "2023 Warrants") at a combined offering price of $4.34 per share of common stock and the Warrants and an aggregate of 917,934 shares of its common stock in exchange for the cancellation of a warrant to purchase 2,920,306 shares of common stock of Acer. The Warrants are immediately exercisable and expire on November 22, 2028. The Company used the net proceeds of approximately $6.0 million from the offering for general corporate purposes. These warrants are separately exercisable by the warrant holders. While the warrants are outstanding (but unexercised), the warrant holders will participate in any dividend or other distribution of the Company’s assets to its common stockholders by way of return of capital or otherwise. As of December 31, 2024, and December 31, 2023, none of the warrants have been exercised. The warrants have been evaluated to determine the appropriate accounting and classification pursuant to ASC 480 and ASC 815. Generally, freestanding warrants should be classified as (i) liabilities if the warrant terms allow settlement of the warrant exercise in cash and (ii) equity if the warrant terms only allow settlement in shares of common stock.</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determined that its outstanding warrants and the Put Option should be recorded as a liability and stated at fair value at each reporting period. Changes to the fair value of the warrant liability are recorded through the consolidated statements of operations as a fair value adjustment related to warrant and CVR liability. As of December 31, 2024, and December 31, 2023, the fair value of the liability associated with these warrants and the Put Option was approximately $17.8 million and $16.1 million, respectively. The fair value adjustment related to these warrants and the Put Option was approximately $1.7 million of loss and ($1.4) million of income for the years ended December 31, 2024, and 2023, respectively.</w:t>
      </w:r>
    </w:p>
    <w:p>
      <w:pPr>
        <w:spacing w:after="0" w:line="209" w:lineRule="exact"/>
        <w:rPr>
          <w:sz w:val="20"/>
          <w:szCs w:val="20"/>
          <w:color w:val="auto"/>
        </w:rPr>
      </w:pPr>
    </w:p>
    <w:p>
      <w:pPr>
        <w:ind w:left="700" w:hanging="693"/>
        <w:spacing w:after="0"/>
        <w:tabs>
          <w:tab w:leader="none" w:pos="70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maintains a stock-based compensation plan (the “Incentive Stock Plan”) that governs stock awards made to employees and directors prior to completion of the IPO.</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2014, the Board of Directors of the Company ("the Board"), and in April 2015, the Company’s stockholders, approved the Company’s 2014 Equity Incentive Plan (the “2014 Plan”), which became effective in April 2015. The 2014 Plan provides for the grant of stock options, other forms of equity compensation, and performance cash awards. In June 2021, the Company's stockholders approved an Amended and Restated 2014 Equity Incentive Plan (the "A&amp;R 2014 Plan"), following its adoption by the Board in April 2021, which among other things added 4,900,000 shares to the maximum number of shares of common stock to be issued under the plan and extended the annual automatic increases (discussed further below) until January 1, 2031 and eliminated individual grant limits that applied under the 2014 Plan to awards that were intended to comply with the exemption for "performance-based compensation" under Code Section 162(m). The maximum number of shares of common stock that may be issued under the A&amp;R 2014 Plan was 9,932,883 as of December 31, 2024. The number of shares of common stock reserved for issuance under the A&amp;R 2014 Plan will automatically increase on January 1 of each year, beginning on January 1, 2016, and ending on and including January 1, 2031, by 4% of the total number of shares of the Company’s capital stock outstanding on December 31 of the preceding calendar year, or a lesser number of shares determined by the Board. Pursuant to the terms of the A&amp;R 2014 Plan, on January 1, 2025, the common stock reserved for issuance under the A&amp;R 2014 Plan automatically increased by 2,146,828 shares.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2024, and 2023, 1,177,545 and 7,500 stock options were exercised, respectively.</w:t>
      </w:r>
    </w:p>
    <w:p>
      <w:pPr>
        <w:spacing w:after="0" w:line="2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January 2023, the Board approved the 2023 Employment Inducement Award Plan (as amended, the “2023 Plan”). The maximum number of shares of common stock that may be issued under the 2023 Plan is 4,500,000 as of December 31, 2024.</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Stock-based compensation expense recorded under the Incentive Stock Plan, A&amp;R 2014 Plan, and 2023 Plan is included in the following line items in the accompanying consolidated statements of operations (in thousands):</w:t>
      </w:r>
    </w:p>
    <w:p>
      <w:pPr>
        <w:spacing w:after="0" w:line="373"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4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8"/>
        </w:trPr>
        <w:tc>
          <w:tcPr>
            <w:tcW w:w="4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8"/>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2,664</w:t>
            </w:r>
          </w:p>
        </w:tc>
      </w:tr>
      <w:tr>
        <w:trPr>
          <w:trHeight w:val="215"/>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3,290</w:t>
            </w:r>
          </w:p>
        </w:tc>
      </w:tr>
      <w:tr>
        <w:trPr>
          <w:trHeight w:val="228"/>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14,906</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5,954</w:t>
            </w:r>
          </w:p>
        </w:tc>
      </w:tr>
      <w:tr>
        <w:trPr>
          <w:trHeight w:val="20"/>
        </w:trPr>
        <w:tc>
          <w:tcPr>
            <w:tcW w:w="464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$2.5 million of stock-based compensation expense related to performance-based awards recognized during the year ended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stock-based compensation expense related to performance-based awards recognized during the year ended December 31, 2023.</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a result of transition agreements entered into with certain former employees, the vesting for certain stock options was accelerated, resulting in a net increase in stock-based compensation expense of $2.4 million for the year ended December 31, 2024. The effects of this accelerated vesting are reflected in the table above within research and development expenses.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a result of transition agreements entered into with certain former employees, certain stock options were modified, resulting in a net decrease in stock-based compensation expense of $1.2 million for the year ended December 31, 2023. The effects of those modifications are reflected in the table above within selling, general, and administrative expenses.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June 2021, the Company's stockholders approved an Employee Stock Purchase Plan (the "ESPP"), following its adoption by the Board in April 2021. The maximum number of shares of common stock that may be issued under the ESPP is 1,500,000. The first offering period under the ESPP began on October 1, 2021, and the first purchase date occurred on May 31, 2022. As of December 31, 2024, 351,988 shares have been issued under the ESPP.</w:t>
      </w:r>
    </w:p>
    <w:p>
      <w:pPr>
        <w:sectPr>
          <w:pgSz w:w="11900" w:h="16838" w:orient="portrait"/>
          <w:cols w:equalWidth="0" w:num="1">
            <w:col w:w="11240"/>
          </w:cols>
          <w:pgMar w:left="320" w:top="121" w:right="339" w:bottom="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1240"/>
          </w:cols>
          <w:pgMar w:left="320" w:top="121" w:right="339" w:bottom="0" w:gutter="0" w:footer="0" w:header="0"/>
          <w:type w:val="continuous"/>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estimates the fair value of stock options using the Black-Scholes option-pricing model, which requires the use of subjective assumptions, including the expected term of the option, the expected stock price volatility, expected dividend yield and the risk-free interest rate for the expected term of the option. The expected term represents the period of time the stock options are expected to be outstanding. Due to the lack of sufficient historical exercise data to provide a reasonable basis upon which to otherwise estimate the expected term of the stock options, the Company uses the simplified method to estimate the expected term for its “plain vanilla” stock options. Under the simplified method, the expected term of an option is presumed to be the mid-point between the vesting date and the end of the contractual term. Some options, for example those that have exercise prices in excess of the fair value of the underlying stock, are not considered “plain vanilla” stock options. For these options, the Company uses an expected term equal to the contractual term of the option. Expected volatility is based on the Company’s historical volatility over the estimated expected term of the stock options. The Company assumes no dividend yield because dividends are not expected to be paid in the near future, which is consistent with the Company’s history of not paying dividends.</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recognizes compensation expense related to stock-based payment transactions upon satisfaction of the requisite service or vesting requirements. Forfeitures are estimated at the time of grant and revised based on actual forfeitures, if necessary, in subsequent periods if actual forfeitures differ from those estimates.</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Using the Black-Scholes option-pricing model, the weighted-average fair value of awards granted during the years ended December 31, 2024, and 2023, fair value was $5.74 and $3.65 per share, respectively. The assumptions used to estimate fair value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80" w:type="dxa"/>
            <w:vAlign w:val="bottom"/>
          </w:tcPr>
          <w:p>
            <w:pPr>
              <w:spacing w:after="0"/>
              <w:rPr>
                <w:sz w:val="20"/>
                <w:szCs w:val="20"/>
                <w:color w:val="auto"/>
              </w:rPr>
            </w:pPr>
          </w:p>
        </w:tc>
        <w:tc>
          <w:tcPr>
            <w:tcW w:w="330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8"/>
        </w:trPr>
        <w:tc>
          <w:tcPr>
            <w:tcW w:w="568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r>
      <w:tr>
        <w:trPr>
          <w:trHeight w:val="20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3.82% - 4.50%</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3.34% - 4.79%</w:t>
            </w:r>
          </w:p>
        </w:tc>
      </w:tr>
      <w:tr>
        <w:trPr>
          <w:trHeight w:val="215"/>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5.50 - 6.25</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5.50 - 10.00</w:t>
            </w:r>
          </w:p>
        </w:tc>
      </w:tr>
      <w:tr>
        <w:trPr>
          <w:trHeight w:val="215"/>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89.85% - 91.32%</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89.48% - 93.67%</w:t>
            </w: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under the Incentive Stock Plan, A&amp;R 2014 Plan, and 2023 Plan for the year ended December 31, 2024, is summarized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Intrinsic</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8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at January 1, 2024</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7,275,197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962,700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 or released</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1,162,705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Canceled or forfeited</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314,250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809,542</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balance at December 31, 2024</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5,951,400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2,399,305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Vested and expected to vest at December 31,</w:t>
            </w:r>
          </w:p>
        </w:tc>
        <w:tc>
          <w:tcPr>
            <w:tcW w:w="1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5,764,166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32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color w:val="auto"/>
              </w:rPr>
              <w:t>2024</w:t>
            </w: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8"/>
                <w:szCs w:val="18"/>
                <w:color w:val="auto"/>
              </w:rPr>
              <w:t>6.75</w:t>
            </w:r>
          </w:p>
        </w:tc>
        <w:tc>
          <w:tcPr>
            <w:tcW w:w="240" w:type="dxa"/>
            <w:vAlign w:val="bottom"/>
            <w:gridSpan w:val="2"/>
          </w:tcPr>
          <w:p>
            <w:pPr>
              <w:jc w:val="right"/>
              <w:ind w:right="8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line="193" w:lineRule="exact"/>
              <w:rPr>
                <w:sz w:val="20"/>
                <w:szCs w:val="20"/>
                <w:color w:val="auto"/>
              </w:rPr>
            </w:pPr>
            <w:r>
              <w:rPr>
                <w:rFonts w:ascii="Times New Roman" w:cs="Times New Roman" w:eastAsia="Times New Roman" w:hAnsi="Times New Roman"/>
                <w:sz w:val="18"/>
                <w:szCs w:val="18"/>
                <w:color w:val="auto"/>
              </w:rPr>
              <w:t>16,783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currently outstanding and exercisable options as of December 31, 2024, is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00" w:type="dxa"/>
            <w:vAlign w:val="bottom"/>
          </w:tcPr>
          <w:p>
            <w:pPr>
              <w:spacing w:after="0"/>
              <w:rPr>
                <w:sz w:val="20"/>
                <w:szCs w:val="20"/>
                <w:color w:val="auto"/>
              </w:rPr>
            </w:pPr>
          </w:p>
        </w:tc>
        <w:tc>
          <w:tcPr>
            <w:tcW w:w="27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86"/>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ind w:right="10"/>
              <w:spacing w:after="0" w:line="186" w:lineRule="exact"/>
              <w:rPr>
                <w:sz w:val="20"/>
                <w:szCs w:val="20"/>
                <w:color w:val="auto"/>
              </w:rPr>
            </w:pPr>
            <w:r>
              <w:rPr>
                <w:rFonts w:ascii="Times New Roman" w:cs="Times New Roman" w:eastAsia="Times New Roman" w:hAnsi="Times New Roman"/>
                <w:sz w:val="18"/>
                <w:szCs w:val="18"/>
                <w:b w:val="1"/>
                <w:bCs w:val="1"/>
                <w:color w:val="auto"/>
                <w:w w:val="96"/>
              </w:rPr>
              <w:t>Weighted Avg</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center"/>
              <w:ind w:right="10"/>
              <w:spacing w:after="0" w:line="186" w:lineRule="exact"/>
              <w:rPr>
                <w:sz w:val="20"/>
                <w:szCs w:val="20"/>
                <w:color w:val="auto"/>
              </w:rPr>
            </w:pPr>
            <w:r>
              <w:rPr>
                <w:rFonts w:ascii="Times New Roman" w:cs="Times New Roman" w:eastAsia="Times New Roman" w:hAnsi="Times New Roman"/>
                <w:sz w:val="18"/>
                <w:szCs w:val="18"/>
                <w:b w:val="1"/>
                <w:bCs w:val="1"/>
                <w:color w:val="auto"/>
                <w:w w:val="96"/>
              </w:rPr>
              <w:t>Weighted Avg</w:t>
            </w:r>
          </w:p>
        </w:tc>
      </w:tr>
      <w:tr>
        <w:trPr>
          <w:trHeight w:val="215"/>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5"/>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Contractual</w:t>
            </w:r>
          </w:p>
        </w:tc>
      </w:tr>
      <w:tr>
        <w:trPr>
          <w:trHeight w:val="237"/>
        </w:trPr>
        <w:tc>
          <w:tcPr>
            <w:tcW w:w="20" w:type="dxa"/>
            <w:vAlign w:val="bottom"/>
          </w:tcPr>
          <w:p>
            <w:pPr>
              <w:spacing w:after="0"/>
              <w:rPr>
                <w:sz w:val="20"/>
                <w:szCs w:val="20"/>
                <w:color w:val="auto"/>
              </w:rPr>
            </w:pPr>
          </w:p>
        </w:tc>
        <w:tc>
          <w:tcPr>
            <w:tcW w:w="32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8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20"/>
                <w:szCs w:val="20"/>
                <w:color w:val="auto"/>
              </w:rPr>
            </w:pPr>
          </w:p>
        </w:tc>
        <w:tc>
          <w:tcPr>
            <w:tcW w:w="1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Term</w:t>
            </w:r>
          </w:p>
        </w:tc>
      </w:tr>
      <w:tr>
        <w:trPr>
          <w:trHeight w:val="208"/>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$2.848 to $10.00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5,841,257</w:t>
            </w:r>
          </w:p>
        </w:tc>
        <w:tc>
          <w:tcPr>
            <w:tcW w:w="1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6.91</w:t>
            </w: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2,289,162</w:t>
            </w:r>
          </w:p>
        </w:tc>
        <w:tc>
          <w:tcPr>
            <w:tcW w:w="14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4.69</w:t>
            </w:r>
          </w:p>
        </w:tc>
      </w:tr>
      <w:tr>
        <w:trPr>
          <w:trHeight w:val="215"/>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$10.01 to $30.00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1,875</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4.31</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1,875</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4.37</w:t>
            </w:r>
          </w:p>
        </w:tc>
      </w:tr>
      <w:tr>
        <w:trPr>
          <w:trHeight w:val="215"/>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$30.01 to $50.00</w:t>
            </w:r>
          </w:p>
        </w:tc>
        <w:tc>
          <w:tcPr>
            <w:tcW w:w="13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39,218</w:t>
            </w:r>
          </w:p>
        </w:tc>
        <w:tc>
          <w:tcPr>
            <w:tcW w:w="1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2.67</w:t>
            </w: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39,218</w:t>
            </w:r>
          </w:p>
        </w:tc>
        <w:tc>
          <w:tcPr>
            <w:tcW w:w="14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2.71</w:t>
            </w:r>
          </w:p>
        </w:tc>
      </w:tr>
      <w:tr>
        <w:trPr>
          <w:trHeight w:val="215"/>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$50.01 to $70.00</w:t>
            </w: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21,958</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1.60</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21,958</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1.63</w:t>
            </w:r>
          </w:p>
        </w:tc>
      </w:tr>
      <w:tr>
        <w:trPr>
          <w:trHeight w:val="215"/>
        </w:trPr>
        <w:tc>
          <w:tcPr>
            <w:tcW w:w="20" w:type="dxa"/>
            <w:vAlign w:val="bottom"/>
          </w:tcPr>
          <w:p>
            <w:pPr>
              <w:spacing w:after="0"/>
              <w:rPr>
                <w:sz w:val="18"/>
                <w:szCs w:val="18"/>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$70.01 to $327.20</w:t>
            </w:r>
          </w:p>
        </w:tc>
        <w:tc>
          <w:tcPr>
            <w:tcW w:w="136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47,092</w:t>
            </w:r>
          </w:p>
        </w:tc>
        <w:tc>
          <w:tcPr>
            <w:tcW w:w="14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47,092</w:t>
            </w:r>
          </w:p>
        </w:tc>
        <w:tc>
          <w:tcPr>
            <w:tcW w:w="14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8.34</w:t>
            </w:r>
          </w:p>
        </w:tc>
      </w:tr>
      <w:tr>
        <w:trPr>
          <w:trHeight w:val="208"/>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5,951,400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2,399,305</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stock options vested during the years ended December 31, 2024 and 2023, was$8.1 million and $9.2 million,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Unvested stock options as of December 31, 2024 and 2023, were as follows:</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11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Number of Unvested Shares</w:t>
            </w:r>
          </w:p>
        </w:tc>
        <w:tc>
          <w:tcPr>
            <w:tcW w:w="0" w:type="dxa"/>
            <w:vAlign w:val="bottom"/>
          </w:tcPr>
          <w:p>
            <w:pPr>
              <w:spacing w:after="0"/>
              <w:rPr>
                <w:sz w:val="1"/>
                <w:szCs w:val="1"/>
                <w:color w:val="auto"/>
              </w:rPr>
            </w:pPr>
          </w:p>
        </w:tc>
      </w:tr>
      <w:tr>
        <w:trPr>
          <w:trHeight w:val="208"/>
        </w:trPr>
        <w:tc>
          <w:tcPr>
            <w:tcW w:w="680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2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800" w:type="dxa"/>
            <w:vAlign w:val="bottom"/>
            <w:gridSpan w:val="3"/>
            <w:vMerge w:val="continue"/>
          </w:tcPr>
          <w:p>
            <w:pPr>
              <w:spacing w:after="0"/>
              <w:rPr>
                <w:sz w:val="18"/>
                <w:szCs w:val="18"/>
                <w:color w:val="auto"/>
              </w:rPr>
            </w:pPr>
          </w:p>
        </w:tc>
        <w:tc>
          <w:tcPr>
            <w:tcW w:w="16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5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$2.848 to $10.00</w:t>
            </w:r>
          </w:p>
        </w:tc>
        <w:tc>
          <w:tcPr>
            <w:tcW w:w="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3,552,095</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5,614,977</w:t>
            </w:r>
          </w:p>
        </w:tc>
        <w:tc>
          <w:tcPr>
            <w:tcW w:w="0" w:type="dxa"/>
            <w:vAlign w:val="bottom"/>
          </w:tcPr>
          <w:p>
            <w:pPr>
              <w:spacing w:after="0"/>
              <w:rPr>
                <w:sz w:val="1"/>
                <w:szCs w:val="1"/>
                <w:color w:val="auto"/>
              </w:rPr>
            </w:pPr>
          </w:p>
        </w:tc>
      </w:tr>
      <w:tr>
        <w:trPr>
          <w:trHeight w:val="208"/>
        </w:trPr>
        <w:tc>
          <w:tcPr>
            <w:tcW w:w="68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Total number of unvested stock options</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3,552,095</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5,614,977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As of December 31, 2024 there was $9.5 million of total unrecognized compensation cost related to unvested share-based compensation arrangements granted under the A&amp;R 2014 Plan and 2023 Plan.</w:t>
      </w:r>
    </w:p>
    <w:p>
      <w:pPr>
        <w:sectPr>
          <w:pgSz w:w="11900" w:h="16838" w:orient="portrait"/>
          <w:cols w:equalWidth="0" w:num="1">
            <w:col w:w="11240"/>
          </w:cols>
          <w:pgMar w:left="320" w:top="121" w:right="339" w:bottom="196"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13295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96"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 activity under the A&amp;R 2014 and 2023 Plan:</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5"/>
        </w:trPr>
        <w:tc>
          <w:tcPr>
            <w:tcW w:w="5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7"/>
        </w:trPr>
        <w:tc>
          <w:tcPr>
            <w:tcW w:w="5660" w:type="dxa"/>
            <w:vAlign w:val="bottom"/>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08"/>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at December 31, 2023</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747,945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w:t>
            </w:r>
          </w:p>
        </w:tc>
      </w:tr>
      <w:tr>
        <w:trPr>
          <w:trHeight w:val="215"/>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2,012,958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5.52</w:t>
            </w:r>
          </w:p>
        </w:tc>
      </w:tr>
      <w:tr>
        <w:trPr>
          <w:trHeight w:val="215"/>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765,945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r>
      <w:tr>
        <w:trPr>
          <w:trHeight w:val="215"/>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156,700</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5.83</w:t>
            </w:r>
          </w:p>
        </w:tc>
      </w:tr>
      <w:tr>
        <w:trPr>
          <w:trHeight w:val="228"/>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at December 31, 2024</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1,838,258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there was $7.1 million of total unrecognized compensation cost related to restricted stock units.</w:t>
      </w:r>
    </w:p>
    <w:p>
      <w:pPr>
        <w:spacing w:after="0" w:line="200" w:lineRule="exact"/>
        <w:rPr>
          <w:sz w:val="20"/>
          <w:szCs w:val="20"/>
          <w:color w:val="auto"/>
        </w:rPr>
      </w:pPr>
    </w:p>
    <w:p>
      <w:pPr>
        <w:spacing w:after="0" w:line="261" w:lineRule="exact"/>
        <w:rPr>
          <w:sz w:val="20"/>
          <w:szCs w:val="20"/>
          <w:color w:val="auto"/>
        </w:rPr>
      </w:pPr>
    </w:p>
    <w:p>
      <w:pPr>
        <w:ind w:left="700" w:hanging="693"/>
        <w:spacing w:after="0"/>
        <w:tabs>
          <w:tab w:leader="none" w:pos="70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1—Observable inputs that reflect quoted market prices (unadjusted) for identical assets or liabilities in active markets;</w:t>
      </w:r>
    </w:p>
    <w:p>
      <w:pPr>
        <w:spacing w:after="0" w:line="27" w:lineRule="exact"/>
        <w:rPr>
          <w:sz w:val="20"/>
          <w:szCs w:val="20"/>
          <w:color w:val="auto"/>
        </w:rPr>
      </w:pPr>
    </w:p>
    <w:p>
      <w:pPr>
        <w:ind w:left="180" w:right="20" w:hanging="120"/>
        <w:spacing w:after="0" w:line="249" w:lineRule="auto"/>
        <w:rPr>
          <w:sz w:val="20"/>
          <w:szCs w:val="20"/>
          <w:color w:val="auto"/>
        </w:rPr>
      </w:pPr>
      <w:r>
        <w:rPr>
          <w:rFonts w:ascii="Times New Roman" w:cs="Times New Roman" w:eastAsia="Times New Roman" w:hAnsi="Times New Roman"/>
          <w:sz w:val="18"/>
          <w:szCs w:val="18"/>
          <w:color w:val="auto"/>
        </w:rPr>
        <w:t>●Level 2—Observable inputs other than quoted prices in active markets that are observable either directly or indirectly in the marketplace for identical or similar assets and liabilities; and</w:t>
      </w:r>
    </w:p>
    <w:p>
      <w:pPr>
        <w:ind w:left="60"/>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data, which require the Company to develop its own assumptions.</w:t>
      </w:r>
    </w:p>
    <w:p>
      <w:pPr>
        <w:spacing w:after="0" w:line="20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and other receivables, accounts payable and accrued expenses, the Nantahala Note, and the margin account approximate their respective fair values due to the short-term nature of such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December 31, 2024, and 2023 (in thousands):</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Observable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CVR liability (Note 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17,804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21,304</w:t>
            </w:r>
          </w:p>
        </w:tc>
        <w:tc>
          <w:tcPr>
            <w:tcW w:w="2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21,304</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58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35,711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2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35,711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Observable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8"/>
                <w:szCs w:val="18"/>
                <w:color w:val="auto"/>
              </w:rPr>
            </w:pPr>
          </w:p>
        </w:tc>
        <w:tc>
          <w:tcPr>
            <w:tcW w:w="13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CVR liability (Note 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7,262</w:t>
            </w:r>
          </w:p>
        </w:tc>
        <w:tc>
          <w:tcPr>
            <w:tcW w:w="2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7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16,100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16,100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23,362</w:t>
            </w:r>
          </w:p>
        </w:tc>
        <w:tc>
          <w:tcPr>
            <w:tcW w:w="2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23,362</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58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7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2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7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24,688</w:t>
            </w:r>
          </w:p>
        </w:tc>
        <w:tc>
          <w:tcPr>
            <w:tcW w:w="2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24,688</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1">
            <w:col w:w="11240"/>
          </w:cols>
          <w:pgMar w:left="320" w:top="121" w:right="339" w:bottom="319"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319"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5"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The common stock warrant liabilities were recorded at fair value using the Black-Scholes option pricing model. The following assumptions were used in determining the fair value of the warrant liabilities valued using the Black-Scholes option pricing model as of December 31, 2024, and 2023:</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5660" w:type="dxa"/>
            <w:vAlign w:val="bottom"/>
          </w:tcPr>
          <w:p>
            <w:pPr>
              <w:spacing w:after="0"/>
              <w:rPr>
                <w:sz w:val="20"/>
                <w:szCs w:val="20"/>
                <w:color w:val="auto"/>
              </w:rPr>
            </w:pPr>
          </w:p>
        </w:tc>
        <w:tc>
          <w:tcPr>
            <w:tcW w:w="16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c>
          <w:tcPr>
            <w:tcW w:w="1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8"/>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- 4.23%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- 4.12%</w:t>
            </w:r>
          </w:p>
        </w:tc>
      </w:tr>
      <w:tr>
        <w:trPr>
          <w:trHeight w:val="215"/>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- 68.68%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- 92.42%</w:t>
            </w:r>
          </w:p>
        </w:tc>
      </w:tr>
      <w:tr>
        <w:trPr>
          <w:trHeight w:val="21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15"/>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- 3.89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- 4.9</w:t>
            </w:r>
          </w:p>
        </w:tc>
      </w:tr>
      <w:tr>
        <w:trPr>
          <w:trHeight w:val="21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w:t>
            </w:r>
          </w:p>
        </w:tc>
        <w:tc>
          <w:tcPr>
            <w:tcW w:w="164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$3.25</w:t>
            </w:r>
          </w:p>
        </w:tc>
        <w:tc>
          <w:tcPr>
            <w:tcW w:w="1680" w:type="dxa"/>
            <w:vAlign w:val="bottom"/>
            <w:gridSpan w:val="3"/>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$2.94</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for the common stock warrant liabilities measured at fair value using Level 3 unobservable inputs (in thousands):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16,100</w:t>
            </w:r>
          </w:p>
        </w:tc>
      </w:tr>
      <w:tr>
        <w:trPr>
          <w:trHeight w:val="215"/>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measurement</w:t>
            </w:r>
          </w:p>
        </w:tc>
        <w:tc>
          <w:tcPr>
            <w:tcW w:w="24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1,704</w:t>
            </w:r>
          </w:p>
        </w:tc>
      </w:tr>
      <w:tr>
        <w:trPr>
          <w:trHeight w:val="22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17,804</w:t>
            </w:r>
          </w:p>
        </w:tc>
      </w:tr>
      <w:tr>
        <w:trPr>
          <w:trHeight w:val="20"/>
        </w:trPr>
        <w:tc>
          <w:tcPr>
            <w:tcW w:w="49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197"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For the year ended December 31, 2024, the changes in fair value of the warrant liabilities primarily resulted from the volatility of the Company's common stock and the change in the risk-free interest rates.</w:t>
      </w:r>
    </w:p>
    <w:p>
      <w:pPr>
        <w:spacing w:after="0" w:line="400" w:lineRule="exact"/>
        <w:rPr>
          <w:sz w:val="20"/>
          <w:szCs w:val="20"/>
          <w:color w:val="auto"/>
        </w:rPr>
      </w:pPr>
    </w:p>
    <w:p>
      <w:pPr>
        <w:ind w:left="700" w:hanging="693"/>
        <w:spacing w:after="0"/>
        <w:tabs>
          <w:tab w:leader="none" w:pos="70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jc w:val="both"/>
        <w:ind w:firstLine="42"/>
        <w:spacing w:after="0" w:line="264" w:lineRule="auto"/>
        <w:rPr>
          <w:sz w:val="20"/>
          <w:szCs w:val="20"/>
          <w:color w:val="auto"/>
        </w:rPr>
      </w:pPr>
      <w:r>
        <w:rPr>
          <w:rFonts w:ascii="Times New Roman" w:cs="Times New Roman" w:eastAsia="Times New Roman" w:hAnsi="Times New Roman"/>
          <w:sz w:val="18"/>
          <w:szCs w:val="18"/>
          <w:color w:val="auto"/>
        </w:rPr>
        <w:t>The Company did not recognize any state tax expense during the years ended December 31, 2024, and 2023. A reconciliation of the difference between the (expense)/benefit for income taxes at the statutory U.S. federal income tax rate is as follows (in thousands, except amounts pertaining to rate which are shown as a percentage):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gridSpan w:val="8"/>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Effect of:</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(23.29)</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Return to provision and deferred true-up</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Federal research and development credit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rate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State tax benefit (net of federal)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Global intangible low-taxed income credit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Officers compensation</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Expiration of net operating loss deferred tax asset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adjustment and rate change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Foreign research and development excess benefit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Uncertain tax position</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55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tcPr>
          <w:p>
            <w:pPr>
              <w:jc w:val="right"/>
              <w:ind w:right="120"/>
              <w:spacing w:after="0" w:line="16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1140" w:type="dxa"/>
            <w:vAlign w:val="bottom"/>
          </w:tcPr>
          <w:p>
            <w:pPr>
              <w:spacing w:after="0"/>
              <w:rPr>
                <w:sz w:val="5"/>
                <w:szCs w:val="5"/>
                <w:color w:val="auto"/>
              </w:rPr>
            </w:pPr>
          </w:p>
        </w:tc>
        <w:tc>
          <w:tcPr>
            <w:tcW w:w="554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jc w:val="right"/>
              <w:spacing w:after="0" w:line="68" w:lineRule="exact"/>
              <w:rPr>
                <w:sz w:val="20"/>
                <w:szCs w:val="20"/>
                <w:color w:val="auto"/>
              </w:rPr>
            </w:pPr>
            <w:r>
              <w:rPr>
                <w:rFonts w:ascii="Times New Roman" w:cs="Times New Roman" w:eastAsia="Times New Roman" w:hAnsi="Times New Roman"/>
                <w:sz w:val="7"/>
                <w:szCs w:val="7"/>
                <w:color w:val="auto"/>
              </w:rPr>
              <w:t>(0.10</w:t>
            </w:r>
          </w:p>
        </w:tc>
        <w:tc>
          <w:tcPr>
            <w:tcW w:w="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1140" w:type="dxa"/>
            <w:vAlign w:val="bottom"/>
          </w:tcPr>
          <w:p>
            <w:pPr>
              <w:spacing w:after="0"/>
              <w:rPr>
                <w:sz w:val="24"/>
                <w:szCs w:val="24"/>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provision effective rate</w:t>
            </w:r>
          </w:p>
        </w:tc>
        <w:tc>
          <w:tcPr>
            <w:tcW w:w="1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gridSpan w:val="2"/>
            <w:shd w:val="clear" w:color="auto" w:fill="CCEEFF"/>
          </w:tcPr>
          <w:p>
            <w:pPr>
              <w:jc w:val="right"/>
              <w:ind w:right="20"/>
              <w:spacing w:after="0" w:line="249" w:lineRule="exact"/>
              <w:rPr>
                <w:sz w:val="20"/>
                <w:szCs w:val="20"/>
                <w:color w:val="auto"/>
              </w:rPr>
            </w:pPr>
            <w:r>
              <w:rPr>
                <w:rFonts w:ascii="Times New Roman" w:cs="Times New Roman" w:eastAsia="Times New Roman" w:hAnsi="Times New Roman"/>
                <w:sz w:val="15"/>
                <w:szCs w:val="15"/>
                <w:color w:val="auto"/>
              </w:rPr>
              <w:t>(17.05</w:t>
            </w:r>
            <w:r>
              <w:rPr>
                <w:rFonts w:ascii="Times New Roman" w:cs="Times New Roman" w:eastAsia="Times New Roman" w:hAnsi="Times New Roman"/>
                <w:sz w:val="28"/>
                <w:szCs w:val="28"/>
                <w:color w:val="auto"/>
                <w:vertAlign w:val="superscript"/>
              </w:rPr>
              <w:t>)%</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gridSpan w:val="2"/>
            <w:shd w:val="clear" w:color="auto" w:fill="CCEEFF"/>
          </w:tcPr>
          <w:p>
            <w:pPr>
              <w:jc w:val="right"/>
              <w:ind w:right="20"/>
              <w:spacing w:after="0" w:line="249" w:lineRule="exact"/>
              <w:rPr>
                <w:sz w:val="20"/>
                <w:szCs w:val="20"/>
                <w:color w:val="auto"/>
              </w:rPr>
            </w:pPr>
            <w:r>
              <w:rPr>
                <w:rFonts w:ascii="Times New Roman" w:cs="Times New Roman" w:eastAsia="Times New Roman" w:hAnsi="Times New Roman"/>
                <w:sz w:val="15"/>
                <w:szCs w:val="15"/>
                <w:color w:val="auto"/>
              </w:rPr>
              <w:t>0.00</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411"/>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deferred tax assets and liabilities are as follows (in thousands):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1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relating to:</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100,552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90,743</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 tax carryforward</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19,153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20,670</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5,154</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174 expenses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33,941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30,241</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liability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3,652</w:t>
            </w: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5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163,196</w:t>
            </w: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149,047</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relating to:</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Right-of-use asset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17,859</w:t>
            </w: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14,473</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5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17,941</w:t>
            </w: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14,722</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less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145,256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134,324</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(146,359)</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(134,488)</w:t>
            </w:r>
          </w:p>
        </w:tc>
        <w:tc>
          <w:tcPr>
            <w:tcW w:w="0" w:type="dxa"/>
            <w:vAlign w:val="bottom"/>
          </w:tcPr>
          <w:p>
            <w:pPr>
              <w:spacing w:after="0"/>
              <w:rPr>
                <w:sz w:val="1"/>
                <w:szCs w:val="1"/>
                <w:color w:val="auto"/>
              </w:rPr>
            </w:pPr>
          </w:p>
        </w:tc>
      </w:tr>
      <w:tr>
        <w:trPr>
          <w:trHeight w:val="208"/>
        </w:trPr>
        <w:tc>
          <w:tcPr>
            <w:tcW w:w="66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(1,103)</w:t>
            </w:r>
          </w:p>
        </w:tc>
        <w:tc>
          <w:tcPr>
            <w:tcW w:w="20" w:type="dxa"/>
            <w:vAlign w:val="bottom"/>
          </w:tcPr>
          <w:p>
            <w:pPr>
              <w:spacing w:after="0"/>
              <w:rPr>
                <w:sz w:val="18"/>
                <w:szCs w:val="18"/>
                <w:color w:val="auto"/>
              </w:rPr>
            </w:pPr>
          </w:p>
        </w:tc>
        <w:tc>
          <w:tcPr>
            <w:tcW w:w="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1">
            <w:col w:w="11240"/>
          </w:cols>
          <w:pgMar w:left="320" w:top="121" w:right="339" w:bottom="507"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507"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(losses) and projections for future taxable income (losses) over the periods in which the deferred tax assets are deductible, management believes it is more likely than not that the Company will not realize the benefits of these deductible differences in the future.</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recorded refundable research and development tax credit as other income and not income tax under ASC 740 in the consolidated statement of operations for the year ended December 31, 2023. These refundable tax credits are a result of increased qualified research and development spending in certain jurisdictions which allow for a refundable credit even when the Company has no current period income tax expense. The Company has analyzed their tax positions under the principles of ASC 740-10, Accounting for Uncertainty in Income Taxes.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accordance with the Tax Cuts and Jobs Act of 2017, the Company evaluated its plans for reinvestment or repatriation of current and future earnings of foreign operations and determined to indefinitely reinvest current and future earnings of foreign operations in the foreign operation. The Company has not repatriated funds to the U.S. to satisfy domestic liquidity needs, nor does the Company anticipate the need to do so. If in the foreseeable future, the Company can no longer demonstrate that these earnings are indefinitely reinvested, a deferred tax liability will be recognized.</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federal operating loss carryforwards totaling $381.3 million, $118.5 million of which, if not utilized, will begin to expire in 2027 and $262.8 million of which have no expiration date. The Company also has certain state net operating loss carryforwards totaling $428.6 million, which, if not utilized, will begin to expire in 2027. The Company also has Denmark net operating loss carryforwards totaling $7.7 million which has indefinite carryforward period in Denmark. Due to potential ownership changes that may have occurred or would occur in the future, Internal Revenue Code Section 382 may place additional limitations on the Company’s ability to utilize the net operating loss carryforward.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700" w:hanging="693"/>
        <w:spacing w:after="0"/>
        <w:tabs>
          <w:tab w:leader="none" w:pos="70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all periods presented herein, the Company did not use the two-class method to compute net loss attributable to common stockholders per share of common stock, even though it had issued securities, other than common stock, that contractually entitled the holders to participate in dividends and earnings, because these holders are not obligated to participate in a loss. The two-class method requires earnings for the period to be allocated between common stock and participating securities based upon their respective rights to receive distributed and undistributed earnings.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two-class method, for periods with net income attributable to common stockholders, basic net income attributable to common stockholders per share of common stock is computed by dividing the undistributed net income attributable to common stockholders by the weighted average number of shares of common stock outstanding during the period. Undistributed net income attributable to common stockholders is computed by subtracting from net income the portion of current period earnings that participating securities would have been entitled to receive pursuant to their dividend rights had all of the period’s earnings been distributed and subtracting the actual or deemed dividends declared. No such adjustment to earnings is made during periods with a net loss as the holders of the participating securities have no obligation to fund losses. Diluted net income attributable to common stockholders per share of common stock is computed under the two-class method by using the weighted average number of shares of common stock outstanding plus the potential dilutive effects of stock options and warrants. In addition to analyzing under the two class method, the Company analyzes the potential dilutive effect of stock options and warrants, under the treasury-stock method when calculating diluted income (loss) attributable to common stockholders per share of common stock, in which it is assumed that the stock options and warrants convert into common stock at the beginning of the period or date of issuance, if the stock option or warrant was issued during the period. The Company reports the more dilutive of the approaches (two-class or treasury-stock/if-converted) as its diluted net income (loss) attributable to common stockholders per share of common stock during the period.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noted above, for all periods presented herein, the Company did not utilize the two-class approach as the Company was in a net loss position and the holders of the participating securities have no obligation to fund losses. The Company did analyze diluted net loss attributable to common stockholders per share of common stock under the treasury-stock/if-converted method and noted that all outstanding stock options and warrants were anti-dilutive for the periods presented. For all periods presented, basic net loss attributable to common stockholders per share of common stock was the same as diluted net loss attributable to common stockholders per share of common stock.</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securities, presented on a common stock equivalent basis, have been excluded from the calculation of weighted average number of shares of common stock outstanding because their effect is anti-dilutive:</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6420" w:type="dxa"/>
            <w:vAlign w:val="bottom"/>
          </w:tcPr>
          <w:p>
            <w:pPr>
              <w:spacing w:after="0"/>
              <w:rPr>
                <w:sz w:val="20"/>
                <w:szCs w:val="20"/>
                <w:color w:val="auto"/>
              </w:rPr>
            </w:pPr>
          </w:p>
        </w:tc>
        <w:tc>
          <w:tcPr>
            <w:tcW w:w="256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8"/>
        </w:trPr>
        <w:tc>
          <w:tcPr>
            <w:tcW w:w="6420" w:type="dxa"/>
            <w:vAlign w:val="bottom"/>
          </w:tcPr>
          <w:p>
            <w:pPr>
              <w:spacing w:after="0"/>
              <w:rPr>
                <w:sz w:val="18"/>
                <w:szCs w:val="18"/>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8"/>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under equity incentive plans</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1,148,012</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1,728,885</w:t>
            </w:r>
          </w:p>
        </w:tc>
        <w:tc>
          <w:tcPr>
            <w:tcW w:w="0" w:type="dxa"/>
            <w:vAlign w:val="bottom"/>
          </w:tcPr>
          <w:p>
            <w:pPr>
              <w:spacing w:after="0"/>
              <w:rPr>
                <w:sz w:val="1"/>
                <w:szCs w:val="1"/>
                <w:color w:val="auto"/>
              </w:rPr>
            </w:pPr>
          </w:p>
        </w:tc>
      </w:tr>
      <w:tr>
        <w:trPr>
          <w:trHeight w:val="215"/>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5,483,537</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5,603,729</w:t>
            </w:r>
          </w:p>
        </w:tc>
        <w:tc>
          <w:tcPr>
            <w:tcW w:w="0" w:type="dxa"/>
            <w:vAlign w:val="bottom"/>
          </w:tcPr>
          <w:p>
            <w:pPr>
              <w:spacing w:after="0"/>
              <w:rPr>
                <w:sz w:val="1"/>
                <w:szCs w:val="1"/>
                <w:color w:val="auto"/>
              </w:rPr>
            </w:pPr>
          </w:p>
        </w:tc>
      </w:tr>
      <w:tr>
        <w:trPr>
          <w:trHeight w:val="190"/>
        </w:trPr>
        <w:tc>
          <w:tcPr>
            <w:tcW w:w="64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Total securities excluded from the calculation of weighted average number of shares of</w:t>
            </w:r>
          </w:p>
        </w:tc>
        <w:tc>
          <w:tcPr>
            <w:tcW w:w="1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6,631,549</w:t>
            </w:r>
          </w:p>
        </w:tc>
        <w:tc>
          <w:tcPr>
            <w:tcW w:w="80" w:type="dxa"/>
            <w:vAlign w:val="bottom"/>
            <w:vMerge w:val="restart"/>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7,332,614</w:t>
            </w:r>
          </w:p>
        </w:tc>
        <w:tc>
          <w:tcPr>
            <w:tcW w:w="0" w:type="dxa"/>
            <w:vAlign w:val="bottom"/>
          </w:tcPr>
          <w:p>
            <w:pPr>
              <w:spacing w:after="0"/>
              <w:rPr>
                <w:sz w:val="1"/>
                <w:szCs w:val="1"/>
                <w:color w:val="auto"/>
              </w:rPr>
            </w:pPr>
          </w:p>
        </w:tc>
      </w:tr>
      <w:tr>
        <w:trPr>
          <w:trHeight w:val="233"/>
        </w:trPr>
        <w:tc>
          <w:tcPr>
            <w:tcW w:w="642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common stock outstanding</w:t>
            </w: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A reconciliation from net loss to basic net loss attributable to common stockholders per share of common stock and diluted net loss attributable to common stockholders per share of common stock for the years ended December 31, 2024, and 2023,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20"/>
                <w:szCs w:val="20"/>
                <w:color w:val="auto"/>
              </w:rPr>
            </w:pPr>
          </w:p>
        </w:tc>
      </w:tr>
      <w:tr>
        <w:trPr>
          <w:trHeight w:val="208"/>
        </w:trPr>
        <w:tc>
          <w:tcPr>
            <w:tcW w:w="11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of common stock:</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loss, basic and diluted</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(105,511)</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(46,049)</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 basic and diluted</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35,452</w:t>
            </w:r>
          </w:p>
        </w:tc>
        <w:tc>
          <w:tcPr>
            <w:tcW w:w="1120" w:type="dxa"/>
            <w:vAlign w:val="bottom"/>
          </w:tcPr>
          <w:p>
            <w:pPr>
              <w:spacing w:after="0"/>
              <w:rPr>
                <w:sz w:val="18"/>
                <w:szCs w:val="18"/>
                <w:color w:val="auto"/>
              </w:rPr>
            </w:pPr>
          </w:p>
        </w:tc>
      </w:tr>
      <w:tr>
        <w:trPr>
          <w:trHeight w:val="208"/>
        </w:trPr>
        <w:tc>
          <w:tcPr>
            <w:tcW w:w="7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Basic and diluted net loss per share of common stock</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6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r>
      <w:tr>
        <w:trPr>
          <w:trHeight w:val="430"/>
        </w:trPr>
        <w:tc>
          <w:tcPr>
            <w:tcW w:w="734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6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660" w:hanging="653"/>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operating and finance leases for office space, laboratory facilities and various laboratory equipment, furniture and office equipment and leasehold improvements. The Company determines if an arrangement is a lease at contract inception. Lease assets and lease liabilities are recognized based on the present value of lease payments over the lease term at the commencement date. The Company does not separate lease and non-lease components. Leases with a term of 12 months or less at commencement are not recorded on the consolidated balance sheets. Lease expense for these arrangements is recognized on a straight-line bases over the lease term. The Company’s leases have remaining lease terms of less than 1 year to approximately 4 years, some of which include options to extend the leases for up to 5 years, and some which include options to terminate the leases within 1 year.</w:t>
      </w:r>
    </w:p>
    <w:p>
      <w:pPr>
        <w:spacing w:after="0" w:line="1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Effective June 1, 2021, the Company agreed to sublease office space in Florida, comprised of one of the two contiguous suites, under a non-cancelable operating lease, which expires in February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672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8"/>
        </w:trPr>
        <w:tc>
          <w:tcPr>
            <w:tcW w:w="6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55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Operating lease cost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Less: sublease income</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from short-term leases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cash flows from variable lease costs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142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50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 except weighted average remaining lease term and weighted average discount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0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1,031</w:t>
            </w:r>
          </w:p>
        </w:tc>
        <w:tc>
          <w:tcPr>
            <w:tcW w:w="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5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6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657</w:t>
            </w:r>
          </w:p>
        </w:tc>
        <w:tc>
          <w:tcPr>
            <w:tcW w:w="5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4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lease right-of-use assets</w:t>
            </w:r>
          </w:p>
        </w:tc>
        <w:tc>
          <w:tcPr>
            <w:tcW w:w="10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657</w:t>
            </w:r>
          </w:p>
        </w:tc>
        <w:tc>
          <w:tcPr>
            <w:tcW w:w="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5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0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420</w:t>
            </w:r>
          </w:p>
        </w:tc>
        <w:tc>
          <w:tcPr>
            <w:tcW w:w="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792</w:t>
            </w:r>
          </w:p>
        </w:tc>
        <w:tc>
          <w:tcPr>
            <w:tcW w:w="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5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(in years)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430"/>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on lease liabilities were as follows (in thousands):</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1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0" w:type="dxa"/>
            <w:vAlign w:val="bottom"/>
          </w:tcPr>
          <w:p>
            <w:pPr>
              <w:spacing w:after="0"/>
              <w:rPr>
                <w:sz w:val="1"/>
                <w:szCs w:val="1"/>
                <w:color w:val="auto"/>
              </w:rPr>
            </w:pPr>
          </w:p>
        </w:tc>
      </w:tr>
      <w:tr>
        <w:trPr>
          <w:trHeight w:val="237"/>
        </w:trPr>
        <w:tc>
          <w:tcPr>
            <w:tcW w:w="662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Less: future interest expense</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69"/>
        </w:trPr>
        <w:tc>
          <w:tcPr>
            <w:tcW w:w="1140" w:type="dxa"/>
            <w:vAlign w:val="bottom"/>
          </w:tcPr>
          <w:p>
            <w:pPr>
              <w:spacing w:after="0"/>
              <w:rPr>
                <w:sz w:val="23"/>
                <w:szCs w:val="23"/>
                <w:color w:val="auto"/>
              </w:rPr>
            </w:pPr>
          </w:p>
        </w:tc>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700" w:hanging="693"/>
        <w:spacing w:after="0"/>
        <w:tabs>
          <w:tab w:leader="none" w:pos="70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has a 401(k) retirement plan (the “401(k) Plan”) that covers substantially all employees. The Company may provide a discretionary match with a maximum amount of 4% of the participant’s compensation, which vests immediately. The Company made matching contributions under the 401(k) Plan of approximately $0.5 million and $0.3 million for the years ended December 31, 2024, and 2023, respectively.</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has a discretionary profit-sharing plan (the “Profit Sharing Plan”) that covers all employees. Employees become eligible participants in the Profit Sharing Plan once they have provided three years of service to the Company. The Company made no contributions to the Profit Sharing Plan in 2024 or 2023.</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720" w:hanging="693"/>
        <w:spacing w:after="0"/>
        <w:tabs>
          <w:tab w:leader="none" w:pos="7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&amp; Intangible Assets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Company's goodwill balance was $4.7 million as of December 31, 2024, and 2023.</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December 31, 2024, and 2023, non-amortizable intangible assets include IPR&amp;D of $2.0 million.</w:t>
      </w:r>
    </w:p>
    <w:p>
      <w:pPr>
        <w:spacing w:after="0" w:line="223"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As of December 31, 2024, and 2023, the Company had a definite-lived intangible asset, net related to the acquisition of OLPRUVA as a result of the Merger of $61.3 million and $67.2 million, respectively. This is amortized on a straight-line basis over the OLPRUVA patent life of 13 years and is reviewed periodically for impairment. Amortization expense is recorded as intangible asset amortization in the consolidated statements of operations and was $6.2 million and $0.8 million for the years ended December 31, 2024, and 2023.</w:t>
      </w:r>
    </w:p>
    <w:p>
      <w:pPr>
        <w:spacing w:after="0" w:line="181"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The Company's review of the estimated useful lives of its intangible assets indicated that based on recent facts and circumstances, including detailed analysis on sales experience and prospective product strategy, the actual life of the definite-lived intangible asset related to OLPRUVA was longer than the estimated useful life previously established at the acquisition of the asset. As a result, effective September 30, 2024, the Company changed its estimate of the useful life of this intangible asset to better reflect the estimated periods during which this asset will remain in service. The estimated useful life was previously 11 years and was increased to 13 years. The change in estimate was applied prospectively and decreased intangible asset amortization expense by $0.2 million for the year ended December 31, 2024. Consequently, there was an increase to intangible assets, net of $0.2 million at year end. The impact of this change in estimate to net income and basic and diluted earnings per share was de minimis.</w:t>
      </w:r>
    </w:p>
    <w:p>
      <w:pPr>
        <w:spacing w:after="0" w:line="186"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color w:val="auto"/>
        </w:rPr>
        <w:t>In connection with the XOMA License Agreement, the Company owed XOMA a regulatory milestone payment of $6.0 million upon approval of MIPLYFFA, which was paid in October 2024.</w:t>
      </w:r>
    </w:p>
    <w:p>
      <w:pPr>
        <w:spacing w:after="0" w:line="162"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color w:val="auto"/>
        </w:rPr>
        <w:t>This definite-lived intangible asset is amortized on a straight-line basis over the MIPLYFFA patent life of approximately five years and is reviewed periodically for impairment. Amortization expense is recorded as intangible asset amortization in the consolidated statements of operations and was $0.3 million for the year ended December 31, 2024.</w:t>
      </w:r>
    </w:p>
    <w:p>
      <w:pPr>
        <w:spacing w:after="0" w:line="1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definite-lived Intangible assets that are subject to amortization have been reviewed for impairment whenever events or changes in circumstances have indicated that their carrying amounts may not be recoverable. The Company’s historical sales experience related to OLPRUVA resulted in management preparing an estimate of future cash flows used to assess the recoverability of such asset. Future cash flows specific to OLPRUVA, which most significantly includes an estimate of forecasted revenues, are based on reasonable and supportable assumptions regarding the cash flows expected to result from the use of the asset and its eventual disposition. As a result of the Company’s analysis, the asset was fully recoverable and no impairments were recorded by the Company as of and for the year’s ended December 31, 2024, and 2023.</w:t>
      </w:r>
    </w:p>
    <w:p>
      <w:pPr>
        <w:spacing w:after="0" w:line="185" w:lineRule="exact"/>
        <w:rPr>
          <w:sz w:val="20"/>
          <w:szCs w:val="20"/>
          <w:color w:val="auto"/>
        </w:rPr>
      </w:pPr>
    </w:p>
    <w:p>
      <w:pPr>
        <w:ind w:left="20"/>
        <w:spacing w:after="0" w:line="280" w:lineRule="auto"/>
        <w:rPr>
          <w:sz w:val="20"/>
          <w:szCs w:val="20"/>
          <w:color w:val="auto"/>
        </w:rPr>
      </w:pPr>
      <w:r>
        <w:rPr>
          <w:rFonts w:ascii="Times New Roman" w:cs="Times New Roman" w:eastAsia="Times New Roman" w:hAnsi="Times New Roman"/>
          <w:sz w:val="18"/>
          <w:szCs w:val="18"/>
          <w:color w:val="auto"/>
        </w:rPr>
        <w:t>For intangible assets subject to amortization, estimated amortization expense for the five fiscal years subsequent to December 31, 2024, is expected to be as follows:</w:t>
      </w:r>
    </w:p>
    <w:p>
      <w:pPr>
        <w:spacing w:after="0" w:line="180" w:lineRule="exact"/>
        <w:rPr>
          <w:sz w:val="20"/>
          <w:szCs w:val="20"/>
          <w:color w:val="auto"/>
        </w:rPr>
      </w:pPr>
    </w:p>
    <w:tbl>
      <w:tblPr>
        <w:tblLayout w:type="fixed"/>
        <w:tblInd w:w="2840" w:type="dxa"/>
        <w:tblCellMar>
          <w:top w:w="0" w:type="dxa"/>
          <w:left w:w="0" w:type="dxa"/>
          <w:bottom w:w="0" w:type="dxa"/>
          <w:right w:w="0" w:type="dxa"/>
        </w:tblCellMar>
      </w:tblPr>
      <w:tr>
        <w:trPr>
          <w:trHeight w:val="215"/>
        </w:trPr>
        <w:tc>
          <w:tcPr>
            <w:tcW w:w="2480" w:type="dxa"/>
            <w:vAlign w:val="bottom"/>
            <w:shd w:val="clear" w:color="auto" w:fill="CCEEFF"/>
          </w:tcPr>
          <w:p>
            <w:pPr>
              <w:jc w:val="right"/>
              <w:ind w:right="2030"/>
              <w:spacing w:after="0"/>
              <w:rPr>
                <w:sz w:val="20"/>
                <w:szCs w:val="20"/>
                <w:color w:val="auto"/>
              </w:rPr>
            </w:pPr>
            <w:r>
              <w:rPr>
                <w:rFonts w:ascii="Times New Roman" w:cs="Times New Roman" w:eastAsia="Times New Roman" w:hAnsi="Times New Roman"/>
                <w:sz w:val="18"/>
                <w:szCs w:val="18"/>
                <w:color w:val="auto"/>
                <w:w w:val="94"/>
              </w:rPr>
              <w:t>2025</w:t>
            </w:r>
          </w:p>
        </w:tc>
        <w:tc>
          <w:tcPr>
            <w:tcW w:w="2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w:t>
            </w:r>
          </w:p>
        </w:tc>
      </w:tr>
      <w:tr>
        <w:trPr>
          <w:trHeight w:val="215"/>
        </w:trPr>
        <w:tc>
          <w:tcPr>
            <w:tcW w:w="248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w w:val="94"/>
              </w:rPr>
              <w:t>2026</w:t>
            </w:r>
          </w:p>
        </w:tc>
        <w:tc>
          <w:tcPr>
            <w:tcW w:w="2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r>
      <w:tr>
        <w:trPr>
          <w:trHeight w:val="215"/>
        </w:trPr>
        <w:tc>
          <w:tcPr>
            <w:tcW w:w="2480" w:type="dxa"/>
            <w:vAlign w:val="bottom"/>
            <w:shd w:val="clear" w:color="auto" w:fill="CCEEFF"/>
          </w:tcPr>
          <w:p>
            <w:pPr>
              <w:jc w:val="right"/>
              <w:ind w:right="2030"/>
              <w:spacing w:after="0"/>
              <w:rPr>
                <w:sz w:val="20"/>
                <w:szCs w:val="20"/>
                <w:color w:val="auto"/>
              </w:rPr>
            </w:pPr>
            <w:r>
              <w:rPr>
                <w:rFonts w:ascii="Times New Roman" w:cs="Times New Roman" w:eastAsia="Times New Roman" w:hAnsi="Times New Roman"/>
                <w:sz w:val="18"/>
                <w:szCs w:val="18"/>
                <w:color w:val="auto"/>
                <w:w w:val="94"/>
              </w:rPr>
              <w:t>2027</w:t>
            </w:r>
          </w:p>
        </w:tc>
        <w:tc>
          <w:tcPr>
            <w:tcW w:w="2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w:t>
            </w:r>
          </w:p>
        </w:tc>
      </w:tr>
      <w:tr>
        <w:trPr>
          <w:trHeight w:val="215"/>
        </w:trPr>
        <w:tc>
          <w:tcPr>
            <w:tcW w:w="248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w w:val="94"/>
              </w:rPr>
              <w:t>2028</w:t>
            </w:r>
          </w:p>
        </w:tc>
        <w:tc>
          <w:tcPr>
            <w:tcW w:w="2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r>
      <w:tr>
        <w:trPr>
          <w:trHeight w:val="215"/>
        </w:trPr>
        <w:tc>
          <w:tcPr>
            <w:tcW w:w="2480" w:type="dxa"/>
            <w:vAlign w:val="bottom"/>
            <w:shd w:val="clear" w:color="auto" w:fill="CCEEFF"/>
          </w:tcPr>
          <w:p>
            <w:pPr>
              <w:jc w:val="right"/>
              <w:ind w:right="2030"/>
              <w:spacing w:after="0"/>
              <w:rPr>
                <w:sz w:val="20"/>
                <w:szCs w:val="20"/>
                <w:color w:val="auto"/>
              </w:rPr>
            </w:pPr>
            <w:r>
              <w:rPr>
                <w:rFonts w:ascii="Times New Roman" w:cs="Times New Roman" w:eastAsia="Times New Roman" w:hAnsi="Times New Roman"/>
                <w:sz w:val="18"/>
                <w:szCs w:val="18"/>
                <w:color w:val="auto"/>
                <w:w w:val="94"/>
              </w:rPr>
              <w:t>2029</w:t>
            </w:r>
          </w:p>
        </w:tc>
        <w:tc>
          <w:tcPr>
            <w:tcW w:w="2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48" w:name="page149"/>
    <w:bookmarkEnd w:id="14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680" w:hanging="653"/>
        <w:spacing w:after="0"/>
        <w:tabs>
          <w:tab w:leader="none" w:pos="6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30, 2023, in connection with the Merger Agreement with Acer, the following transactions occurred prior to Closing:</w:t>
      </w:r>
    </w:p>
    <w:p>
      <w:pPr>
        <w:spacing w:after="0" w:line="221" w:lineRule="exact"/>
        <w:rPr>
          <w:sz w:val="20"/>
          <w:szCs w:val="20"/>
          <w:color w:val="auto"/>
        </w:rPr>
      </w:pPr>
    </w:p>
    <w:p>
      <w:pPr>
        <w:jc w:val="both"/>
        <w:ind w:left="1060" w:hanging="320"/>
        <w:spacing w:after="0" w:line="255" w:lineRule="auto"/>
        <w:tabs>
          <w:tab w:leader="none" w:pos="10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Bridge Loan </w:t>
      </w:r>
      <w:r>
        <w:rPr>
          <w:rFonts w:ascii="Times New Roman" w:cs="Times New Roman" w:eastAsia="Times New Roman" w:hAnsi="Times New Roman"/>
          <w:sz w:val="18"/>
          <w:szCs w:val="18"/>
          <w:color w:val="auto"/>
        </w:rPr>
        <w:t>- Zevra and Acer entered into a bridge loan agreement (the “Bridge Loan Agreement”), providing for Zevra to make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the “Bridge Loan”) to Acer up to an aggregate principal amount of $16.5 million. The Bridge Loan was provided to Acer to support its termination agreement with Relief Therapeutics Holding SA (“Relief”) and to provide Acer with working capital, including for payments of accounts payable to support the commercial launch of OLPRUVA and the development of celiprolol pending the Merger’s closure. On October 31, 2023, the Company and Acer entered into an amendment to the Bridge Loan Agreement, which increased the aggregate principal amount available under the loan from $16.5 million to $18.0 million.</w:t>
      </w:r>
    </w:p>
    <w:p>
      <w:pPr>
        <w:spacing w:after="0" w:line="185" w:lineRule="exact"/>
        <w:rPr>
          <w:rFonts w:ascii="Times New Roman" w:cs="Times New Roman" w:eastAsia="Times New Roman" w:hAnsi="Times New Roman"/>
          <w:sz w:val="18"/>
          <w:szCs w:val="18"/>
          <w:color w:val="auto"/>
        </w:rPr>
      </w:pPr>
    </w:p>
    <w:p>
      <w:pPr>
        <w:jc w:val="both"/>
        <w:ind w:left="1060" w:hanging="320"/>
        <w:spacing w:after="0" w:line="254" w:lineRule="auto"/>
        <w:tabs>
          <w:tab w:leader="none" w:pos="10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Acer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Term Loans </w:t>
      </w:r>
      <w:r>
        <w:rPr>
          <w:rFonts w:ascii="Times New Roman" w:cs="Times New Roman" w:eastAsia="Times New Roman" w:hAnsi="Times New Roman"/>
          <w:sz w:val="18"/>
          <w:szCs w:val="18"/>
          <w:color w:val="auto"/>
        </w:rPr>
        <w:t>- Zevra purchased certain indebtedness of Acer held by Nantahala Capital Management, LLC ("Nantahala).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loan purchase with Nantahala, certain of its affiliates and certain other parties (collectively with Nantahala, "Nantahala Holders") Zevra purchased (i) an original senior secured term loan facility made available to Acer in an aggregate amount of $6.5 million and funded on March 14, 2022, and (ii) an additional senior secured term loan made to Acer in an aggregate amount of $7.0 million in a single borrowing which funded on January 31, 2023 for (1) $12.0 million in cash; (2) 98,683 shares of Zevra Common Stock; and (3) a secured Promissory Note payable by Zevra to Nantahala in the original principal amount $5.0 million. These were recorded as receivables form Acer and were treated as a settlement of a preexisting relationship in connection with the closing of the transaction and recorded as a component of purchase consideration.</w:t>
      </w:r>
    </w:p>
    <w:p>
      <w:pPr>
        <w:spacing w:after="0" w:line="182" w:lineRule="exact"/>
        <w:rPr>
          <w:rFonts w:ascii="Times New Roman" w:cs="Times New Roman" w:eastAsia="Times New Roman" w:hAnsi="Times New Roman"/>
          <w:sz w:val="18"/>
          <w:szCs w:val="18"/>
          <w:color w:val="auto"/>
        </w:rPr>
      </w:pPr>
    </w:p>
    <w:p>
      <w:pPr>
        <w:jc w:val="both"/>
        <w:ind w:left="1060" w:hanging="320"/>
        <w:spacing w:after="0" w:line="260" w:lineRule="auto"/>
        <w:tabs>
          <w:tab w:leader="none" w:pos="10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Acer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Convertible </w:t>
      </w:r>
      <w:r>
        <w:rPr>
          <w:rFonts w:ascii="Times New Roman" w:cs="Times New Roman" w:eastAsia="Times New Roman" w:hAnsi="Times New Roman"/>
          <w:sz w:val="18"/>
          <w:szCs w:val="18"/>
          <w:color w:val="auto"/>
        </w:rPr>
        <w:t>Notes (“Marathon Convertible Notes”)- Under the Note Purchase Agreement with the Nantahala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Zevra purchased the Marathon Convertible Notes that Nantahala had acquired on June 16, 2023. Zevra acquired the Marathon Convertible Notes in exchange for the issuance of 2,171,038 shares of Zevra Common Stock at $5.0667 per share for a total purchase price of $11.0 million.</w:t>
      </w:r>
    </w:p>
    <w:p>
      <w:pPr>
        <w:spacing w:after="0" w:line="177" w:lineRule="exact"/>
        <w:rPr>
          <w:rFonts w:ascii="Times New Roman" w:cs="Times New Roman" w:eastAsia="Times New Roman" w:hAnsi="Times New Roman"/>
          <w:sz w:val="18"/>
          <w:szCs w:val="18"/>
          <w:color w:val="auto"/>
        </w:rPr>
      </w:pPr>
    </w:p>
    <w:p>
      <w:pPr>
        <w:jc w:val="both"/>
        <w:ind w:left="1060" w:hanging="320"/>
        <w:spacing w:after="0" w:line="252" w:lineRule="auto"/>
        <w:tabs>
          <w:tab w:leader="none" w:pos="10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to IP License Agreement and IP Termination Agreement: </w:t>
      </w:r>
      <w:r>
        <w:rPr>
          <w:rFonts w:ascii="Times New Roman" w:cs="Times New Roman" w:eastAsia="Times New Roman" w:hAnsi="Times New Roman"/>
          <w:sz w:val="18"/>
          <w:szCs w:val="18"/>
          <w:color w:val="auto"/>
        </w:rPr>
        <w:t>As a condition to entering into the Merger Agreement, Acer and Relief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Therapeutics Holding AG ("Relief") entered into the Exclusive License Agreement and the Termination Agreement terminating the collaboration and license agreement, dated March 19, 2021, by and between Acer and Relief. Pursuant to the Exclusive License Agreement, Relief holds exclusive development and commercialization rights for OLPRUVA in Geographical Europe. Acer has the right to receive a royalty of up to 10.0% of the net sales of OLPRUVA in Geographical Europe. In accordance with the terms of the Termination Agreement, Relief received an upfront payment from Acer of $10.0 million (which payment was funded with the Bridge Loan described above) with an additional payment of $1.5 million due on the first-year anniversary of the $10.0 million payment. Acer also agreed to pay a 10.0% royalty on net sales of OLPRUVA worldwide, excluding Geographical Europe, and 20.0% of any value received by Acer from certain third parties relating to OLPRUVA licensing or divestment rights, all of the foregoing which are capped at $45.0 million, for total payments to Relief of up to $56.5 million.</w:t>
      </w:r>
    </w:p>
    <w:p>
      <w:pPr>
        <w:spacing w:after="0" w:line="194"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Merger on November 17, 2023, each share of common stock of Acer was converted into the right to receive (i) 0.1210 fully paid and non-assessable shares of common stock of Zevra, par value $0.0001 per share , and (ii) one non-transferable contingent value right (“CVR”) to be issued by Zevra, which will represent the right to receive one or more contingent payments up to an additional $76 million upon the achievement, if any, of certain commercial and regulatory milestones for Acer’s OLPRUVA and celiprolol products within specified time periods. Certain additional cash payments are also possible pursuant to the CVRs with respect to milestones involving Acer’s early-stage program ACER-2820 (emetine).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assets acquired and liabilities assumed were recorded based on their acquisition date fair values. Consideration for the Merger was $72.6 million and consists of (i) approximately 2.96 million shares of Zevra common stock valued at $12.8 million, (ii) the Bridge Loan advances of $17.8 million, (iii) $12.0 million in cash paid to Nantahala; (iv) 2.27 million shares of Zevra Common Stock issued to Nantahala valued at $11.5 million based on the VWAP of shares of Zevra Common Stock during the 20 consecutive trading days ending on the trading date prior to August 30, 2023; (v) a secured promissory note payable by Zevra to Nantahala in the original principal amount of $5.0 million, as disclosed in Note I, (vi) $8.5 million in the estimated fair value of contingent consideration related to the CVRs, (vii) approximately 0.9 million shares of Zevra Common Stock issued to a former holder of Acer warrants valued at $4.0 million based on Zevra's common stock price on the Effective Date and (viii) $1.0 million in notes payable paid by the Company on Acer's behalf. In addition, effective as of immediately prior to the Effective Time, all of the outstanding and unexercised Acer stock options were automatically cancelled and ceased to exist without any cash or other consideration being paid or provided in respect thereof. The following purchase price allocation reflects the preliminary estimates of and assumptions related to the fair values of assets acquired and liabilities assumed: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Assets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760" w:type="dxa"/>
            <w:vAlign w:val="bottom"/>
            <w:gridSpan w:val="5"/>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xml:space="preserve">Prepaid expenses </w:t>
            </w:r>
          </w:p>
        </w:tc>
        <w:tc>
          <w:tcPr>
            <w:tcW w:w="3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Other</w:t>
            </w:r>
          </w:p>
        </w:tc>
        <w:tc>
          <w:tcPr>
            <w:tcW w:w="3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4"/>
              </w:rPr>
              <w:t>Inventory</w:t>
            </w:r>
          </w:p>
        </w:tc>
        <w:tc>
          <w:tcPr>
            <w:tcW w:w="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9,376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Property,</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3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7"/>
              </w:rPr>
              <w:t>Other</w:t>
            </w:r>
          </w:p>
        </w:tc>
        <w:tc>
          <w:tcPr>
            <w:tcW w:w="3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0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w w:val="97"/>
              </w:rPr>
              <w:t>Approved</w:t>
            </w:r>
          </w:p>
        </w:tc>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 - OLPRUVA</w:t>
            </w:r>
          </w:p>
        </w:tc>
        <w:tc>
          <w:tcPr>
            <w:tcW w:w="3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68,000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IPR&amp;D</w:t>
            </w:r>
          </w:p>
        </w:tc>
        <w:tc>
          <w:tcPr>
            <w:tcW w:w="2880" w:type="dxa"/>
            <w:vAlign w:val="bottom"/>
            <w:gridSpan w:val="3"/>
            <w:shd w:val="clear" w:color="auto" w:fill="CCEEFF"/>
          </w:tcPr>
          <w:p>
            <w:pPr>
              <w:jc w:val="center"/>
              <w:ind w:right="1950"/>
              <w:spacing w:after="0"/>
              <w:rPr>
                <w:sz w:val="20"/>
                <w:szCs w:val="20"/>
                <w:color w:val="auto"/>
              </w:rPr>
            </w:pPr>
            <w:r>
              <w:rPr>
                <w:rFonts w:ascii="Times New Roman" w:cs="Times New Roman" w:eastAsia="Times New Roman" w:hAnsi="Times New Roman"/>
                <w:sz w:val="18"/>
                <w:szCs w:val="18"/>
                <w:color w:val="auto"/>
              </w:rPr>
              <w:t>- celiprolol</w:t>
            </w:r>
          </w:p>
        </w:tc>
        <w:tc>
          <w:tcPr>
            <w:tcW w:w="3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6"/>
              </w:rPr>
              <w:t>Goodwill</w:t>
            </w:r>
          </w:p>
        </w:tc>
        <w:tc>
          <w:tcPr>
            <w:tcW w:w="4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acquired</w:t>
            </w:r>
          </w:p>
        </w:tc>
        <w:tc>
          <w:tcPr>
            <w:tcW w:w="39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4,538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85,022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00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7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10,718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760" w:type="dxa"/>
            <w:vAlign w:val="bottom"/>
            <w:gridSpan w:val="5"/>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collaboration funding</w:t>
            </w:r>
          </w:p>
        </w:tc>
        <w:tc>
          <w:tcPr>
            <w:tcW w:w="3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7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9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720" w:type="dxa"/>
            <w:vAlign w:val="bottom"/>
            <w:tcBorders>
              <w:bottom w:val="single" w:sz="8" w:color="CCEEFF"/>
            </w:tcBorders>
            <w:shd w:val="clear" w:color="auto" w:fill="CCEEFF"/>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12,393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of Net Assets Acquired</w:t>
            </w:r>
          </w:p>
        </w:tc>
        <w:tc>
          <w:tcPr>
            <w:tcW w:w="4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72,629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960" w:type="dxa"/>
            <w:vAlign w:val="bottom"/>
            <w:vMerge w:val="restart"/>
          </w:tcPr>
          <w:p>
            <w:pPr>
              <w:jc w:val="right"/>
              <w:ind w:right="3010"/>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values assigned to the tangible and intangible assets acquired and liabilities assumed were determined using an income approach based on management’s estimates and assumptions, as well as other information compiled by management, including third-party valuations that utilize customary valuation procedures and techniques. These preliminary fair values are subject to change within the one-year measurement period. The estimated fair values were developed by discounting future net cash flows to their present value at market-based rates of return. The goodwill acquired represents the excess of the purchase price and related costs over the value assigned to the net tangible and identifiable intangible assets of the business acquired.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marketed product asset is amortized on a straight-line basis over its estimated useful life. As of December 31, 2023, the IPR&amp;D project had not been completed or abandoned and, therefore, the IPR&amp;D intangible asset is not currently subject to amortization.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Cancellation of Acer Warrant</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November 22, 2023, the Company sold an aggregate of 917,934 shares of its common stock to a healthcare focused investment fund (the "Investor") to cancel a warrant held by the Investor to purchase 2,920,306 shares of common stock of Acer. The shares of common stock were offered and sold to the Investor in a registered direct offering without an underwriter or placement agent.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Contingent consideration liabilities relate to the Company's liabilities arising in connection with the CVRs issued as a result of the Merger. The contingent consideration is classified as Level 3 in the fair value hierarchy. The fair value is measured based on a Monte Carlo simulation or a scenario-based method, depending on the earn-out achievement objectives, utilizing projections about future performance. Significant inputs include volatility and projected financial information,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related to the contingent consideration liabilities for the CVRs (dollars in thousands):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6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7,262</w:t>
            </w:r>
          </w:p>
        </w:tc>
      </w:tr>
      <w:tr>
        <w:trPr>
          <w:trHeight w:val="22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recognized in earnings</w:t>
            </w:r>
          </w:p>
        </w:tc>
        <w:tc>
          <w:tcPr>
            <w:tcW w:w="21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(3,762)</w:t>
            </w:r>
          </w:p>
        </w:tc>
      </w:tr>
      <w:tr>
        <w:trPr>
          <w:trHeight w:val="242"/>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6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19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For the year ended December 31, 2024, the Company recorded a $3.7 million gain on the change in fair value of contingent consideration, primarily due to changes in market data and revenue projections.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660" w:hanging="653"/>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evaluated events and transactions occurring subsequent to December 31, 2024, through March 12, 2025, the date the accompanying financial statements were issued. During this period, other than the sale of the PRV, which is disclosed in Note A, there were no subsequent events that required recognition in the accompanying consolidated financial statements, nor were there any additional non-recognized subsequent events that required disclosure.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0" w:type="dxa"/>
            <w:vAlign w:val="bottom"/>
            <w:gridSpan w:val="14"/>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0"/>
        </w:trPr>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13"/>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8"/>
        </w:trPr>
        <w:tc>
          <w:tcPr>
            <w:tcW w:w="1000" w:type="dxa"/>
            <w:vAlign w:val="bottom"/>
          </w:tcPr>
          <w:p>
            <w:pPr>
              <w:jc w:val="center"/>
              <w:spacing w:after="0" w:line="168"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860" w:type="dxa"/>
            <w:vAlign w:val="bottom"/>
            <w:tcBorders>
              <w:bottom w:val="single" w:sz="8" w:color="0000EE"/>
            </w:tcBorders>
            <w:gridSpan w:val="23"/>
          </w:tcPr>
          <w:p>
            <w:pPr>
              <w:spacing w:after="0" w:line="168"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Agreement and Plan of Merger dated as of August 30, 2023, by and among Zevra Therapeutics, Inc., Aspen Z Merger Sub, Inc., and Acer</w:t>
              </w:r>
            </w:hyperlink>
          </w:p>
        </w:tc>
        <w:tc>
          <w:tcPr>
            <w:tcW w:w="200" w:type="dxa"/>
            <w:vAlign w:val="bottom"/>
            <w:gridSpan w:val="2"/>
          </w:tcPr>
          <w:p>
            <w:pPr>
              <w:spacing w:after="0"/>
              <w:rPr>
                <w:sz w:val="14"/>
                <w:szCs w:val="14"/>
                <w:color w:val="auto"/>
              </w:rPr>
            </w:pPr>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740" w:type="dxa"/>
            <w:vAlign w:val="bottom"/>
            <w:tcBorders>
              <w:bottom w:val="single" w:sz="8" w:color="0000EE"/>
            </w:tcBorders>
            <w:gridSpan w:val="21"/>
          </w:tcPr>
          <w:p>
            <w:pPr>
              <w:spacing w:after="0" w:line="195"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Therapeutics Inc. (incorporated herein by reference to the Registrant's Current Report on Form 8-K as filed with the SEC on August 31,</w:t>
              </w:r>
            </w:hyperlink>
          </w:p>
        </w:tc>
        <w:tc>
          <w:tcPr>
            <w:tcW w:w="340" w:type="dxa"/>
            <w:vAlign w:val="bottom"/>
            <w:gridSpan w:val="5"/>
          </w:tcPr>
          <w:p>
            <w:pPr>
              <w:spacing w:after="0"/>
              <w:rPr>
                <w:sz w:val="16"/>
                <w:szCs w:val="16"/>
                <w:color w:val="auto"/>
              </w:rPr>
            </w:pPr>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Borders>
              <w:bottom w:val="single" w:sz="8" w:color="0000EE"/>
            </w:tcBorders>
            <w:gridSpan w:val="2"/>
          </w:tcPr>
          <w:p>
            <w:pPr>
              <w:spacing w:after="0" w:line="195" w:lineRule="exact"/>
              <w:rPr>
                <w:rFonts w:ascii="Times New Roman" w:cs="Times New Roman" w:eastAsia="Times New Roman" w:hAnsi="Times New Roman"/>
                <w:sz w:val="18"/>
                <w:szCs w:val="18"/>
                <w:color w:val="0000EE"/>
                <w:w w:val="94"/>
              </w:rPr>
            </w:pPr>
            <w:hyperlink r:id="rId150">
              <w:r>
                <w:rPr>
                  <w:rFonts w:ascii="Times New Roman" w:cs="Times New Roman" w:eastAsia="Times New Roman" w:hAnsi="Times New Roman"/>
                  <w:sz w:val="18"/>
                  <w:szCs w:val="18"/>
                  <w:color w:val="0000EE"/>
                  <w:w w:val="94"/>
                </w:rPr>
                <w:t>2023).</w:t>
              </w:r>
            </w:hyperlink>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Amended and Restated Certificate of Incorporation of Zevra Therapeutics, Inc. (incorporated herein by reference to the Registrant's Current</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60" w:type="dxa"/>
            <w:vAlign w:val="bottom"/>
            <w:tcBorders>
              <w:bottom w:val="single" w:sz="8" w:color="0000EE"/>
            </w:tcBorders>
            <w:gridSpan w:val="13"/>
          </w:tcPr>
          <w:p>
            <w:pPr>
              <w:spacing w:after="0" w:line="195"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Report on Form 8-K as filed with the SEC on April 21, 2015)</w:t>
              </w:r>
            </w:hyperlink>
          </w:p>
        </w:tc>
        <w:tc>
          <w:tcPr>
            <w:tcW w:w="5620" w:type="dxa"/>
            <w:vAlign w:val="bottom"/>
            <w:gridSpan w:val="13"/>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3.1.1</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Certificate of Amendment of Amended and Restated Certificate of Incorporation of the Company, effective as of December 23, 2020</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920" w:type="dxa"/>
            <w:vAlign w:val="bottom"/>
            <w:tcBorders>
              <w:bottom w:val="single" w:sz="8" w:color="0000EE"/>
            </w:tcBorders>
            <w:gridSpan w:val="20"/>
          </w:tcPr>
          <w:p>
            <w:pPr>
              <w:spacing w:after="0" w:line="195"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(incorporated herein by reference to Registrant's Current Report on Form 8-K as filed with the SEC on December 28, 2020).</w:t>
              </w:r>
            </w:hyperlink>
          </w:p>
        </w:tc>
        <w:tc>
          <w:tcPr>
            <w:tcW w:w="1160" w:type="dxa"/>
            <w:vAlign w:val="bottom"/>
            <w:gridSpan w:val="6"/>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3.1.2</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Certificate of Elimination of Series A Convertible Preferred Stock of Zevra Therapeutics, Inc. (incorporated herein by reference to the</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26"/>
          </w:tcPr>
          <w:p>
            <w:pPr>
              <w:spacing w:after="0" w:line="195"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Registrant's Current Report on Form 8-K as filed with the SEC on June 23, 2021).</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3.1.3</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Certificate of Elimination of Series B-1 Convertible Preferred Stock of Zevra Therapeutics, Inc. (incorporated herein by reference to the</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26"/>
          </w:tcPr>
          <w:p>
            <w:pPr>
              <w:spacing w:after="0" w:line="195"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Registrant's Current Report on Form 8-K as filed with the SEC on June 23, 2021).</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3.1.4</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Certificate of Elimination of Series B-2 Convertible Preferred Stock of Zevra Therapeutics, Inc. (incorporated herein by reference to the</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26"/>
          </w:tcPr>
          <w:p>
            <w:pPr>
              <w:spacing w:after="0" w:line="195"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Registrant's Current Report on Form 8-K as filed with the SEC on June 23, 2021).</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3.1.5</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Certificate of Amendment of Amended and Restated Certificate of Incorporation of Zevra Therapeutics, Inc. (incorporated herein by</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380" w:type="dxa"/>
            <w:vAlign w:val="bottom"/>
            <w:tcBorders>
              <w:bottom w:val="single" w:sz="8" w:color="0000EE"/>
            </w:tcBorders>
            <w:gridSpan w:val="18"/>
          </w:tcPr>
          <w:p>
            <w:pPr>
              <w:spacing w:after="0" w:line="195"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reference to the Registrant’s Current Report on Form 8-K as filed with the SEC on February 24, 2023).</w:t>
              </w:r>
            </w:hyperlink>
          </w:p>
        </w:tc>
        <w:tc>
          <w:tcPr>
            <w:tcW w:w="2700" w:type="dxa"/>
            <w:vAlign w:val="bottom"/>
            <w:gridSpan w:val="8"/>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Amended and Restated Bylaws, as currently in effect, of Zevra Therapeutics, Inc. (incorporated herein by reference to the Registrant’s</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32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Current Report on Form 8-K as filed with the SEC on February 28, 2024).</w:t>
              </w:r>
            </w:hyperlink>
          </w:p>
        </w:tc>
        <w:tc>
          <w:tcPr>
            <w:tcW w:w="4760" w:type="dxa"/>
            <w:vAlign w:val="bottom"/>
            <w:gridSpan w:val="11"/>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Specimen stock certificate evidencing shares of Common Stock (incorporated herein by reference to the Registrant's Annual Report on</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26"/>
          </w:tcPr>
          <w:p>
            <w:pPr>
              <w:spacing w:after="0" w:line="195"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Form 10-K as filed with the SEC on March 12, 2021).</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Form of Common Stock Purchase Warrant and schedule of holders (incorporated herein by reference to the Registrant's Current Report on</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26"/>
          </w:tcPr>
          <w:p>
            <w:pPr>
              <w:spacing w:after="0" w:line="195"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Form 8-K as filed with the SEC on January 13, 2021).</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4.3</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Form of Inducement Warrant (incorporated herein by reference to the Registrant's Current Report on Form 8-K as filed with the SEC on</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Borders>
              <w:bottom w:val="single" w:sz="8" w:color="0000EE"/>
            </w:tcBorders>
            <w:gridSpan w:val="6"/>
          </w:tcPr>
          <w:p>
            <w:pPr>
              <w:spacing w:after="0" w:line="195" w:lineRule="exact"/>
              <w:rPr>
                <w:rFonts w:ascii="Times New Roman" w:cs="Times New Roman" w:eastAsia="Times New Roman" w:hAnsi="Times New Roman"/>
                <w:sz w:val="18"/>
                <w:szCs w:val="18"/>
                <w:color w:val="0000EE"/>
                <w:w w:val="98"/>
              </w:rPr>
            </w:pPr>
            <w:hyperlink r:id="rId160">
              <w:r>
                <w:rPr>
                  <w:rFonts w:ascii="Times New Roman" w:cs="Times New Roman" w:eastAsia="Times New Roman" w:hAnsi="Times New Roman"/>
                  <w:sz w:val="18"/>
                  <w:szCs w:val="18"/>
                  <w:color w:val="0000EE"/>
                  <w:w w:val="98"/>
                </w:rPr>
                <w:t>January 26, 2021).</w:t>
              </w:r>
            </w:hyperlink>
          </w:p>
        </w:tc>
        <w:tc>
          <w:tcPr>
            <w:tcW w:w="8740" w:type="dxa"/>
            <w:vAlign w:val="bottom"/>
            <w:gridSpan w:val="20"/>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4.4</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Form of Inducement Warrant (incorporated herein by reference to the Registrant's Current Report on Form 8-K as filed with the SEC on</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26"/>
          </w:tcPr>
          <w:p>
            <w:pPr>
              <w:spacing w:after="0" w:line="195"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June 23, 2021).</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6"/>
                <w:szCs w:val="16"/>
                <w:color w:val="auto"/>
              </w:rPr>
            </w:pPr>
          </w:p>
        </w:tc>
        <w:tc>
          <w:tcPr>
            <w:tcW w:w="10080" w:type="dxa"/>
            <w:vAlign w:val="bottom"/>
            <w:gridSpan w:val="26"/>
          </w:tcPr>
          <w:p>
            <w:pPr>
              <w:spacing w:after="0" w:line="195" w:lineRule="exact"/>
              <w:rPr>
                <w:sz w:val="20"/>
                <w:szCs w:val="20"/>
                <w:color w:val="auto"/>
              </w:rPr>
            </w:pPr>
            <w:r>
              <w:rPr>
                <w:rFonts w:ascii="Times New Roman" w:cs="Times New Roman" w:eastAsia="Times New Roman" w:hAnsi="Times New Roman"/>
                <w:sz w:val="18"/>
                <w:szCs w:val="18"/>
                <w:color w:val="0000EE"/>
              </w:rPr>
              <w:t>Description of the Registrant’s Securities Registered Pursuant to Section 12 of the Securities Exchange Act of 1934.</w:t>
            </w: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4.6</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Form of Common Stock Purchase Warrant (incorporated herein by reference to the Registrant's Current Report on Form 8-K as filed with</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tcBorders>
              <w:bottom w:val="single" w:sz="8" w:color="0000EE"/>
            </w:tcBorders>
            <w:gridSpan w:val="9"/>
          </w:tcPr>
          <w:p>
            <w:pPr>
              <w:spacing w:after="0" w:line="195" w:lineRule="exact"/>
              <w:rPr>
                <w:rFonts w:ascii="Times New Roman" w:cs="Times New Roman" w:eastAsia="Times New Roman" w:hAnsi="Times New Roman"/>
                <w:sz w:val="18"/>
                <w:szCs w:val="18"/>
                <w:color w:val="0000EE"/>
                <w:w w:val="98"/>
              </w:rPr>
            </w:pPr>
            <w:hyperlink r:id="rId162">
              <w:r>
                <w:rPr>
                  <w:rFonts w:ascii="Times New Roman" w:cs="Times New Roman" w:eastAsia="Times New Roman" w:hAnsi="Times New Roman"/>
                  <w:sz w:val="18"/>
                  <w:szCs w:val="18"/>
                  <w:color w:val="0000EE"/>
                  <w:w w:val="98"/>
                </w:rPr>
                <w:t>the SEC on November 20, 2023).</w:t>
              </w:r>
            </w:hyperlink>
          </w:p>
        </w:tc>
        <w:tc>
          <w:tcPr>
            <w:tcW w:w="7680" w:type="dxa"/>
            <w:vAlign w:val="bottom"/>
            <w:gridSpan w:val="17"/>
          </w:tcPr>
          <w:p>
            <w:pPr>
              <w:spacing w:after="0"/>
              <w:rPr>
                <w:sz w:val="16"/>
                <w:szCs w:val="16"/>
                <w:color w:val="auto"/>
              </w:rPr>
            </w:pPr>
          </w:p>
        </w:tc>
      </w:tr>
      <w:tr>
        <w:trPr>
          <w:trHeight w:val="195"/>
        </w:trPr>
        <w:tc>
          <w:tcPr>
            <w:tcW w:w="100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color w:val="auto"/>
              </w:rPr>
              <w:t>10.1</w:t>
            </w:r>
            <w:r>
              <w:rPr>
                <w:rFonts w:ascii="Times New Roman" w:cs="Times New Roman" w:eastAsia="Times New Roman" w:hAnsi="Times New Roman"/>
                <w:sz w:val="22"/>
                <w:szCs w:val="22"/>
                <w:color w:val="auto"/>
                <w:vertAlign w:val="superscript"/>
              </w:rPr>
              <w:t>+</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Material Supply Agreement, by and between the Registrant and Johnson Matthey, Inc., dated as of November 2, 2009 (incorporated by</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reference Registrant’s Amendment No. 1 to Registration Statement on Form S-1/A (File No. 333-202660) as filed with the SEC on April</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bottom w:val="single" w:sz="8" w:color="0000EE"/>
            </w:tcBorders>
            <w:gridSpan w:val="3"/>
          </w:tcPr>
          <w:p>
            <w:pPr>
              <w:spacing w:after="0" w:line="195" w:lineRule="exact"/>
              <w:rPr>
                <w:rFonts w:ascii="Times New Roman" w:cs="Times New Roman" w:eastAsia="Times New Roman" w:hAnsi="Times New Roman"/>
                <w:sz w:val="18"/>
                <w:szCs w:val="18"/>
                <w:color w:val="0000EE"/>
                <w:w w:val="96"/>
              </w:rPr>
            </w:pPr>
            <w:hyperlink r:id="rId163">
              <w:r>
                <w:rPr>
                  <w:rFonts w:ascii="Times New Roman" w:cs="Times New Roman" w:eastAsia="Times New Roman" w:hAnsi="Times New Roman"/>
                  <w:sz w:val="18"/>
                  <w:szCs w:val="18"/>
                  <w:color w:val="0000EE"/>
                  <w:w w:val="96"/>
                </w:rPr>
                <w:t>3, 2015).</w:t>
              </w:r>
            </w:hyperlink>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Payoff letter, dated as of February 8, 2021, by and among the Company and the lenders named therein (incorporated herein by reference to</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380" w:type="dxa"/>
            <w:vAlign w:val="bottom"/>
            <w:tcBorders>
              <w:bottom w:val="single" w:sz="8" w:color="0000EE"/>
            </w:tcBorders>
            <w:gridSpan w:val="17"/>
          </w:tcPr>
          <w:p>
            <w:pPr>
              <w:spacing w:after="0" w:line="195"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the Registrant's Current Report on Form 8-K as filed with the SEC on February 9, 2021).</w:t>
              </w:r>
            </w:hyperlink>
          </w:p>
        </w:tc>
        <w:tc>
          <w:tcPr>
            <w:tcW w:w="3700" w:type="dxa"/>
            <w:vAlign w:val="bottom"/>
            <w:gridSpan w:val="9"/>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Second Amendment to Senior Secured Convertible Note and Warrant, by and between Registrant and Deerfield Private Design Fund III,</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L.P., dated January 6, 2016 (incorporated by reference to the Registrant’s Current Report on Form 8-K as filed with the SEC on January 11,</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Borders>
              <w:bottom w:val="single" w:sz="8" w:color="0000EE"/>
            </w:tcBorders>
            <w:gridSpan w:val="2"/>
          </w:tcPr>
          <w:p>
            <w:pPr>
              <w:spacing w:after="0" w:line="195" w:lineRule="exact"/>
              <w:rPr>
                <w:rFonts w:ascii="Times New Roman" w:cs="Times New Roman" w:eastAsia="Times New Roman" w:hAnsi="Times New Roman"/>
                <w:sz w:val="18"/>
                <w:szCs w:val="18"/>
                <w:color w:val="0000EE"/>
                <w:w w:val="94"/>
              </w:rPr>
            </w:pPr>
            <w:hyperlink r:id="rId165">
              <w:r>
                <w:rPr>
                  <w:rFonts w:ascii="Times New Roman" w:cs="Times New Roman" w:eastAsia="Times New Roman" w:hAnsi="Times New Roman"/>
                  <w:sz w:val="18"/>
                  <w:szCs w:val="18"/>
                  <w:color w:val="0000EE"/>
                  <w:w w:val="94"/>
                </w:rPr>
                <w:t>2016).</w:t>
              </w:r>
            </w:hyperlink>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10.3.1</w:t>
            </w:r>
          </w:p>
        </w:tc>
        <w:tc>
          <w:tcPr>
            <w:tcW w:w="160" w:type="dxa"/>
            <w:vAlign w:val="bottom"/>
          </w:tcPr>
          <w:p>
            <w:pPr>
              <w:spacing w:after="0"/>
              <w:rPr>
                <w:sz w:val="16"/>
                <w:szCs w:val="16"/>
                <w:color w:val="auto"/>
              </w:rPr>
            </w:pPr>
          </w:p>
        </w:tc>
        <w:tc>
          <w:tcPr>
            <w:tcW w:w="9800" w:type="dxa"/>
            <w:vAlign w:val="bottom"/>
            <w:tcBorders>
              <w:bottom w:val="single" w:sz="8" w:color="0000EE"/>
            </w:tcBorders>
            <w:gridSpan w:val="22"/>
          </w:tcPr>
          <w:p>
            <w:pPr>
              <w:spacing w:after="0" w:line="195"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Fourth Amendment to Senior Secured Convertible Note and Warrant, effective as of October 3, 2016, by and between the Registrant and</w:t>
              </w:r>
            </w:hyperlink>
          </w:p>
        </w:tc>
        <w:tc>
          <w:tcPr>
            <w:tcW w:w="280" w:type="dxa"/>
            <w:vAlign w:val="bottom"/>
            <w:gridSpan w:val="4"/>
          </w:tcPr>
          <w:p>
            <w:pPr>
              <w:spacing w:after="0"/>
              <w:rPr>
                <w:sz w:val="16"/>
                <w:szCs w:val="16"/>
                <w:color w:val="auto"/>
              </w:rPr>
            </w:pPr>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60" w:type="dxa"/>
            <w:vAlign w:val="bottom"/>
            <w:tcBorders>
              <w:bottom w:val="single" w:sz="8" w:color="0000EE"/>
            </w:tcBorders>
            <w:gridSpan w:val="23"/>
          </w:tcPr>
          <w:p>
            <w:pPr>
              <w:spacing w:after="0" w:line="195"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Deerfield Private Design Fund III, L.P. (incorporated herein by reference to the Registrant's Current Report on Form 8-K as filed with the</w:t>
              </w:r>
            </w:hyperlink>
          </w:p>
        </w:tc>
        <w:tc>
          <w:tcPr>
            <w:tcW w:w="220" w:type="dxa"/>
            <w:vAlign w:val="bottom"/>
            <w:gridSpan w:val="3"/>
          </w:tcPr>
          <w:p>
            <w:pPr>
              <w:spacing w:after="0"/>
              <w:rPr>
                <w:sz w:val="16"/>
                <w:szCs w:val="16"/>
                <w:color w:val="auto"/>
              </w:rPr>
            </w:pPr>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26"/>
          </w:tcPr>
          <w:p>
            <w:pPr>
              <w:spacing w:after="0" w:line="195"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SEC on October 3, 2016).</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8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10.3.2</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Amendment to Convertible Note and Warrant Agreement, dated November 20, 2018, between the Company and Deerfield Private Design</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Fund III, L.P. (as incorporated herein by reference to the Company's Current Report on Form 8-K filed with the SEC on November 20,</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Borders>
              <w:bottom w:val="single" w:sz="8" w:color="0000EE"/>
            </w:tcBorders>
            <w:gridSpan w:val="2"/>
          </w:tcPr>
          <w:p>
            <w:pPr>
              <w:spacing w:after="0" w:line="195" w:lineRule="exact"/>
              <w:rPr>
                <w:rFonts w:ascii="Times New Roman" w:cs="Times New Roman" w:eastAsia="Times New Roman" w:hAnsi="Times New Roman"/>
                <w:sz w:val="18"/>
                <w:szCs w:val="18"/>
                <w:color w:val="0000EE"/>
                <w:w w:val="94"/>
              </w:rPr>
            </w:pPr>
            <w:hyperlink r:id="rId167">
              <w:r>
                <w:rPr>
                  <w:rFonts w:ascii="Times New Roman" w:cs="Times New Roman" w:eastAsia="Times New Roman" w:hAnsi="Times New Roman"/>
                  <w:sz w:val="18"/>
                  <w:szCs w:val="18"/>
                  <w:color w:val="0000EE"/>
                  <w:w w:val="94"/>
                </w:rPr>
                <w:t>2018).</w:t>
              </w:r>
            </w:hyperlink>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10.3.3</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Seventh Amendment to Senior Secured Convertible Note and Sixth Amendment to Warrant, dated February 28, 2019, between the</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Company and Deerfield Private Design Fund III, L.P. (incorporated herein by reference to the Registrant's Annual Report on Form 10-K as</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tcBorders>
              <w:bottom w:val="single" w:sz="8" w:color="0000EE"/>
            </w:tcBorders>
            <w:gridSpan w:val="10"/>
          </w:tcPr>
          <w:p>
            <w:pPr>
              <w:spacing w:after="0" w:line="195"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filed with the SEC on March 1, 2019).</w:t>
              </w:r>
            </w:hyperlink>
          </w:p>
        </w:tc>
        <w:tc>
          <w:tcPr>
            <w:tcW w:w="7320" w:type="dxa"/>
            <w:vAlign w:val="bottom"/>
            <w:gridSpan w:val="16"/>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10.3.4</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Amendment to Senior Secured Convertible Notes and Amendment to Warrant, dated as of February 17, 2020, by and among Registrant and</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the noteholders party thereto (incorporated herein by reference to the Registrant’s Current Report on Form 8-K as filed with the SEC on</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26"/>
          </w:tcPr>
          <w:p>
            <w:pPr>
              <w:spacing w:after="0" w:line="195"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February 18, 2020)</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8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10.3.5</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Amendment to Senior Secured Convertible Notes and Amendment to Warrant, dated as of January 12, 2021, by and among the Company,</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Deerfield Private Design Fund III, L.P. and Deerfield Special Situations Fund, L.P. (incorporated herein by reference to the Registrant's</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26"/>
          </w:tcPr>
          <w:p>
            <w:pPr>
              <w:spacing w:after="0" w:line="195"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Current Report on Form 8-K as filed with the SEC on January 13, 2021)</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48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Warrant to Purchase Shares of Series D Preferred Stock issued to Deerfield Private Design Fund III, L.P., dated as of June 2, 2014</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26"/>
          </w:tcPr>
          <w:p>
            <w:pPr>
              <w:spacing w:after="0" w:line="195"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(incorporated herein by reference to the Registrant’s Registration Statement on Form S-1 (File No. 333-202660) as filed with the SEC on</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top w:val="single" w:sz="8" w:color="0000EE"/>
              <w:bottom w:val="single" w:sz="8" w:color="0000EE"/>
            </w:tcBorders>
            <w:gridSpan w:val="5"/>
          </w:tcPr>
          <w:p>
            <w:pPr>
              <w:spacing w:after="0" w:line="195" w:lineRule="exact"/>
              <w:rPr>
                <w:rFonts w:ascii="Times New Roman" w:cs="Times New Roman" w:eastAsia="Times New Roman" w:hAnsi="Times New Roman"/>
                <w:sz w:val="18"/>
                <w:szCs w:val="18"/>
                <w:color w:val="0000EE"/>
                <w:w w:val="97"/>
              </w:rPr>
            </w:pPr>
            <w:hyperlink r:id="rId171">
              <w:r>
                <w:rPr>
                  <w:rFonts w:ascii="Times New Roman" w:cs="Times New Roman" w:eastAsia="Times New Roman" w:hAnsi="Times New Roman"/>
                  <w:sz w:val="18"/>
                  <w:szCs w:val="18"/>
                  <w:color w:val="0000EE"/>
                  <w:w w:val="97"/>
                </w:rPr>
                <w:t>March 11, 2015).</w:t>
              </w:r>
            </w:hyperlink>
          </w:p>
        </w:tc>
        <w:tc>
          <w:tcPr>
            <w:tcW w:w="8820" w:type="dxa"/>
            <w:vAlign w:val="bottom"/>
            <w:tcBorders>
              <w:top w:val="single" w:sz="8" w:color="0000EE"/>
            </w:tcBorders>
            <w:gridSpan w:val="20"/>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10.4.1</w:t>
            </w: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Form of Stock Purchase Warrant to purchase shares of Series D Convertible Preferred Stock issued in bridge financing, along with a</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schedule of warrant holders (incorporated herein by reference to the Registrant’s Registration Statement on Form S-1 (File No. 333-202660)</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tcBorders>
              <w:bottom w:val="single" w:sz="8" w:color="0000EE"/>
            </w:tcBorders>
            <w:gridSpan w:val="11"/>
          </w:tcPr>
          <w:p>
            <w:pPr>
              <w:spacing w:after="0" w:line="195"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as filed with the SEC on March 11, 2015).</w:t>
              </w:r>
            </w:hyperlink>
          </w:p>
        </w:tc>
        <w:tc>
          <w:tcPr>
            <w:tcW w:w="7040" w:type="dxa"/>
            <w:vAlign w:val="bottom"/>
            <w:gridSpan w:val="15"/>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3" w:name="page154"/>
    <w:bookmarkEnd w:id="153"/>
    <w:p>
      <w:pPr>
        <w:spacing w:after="0" w:line="195" w:lineRule="auto"/>
        <w:framePr w:w="700" w:h="160" w:wrap="auto" w:vAnchor="page" w:hAnchor="page" w:x="480" w:y="9399"/>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10.11.2#</w:t>
      </w:r>
    </w:p>
    <w:p>
      <w:pPr>
        <w:spacing w:after="0" w:line="185" w:lineRule="auto"/>
        <w:framePr w:w="580" w:h="160" w:wrap="auto" w:vAnchor="page" w:hAnchor="page" w:x="540" w:y="9829"/>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10.12#</w:t>
      </w:r>
    </w:p>
    <w:p>
      <w:pPr>
        <w:spacing w:after="0" w:line="195" w:lineRule="auto"/>
        <w:framePr w:w="560" w:h="160" w:wrap="auto" w:vAnchor="page" w:hAnchor="page" w:x="540" w:y="8324"/>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10.11#</w:t>
      </w:r>
    </w:p>
    <w:p>
      <w:pPr>
        <w:spacing w:after="0" w:line="195" w:lineRule="auto"/>
        <w:framePr w:w="700" w:h="160" w:wrap="auto" w:vAnchor="page" w:hAnchor="page" w:x="480" w:y="8754"/>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10.11.1#</w:t>
      </w:r>
    </w:p>
    <w:p>
      <w:pPr>
        <w:spacing w:after="0" w:line="195" w:lineRule="auto"/>
        <w:framePr w:w="480" w:h="160" w:wrap="auto" w:vAnchor="page" w:hAnchor="page" w:x="580" w:y="252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10.7#</w:t>
      </w:r>
    </w:p>
    <w:p>
      <w:pPr>
        <w:spacing w:after="0" w:line="185" w:lineRule="auto"/>
        <w:framePr w:w="620" w:h="160" w:wrap="auto" w:vAnchor="page" w:hAnchor="page" w:x="520" w:y="295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10.7.1#</w:t>
      </w:r>
    </w:p>
    <w:p>
      <w:pPr>
        <w:spacing w:after="0" w:line="185" w:lineRule="auto"/>
        <w:framePr w:w="620" w:h="160" w:wrap="auto" w:vAnchor="page" w:hAnchor="page" w:x="520" w:y="338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10.7.2#</w:t>
      </w:r>
    </w:p>
    <w:p>
      <w:pPr>
        <w:spacing w:after="0" w:line="185" w:lineRule="auto"/>
        <w:framePr w:w="620" w:h="160" w:wrap="auto" w:vAnchor="page" w:hAnchor="page" w:x="520" w:y="381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10.7.3#</w:t>
      </w:r>
    </w:p>
    <w:p>
      <w:pPr>
        <w:spacing w:after="0" w:line="185" w:lineRule="auto"/>
        <w:framePr w:w="620" w:h="160" w:wrap="auto" w:vAnchor="page" w:hAnchor="page" w:x="520" w:y="424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10.7.4#</w:t>
      </w:r>
    </w:p>
    <w:p>
      <w:pPr>
        <w:spacing w:after="0" w:line="185" w:lineRule="auto"/>
        <w:framePr w:w="620" w:h="160" w:wrap="auto" w:vAnchor="page" w:hAnchor="page" w:x="520" w:y="467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10.7.5#</w:t>
      </w:r>
    </w:p>
    <w:p>
      <w:pPr>
        <w:spacing w:after="0" w:line="185" w:lineRule="auto"/>
        <w:framePr w:w="620" w:h="160" w:wrap="auto" w:vAnchor="page" w:hAnchor="page" w:x="520" w:y="510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10.7.6#</w:t>
      </w:r>
    </w:p>
    <w:p>
      <w:pPr>
        <w:spacing w:after="0" w:line="185" w:lineRule="auto"/>
        <w:framePr w:w="620" w:h="160" w:wrap="auto" w:vAnchor="page" w:hAnchor="page" w:x="520" w:y="553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10.7.7#</w:t>
      </w:r>
    </w:p>
    <w:p>
      <w:pPr>
        <w:spacing w:after="0" w:line="195" w:lineRule="auto"/>
        <w:framePr w:w="520" w:h="160" w:wrap="auto" w:vAnchor="page" w:hAnchor="page" w:x="560" w:y="596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10.7.8</w:t>
      </w:r>
    </w:p>
    <w:p>
      <w:pPr>
        <w:spacing w:after="0" w:line="195" w:lineRule="auto"/>
        <w:framePr w:w="480" w:h="160" w:wrap="auto" w:vAnchor="page" w:hAnchor="page" w:x="580" w:y="639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10.8#</w:t>
      </w:r>
    </w:p>
    <w:p>
      <w:pPr>
        <w:spacing w:after="0" w:line="195" w:lineRule="auto"/>
        <w:framePr w:w="480" w:h="160" w:wrap="auto" w:vAnchor="page" w:hAnchor="page" w:x="580" w:y="682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10.9#</w:t>
      </w:r>
    </w:p>
    <w:p>
      <w:pPr>
        <w:spacing w:after="0" w:line="185" w:lineRule="auto"/>
        <w:framePr w:w="580" w:h="160" w:wrap="auto" w:vAnchor="page" w:hAnchor="page" w:x="540" w:y="725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10.10#</w:t>
      </w:r>
    </w:p>
    <w:p>
      <w:pPr>
        <w:spacing w:after="0" w:line="195" w:lineRule="auto"/>
        <w:framePr w:w="700" w:h="160" w:wrap="auto" w:vAnchor="page" w:hAnchor="page" w:x="480" w:y="768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10.10.1#</w:t>
      </w:r>
    </w:p>
    <w:p>
      <w:pPr>
        <w:spacing w:after="0" w:line="185" w:lineRule="auto"/>
        <w:framePr w:w="480" w:h="160" w:wrap="auto" w:vAnchor="page" w:hAnchor="page" w:x="580" w:y="1875"/>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10.6</w:t>
      </w:r>
      <w:r>
        <w:rPr>
          <w:rFonts w:ascii="Times New Roman" w:cs="Times New Roman" w:eastAsia="Times New Roman" w:hAnsi="Times New Roman"/>
          <w:sz w:val="18"/>
          <w:szCs w:val="18"/>
          <w:color w:val="auto"/>
          <w:vertAlign w:val="superscript"/>
        </w:rPr>
        <w:t>+</w:t>
      </w: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rFonts w:ascii="Times New Roman" w:cs="Times New Roman" w:eastAsia="Times New Roman" w:hAnsi="Times New Roman"/>
          <w:sz w:val="12"/>
          <w:szCs w:val="12"/>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EXHIBITS, CONTINUED</w:t>
      </w:r>
    </w:p>
    <w:p>
      <w:pPr>
        <w:spacing w:after="0" w:line="223" w:lineRule="exact"/>
        <w:rPr>
          <w:rFonts w:ascii="Times New Roman" w:cs="Times New Roman" w:eastAsia="Times New Roman" w:hAnsi="Times New Roman"/>
          <w:sz w:val="12"/>
          <w:szCs w:val="12"/>
          <w:color w:val="auto"/>
        </w:rPr>
      </w:pPr>
    </w:p>
    <w:p>
      <w:pPr>
        <w:ind w:left="60"/>
        <w:spacing w:after="0"/>
        <w:tabs>
          <w:tab w:leader="none" w:pos="57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column">
              <wp:posOffset>746760</wp:posOffset>
            </wp:positionH>
            <wp:positionV relativeFrom="paragraph">
              <wp:posOffset>19050</wp:posOffset>
            </wp:positionV>
            <wp:extent cx="63906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6390640" cy="8255"/>
                    </a:xfrm>
                    <a:prstGeom prst="rect">
                      <a:avLst/>
                    </a:prstGeom>
                    <a:noFill/>
                  </pic:spPr>
                </pic:pic>
              </a:graphicData>
            </a:graphic>
          </wp:anchor>
        </w:drawing>
      </w:r>
    </w:p>
    <w:p>
      <w:pPr>
        <w:spacing w:after="0" w:line="11" w:lineRule="exact"/>
        <w:rPr>
          <w:rFonts w:ascii="Times New Roman" w:cs="Times New Roman" w:eastAsia="Times New Roman" w:hAnsi="Times New Roman"/>
          <w:sz w:val="12"/>
          <w:szCs w:val="12"/>
          <w:color w:val="auto"/>
        </w:rPr>
      </w:pPr>
    </w:p>
    <w:p>
      <w:pPr>
        <w:jc w:val="both"/>
        <w:ind w:left="1180" w:hanging="827"/>
        <w:spacing w:after="0" w:line="247" w:lineRule="auto"/>
        <w:tabs>
          <w:tab w:leader="none" w:pos="11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75">
        <w:r>
          <w:rPr>
            <w:rFonts w:ascii="Times New Roman" w:cs="Times New Roman" w:eastAsia="Times New Roman" w:hAnsi="Times New Roman"/>
            <w:sz w:val="18"/>
            <w:szCs w:val="18"/>
            <w:u w:val="single" w:color="auto"/>
            <w:color w:val="0000EE"/>
          </w:rPr>
          <w:t>Amended and Restated Investors’ Rights Agreement, dated as of February 19, 2015, by and among the Registrant and certain of its</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stockholders (incorporated herein by reference to the Registrant’s Registration Statement on Form S-1 (File No. 333-202660) as filed with</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the SEC on March 11, 2015).</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80"/>
        <w:spacing w:after="0" w:line="256" w:lineRule="auto"/>
        <w:rPr>
          <w:rFonts w:ascii="Times New Roman" w:cs="Times New Roman" w:eastAsia="Times New Roman" w:hAnsi="Times New Roman"/>
          <w:sz w:val="18"/>
          <w:szCs w:val="18"/>
          <w:u w:val="single" w:color="auto"/>
          <w:color w:val="0000EE"/>
        </w:rPr>
      </w:pPr>
      <w:hyperlink r:id="rId176">
        <w:r>
          <w:rPr>
            <w:rFonts w:ascii="Times New Roman" w:cs="Times New Roman" w:eastAsia="Times New Roman" w:hAnsi="Times New Roman"/>
            <w:sz w:val="18"/>
            <w:szCs w:val="18"/>
            <w:u w:val="single" w:color="auto"/>
            <w:color w:val="0000EE"/>
          </w:rPr>
          <w:t>Agreement to Terminate CLA, by and between MonoSol Rx, LLC and the Registrant, dated as of March 20, 2012 (incorporated herein by</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reference to the Registrant's Amendment No. 1 to Registration Statement on Form S-1/A (File No. 333-202660) as filed with the SEC on</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April 3, 2015).</w:t>
        </w:r>
      </w:hyperlink>
    </w:p>
    <w:p>
      <w:pPr>
        <w:spacing w:after="0" w:line="1" w:lineRule="exact"/>
        <w:rPr>
          <w:rFonts w:ascii="Times New Roman" w:cs="Times New Roman" w:eastAsia="Times New Roman" w:hAnsi="Times New Roman"/>
          <w:sz w:val="18"/>
          <w:szCs w:val="18"/>
          <w:u w:val="single" w:color="auto"/>
          <w:color w:val="0000EE"/>
        </w:rPr>
      </w:pPr>
    </w:p>
    <w:p>
      <w:pPr>
        <w:ind w:left="1180"/>
        <w:spacing w:after="0"/>
        <w:rPr>
          <w:rFonts w:ascii="Times New Roman" w:cs="Times New Roman" w:eastAsia="Times New Roman" w:hAnsi="Times New Roman"/>
          <w:sz w:val="17"/>
          <w:szCs w:val="17"/>
          <w:u w:val="single" w:color="auto"/>
          <w:color w:val="0000EE"/>
        </w:rPr>
      </w:pPr>
      <w:hyperlink r:id="rId177">
        <w:r>
          <w:rPr>
            <w:rFonts w:ascii="Times New Roman" w:cs="Times New Roman" w:eastAsia="Times New Roman" w:hAnsi="Times New Roman"/>
            <w:sz w:val="17"/>
            <w:szCs w:val="17"/>
            <w:u w:val="single" w:color="auto"/>
            <w:color w:val="0000EE"/>
          </w:rPr>
          <w:t>Incentive Stock Plan, as amended to date (incorporated herein by reference to the Registrant's Registration Statement on Form S-1 (File No.</w:t>
        </w:r>
      </w:hyperlink>
    </w:p>
    <w:p>
      <w:pPr>
        <w:spacing w:after="0" w:line="20" w:lineRule="exact"/>
        <w:rPr>
          <w:rFonts w:ascii="Times New Roman" w:cs="Times New Roman" w:eastAsia="Times New Roman" w:hAnsi="Times New Roman"/>
          <w:sz w:val="18"/>
          <w:szCs w:val="18"/>
          <w:u w:val="single" w:color="auto"/>
          <w:color w:val="0000EE"/>
        </w:rPr>
      </w:pPr>
    </w:p>
    <w:p>
      <w:pPr>
        <w:ind w:left="1180"/>
        <w:spacing w:after="0"/>
        <w:rPr>
          <w:rFonts w:ascii="Times New Roman" w:cs="Times New Roman" w:eastAsia="Times New Roman" w:hAnsi="Times New Roman"/>
          <w:sz w:val="18"/>
          <w:szCs w:val="18"/>
          <w:u w:val="single" w:color="auto"/>
          <w:color w:val="0000EE"/>
        </w:rPr>
      </w:pPr>
      <w:hyperlink r:id="rId177">
        <w:r>
          <w:rPr>
            <w:rFonts w:ascii="Times New Roman" w:cs="Times New Roman" w:eastAsia="Times New Roman" w:hAnsi="Times New Roman"/>
            <w:sz w:val="18"/>
            <w:szCs w:val="18"/>
            <w:u w:val="single" w:color="auto"/>
            <w:color w:val="0000EE"/>
          </w:rPr>
          <w:t>333-202660) as filed with the SEC on March 11, 2015).</w:t>
        </w:r>
      </w:hyperlink>
    </w:p>
    <w:p>
      <w:pPr>
        <w:spacing w:after="0" w:line="8" w:lineRule="exact"/>
        <w:rPr>
          <w:rFonts w:ascii="Times New Roman" w:cs="Times New Roman" w:eastAsia="Times New Roman" w:hAnsi="Times New Roman"/>
          <w:sz w:val="18"/>
          <w:szCs w:val="18"/>
          <w:u w:val="single" w:color="auto"/>
          <w:color w:val="0000EE"/>
        </w:rPr>
      </w:pPr>
    </w:p>
    <w:p>
      <w:pPr>
        <w:jc w:val="both"/>
        <w:ind w:left="1180"/>
        <w:spacing w:after="0" w:line="249" w:lineRule="auto"/>
        <w:rPr>
          <w:rFonts w:ascii="Times New Roman" w:cs="Times New Roman" w:eastAsia="Times New Roman" w:hAnsi="Times New Roman"/>
          <w:sz w:val="18"/>
          <w:szCs w:val="18"/>
          <w:u w:val="single" w:color="auto"/>
          <w:color w:val="0000EE"/>
        </w:rPr>
      </w:pPr>
      <w:hyperlink r:id="rId178">
        <w:r>
          <w:rPr>
            <w:rFonts w:ascii="Times New Roman" w:cs="Times New Roman" w:eastAsia="Times New Roman" w:hAnsi="Times New Roman"/>
            <w:sz w:val="18"/>
            <w:szCs w:val="18"/>
            <w:u w:val="single" w:color="auto"/>
            <w:color w:val="0000EE"/>
          </w:rPr>
          <w:t>Form of Incentive Stock Option Agreement under Incentive Stock Plan (incorporated herein by reference to the Registrant's Registration</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Statement on Form S-1 (File No. 333-202660) as filed with the SEC on March 11, 2015).</w:t>
        </w:r>
      </w:hyperlink>
    </w:p>
    <w:p>
      <w:pPr>
        <w:jc w:val="both"/>
        <w:ind w:left="1180" w:right="20"/>
        <w:spacing w:after="0" w:line="249" w:lineRule="auto"/>
        <w:rPr>
          <w:rFonts w:ascii="Times New Roman" w:cs="Times New Roman" w:eastAsia="Times New Roman" w:hAnsi="Times New Roman"/>
          <w:sz w:val="18"/>
          <w:szCs w:val="18"/>
          <w:u w:val="single" w:color="auto"/>
          <w:color w:val="0000EE"/>
        </w:rPr>
      </w:pPr>
      <w:hyperlink r:id="rId179">
        <w:r>
          <w:rPr>
            <w:rFonts w:ascii="Times New Roman" w:cs="Times New Roman" w:eastAsia="Times New Roman" w:hAnsi="Times New Roman"/>
            <w:sz w:val="18"/>
            <w:szCs w:val="18"/>
            <w:u w:val="single" w:color="auto"/>
            <w:color w:val="0000EE"/>
          </w:rPr>
          <w:t>Form of Nonqualified Stock Option Agreement under Incentive Stock Plan (incorporated herein by reference to the Registrant's</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Registration Statement on Form S-1 (File No. 333-202660) as filed with the SEC on March 11, 2015).</w:t>
        </w:r>
      </w:hyperlink>
    </w:p>
    <w:p>
      <w:pPr>
        <w:jc w:val="both"/>
        <w:ind w:left="1180"/>
        <w:spacing w:after="0" w:line="249" w:lineRule="auto"/>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u w:val="single" w:color="auto"/>
            <w:color w:val="0000EE"/>
          </w:rPr>
          <w:t>Amended and Restated 2014 Equity Incentive Plan (incorporated herein by reference to the Registrant's Quarterly Report on Form 10-Q as</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filed with the SEC on August</w:t>
        </w:r>
        <w:r>
          <w:rPr>
            <w:rFonts w:ascii="Times New Roman" w:cs="Times New Roman" w:eastAsia="Times New Roman" w:hAnsi="Times New Roman"/>
            <w:sz w:val="18"/>
            <w:szCs w:val="18"/>
            <w:color w:val="0000EE"/>
          </w:rPr>
          <w:t xml:space="preserve"> 13,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2086610</wp:posOffset>
            </wp:positionH>
            <wp:positionV relativeFrom="paragraph">
              <wp:posOffset>-135890</wp:posOffset>
            </wp:positionV>
            <wp:extent cx="495300" cy="1282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495300" cy="128270"/>
                    </a:xfrm>
                    <a:prstGeom prst="rect">
                      <a:avLst/>
                    </a:prstGeom>
                    <a:noFill/>
                  </pic:spPr>
                </pic:pic>
              </a:graphicData>
            </a:graphic>
          </wp:anchor>
        </w:drawing>
      </w:r>
    </w:p>
    <w:p>
      <w:pPr>
        <w:jc w:val="both"/>
        <w:ind w:left="1180" w:right="20"/>
        <w:spacing w:after="0" w:line="249" w:lineRule="auto"/>
        <w:rPr>
          <w:rFonts w:ascii="Times New Roman" w:cs="Times New Roman" w:eastAsia="Times New Roman" w:hAnsi="Times New Roman"/>
          <w:sz w:val="18"/>
          <w:szCs w:val="18"/>
          <w:u w:val="single" w:color="auto"/>
          <w:color w:val="0000EE"/>
        </w:rPr>
      </w:pPr>
      <w:hyperlink r:id="rId182">
        <w:r>
          <w:rPr>
            <w:rFonts w:ascii="Times New Roman" w:cs="Times New Roman" w:eastAsia="Times New Roman" w:hAnsi="Times New Roman"/>
            <w:sz w:val="18"/>
            <w:szCs w:val="18"/>
            <w:u w:val="single" w:color="auto"/>
            <w:color w:val="0000EE"/>
          </w:rPr>
          <w:t>Form of Stock Option Grant Notice and Stock Option Agreement under 2014 Equity Incentive Plan (incorporated herein by reference to the</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Registrant's Registration Statement on Form S-1 File No. 333-202660) as filed with the SEC on March 11, 2015).</w:t>
        </w:r>
      </w:hyperlink>
    </w:p>
    <w:p>
      <w:pPr>
        <w:jc w:val="both"/>
        <w:ind w:left="1180" w:right="20"/>
        <w:spacing w:after="0" w:line="249" w:lineRule="auto"/>
        <w:rPr>
          <w:rFonts w:ascii="Times New Roman" w:cs="Times New Roman" w:eastAsia="Times New Roman" w:hAnsi="Times New Roman"/>
          <w:sz w:val="18"/>
          <w:szCs w:val="18"/>
          <w:u w:val="single" w:color="auto"/>
          <w:color w:val="0000EE"/>
        </w:rPr>
      </w:pPr>
      <w:hyperlink r:id="rId183">
        <w:r>
          <w:rPr>
            <w:rFonts w:ascii="Times New Roman" w:cs="Times New Roman" w:eastAsia="Times New Roman" w:hAnsi="Times New Roman"/>
            <w:sz w:val="18"/>
            <w:szCs w:val="18"/>
            <w:u w:val="single" w:color="auto"/>
            <w:color w:val="0000EE"/>
          </w:rPr>
          <w:t>Form of Restricted Stock Unit Grant Notice and Restricted Stock Unit Agreement under 2014 Equity Incentive Plan (incorporated herein by</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reference to the Registrant's Registration Statement on Form S-1 File No. 333-202660) as filed with the SEC on March 11, 2015).</w:t>
        </w:r>
      </w:hyperlink>
    </w:p>
    <w:p>
      <w:pPr>
        <w:jc w:val="both"/>
        <w:ind w:left="1180"/>
        <w:spacing w:after="0" w:line="249" w:lineRule="auto"/>
        <w:rPr>
          <w:rFonts w:ascii="Times New Roman" w:cs="Times New Roman" w:eastAsia="Times New Roman" w:hAnsi="Times New Roman"/>
          <w:sz w:val="18"/>
          <w:szCs w:val="18"/>
          <w:u w:val="single" w:color="auto"/>
          <w:color w:val="0000EE"/>
        </w:rPr>
      </w:pPr>
      <w:hyperlink r:id="rId184">
        <w:r>
          <w:rPr>
            <w:rFonts w:ascii="Times New Roman" w:cs="Times New Roman" w:eastAsia="Times New Roman" w:hAnsi="Times New Roman"/>
            <w:sz w:val="18"/>
            <w:szCs w:val="18"/>
            <w:u w:val="single" w:color="auto"/>
            <w:color w:val="0000EE"/>
          </w:rPr>
          <w:t>Form of Restricted Stock Award Grant Notice and Restricted Stock Award Agreement under 2014 Equity Incentive Plan (incorporated</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herein by reference to the Registrant's Quarterly Report on Form 10-Q as filed with the SEC on May 14, 2019).</w:t>
        </w:r>
      </w:hyperlink>
    </w:p>
    <w:p>
      <w:pPr>
        <w:jc w:val="both"/>
        <w:ind w:left="1180"/>
        <w:spacing w:after="0" w:line="249" w:lineRule="auto"/>
        <w:rPr>
          <w:rFonts w:ascii="Times New Roman" w:cs="Times New Roman" w:eastAsia="Times New Roman" w:hAnsi="Times New Roman"/>
          <w:sz w:val="18"/>
          <w:szCs w:val="18"/>
          <w:u w:val="single" w:color="auto"/>
          <w:color w:val="0000EE"/>
        </w:rPr>
      </w:pPr>
      <w:hyperlink r:id="rId185">
        <w:r>
          <w:rPr>
            <w:rFonts w:ascii="Times New Roman" w:cs="Times New Roman" w:eastAsia="Times New Roman" w:hAnsi="Times New Roman"/>
            <w:sz w:val="18"/>
            <w:szCs w:val="18"/>
            <w:u w:val="single" w:color="auto"/>
            <w:color w:val="0000EE"/>
          </w:rPr>
          <w:t>2021 Employee Stock Purchase Plan (incorporated herein by reference to the Registrant's Quarterly Report on Form 10-Q as filed with the</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SEC on August 13, 2021).</w:t>
        </w:r>
      </w:hyperlink>
    </w:p>
    <w:p>
      <w:pPr>
        <w:jc w:val="both"/>
        <w:ind w:left="1180"/>
        <w:spacing w:after="0" w:line="249" w:lineRule="auto"/>
        <w:rPr>
          <w:rFonts w:ascii="Times New Roman" w:cs="Times New Roman" w:eastAsia="Times New Roman" w:hAnsi="Times New Roman"/>
          <w:sz w:val="18"/>
          <w:szCs w:val="18"/>
          <w:u w:val="single" w:color="auto"/>
          <w:color w:val="0000EE"/>
        </w:rPr>
      </w:pPr>
      <w:hyperlink r:id="rId186">
        <w:r>
          <w:rPr>
            <w:rFonts w:ascii="Times New Roman" w:cs="Times New Roman" w:eastAsia="Times New Roman" w:hAnsi="Times New Roman"/>
            <w:sz w:val="18"/>
            <w:szCs w:val="18"/>
            <w:u w:val="single" w:color="auto"/>
            <w:color w:val="0000EE"/>
          </w:rPr>
          <w:t>2023 Employment Inducement Award Plan and forms of award agreements thereunder (incorporated herein by reference to the Registrant's</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Annual Report on Form 10-K as filed with the SEC on April 1, 2024).</w:t>
        </w:r>
      </w:hyperlink>
    </w:p>
    <w:p>
      <w:pPr>
        <w:jc w:val="both"/>
        <w:ind w:left="1180" w:right="20"/>
        <w:spacing w:after="0" w:line="249" w:lineRule="auto"/>
        <w:rPr>
          <w:rFonts w:ascii="Times New Roman" w:cs="Times New Roman" w:eastAsia="Times New Roman" w:hAnsi="Times New Roman"/>
          <w:sz w:val="18"/>
          <w:szCs w:val="18"/>
          <w:u w:val="single" w:color="auto"/>
          <w:color w:val="0000EE"/>
        </w:rPr>
      </w:pPr>
      <w:hyperlink r:id="rId187">
        <w:r>
          <w:rPr>
            <w:rFonts w:ascii="Times New Roman" w:cs="Times New Roman" w:eastAsia="Times New Roman" w:hAnsi="Times New Roman"/>
            <w:sz w:val="18"/>
            <w:szCs w:val="18"/>
            <w:u w:val="single" w:color="auto"/>
            <w:color w:val="0000EE"/>
          </w:rPr>
          <w:t>Ninth Amended and Restated Non-Employee Director Compensation Policy effective May 3, 2023 (incorporated herein by reference to the</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Registrant's Quarterly Report on Form 10-Q as filed with the SEC on August 14, 2023).</w:t>
        </w:r>
      </w:hyperlink>
    </w:p>
    <w:p>
      <w:pPr>
        <w:jc w:val="both"/>
        <w:ind w:left="1180"/>
        <w:spacing w:after="0" w:line="249" w:lineRule="auto"/>
        <w:rPr>
          <w:rFonts w:ascii="Times New Roman" w:cs="Times New Roman" w:eastAsia="Times New Roman" w:hAnsi="Times New Roman"/>
          <w:sz w:val="18"/>
          <w:szCs w:val="18"/>
          <w:u w:val="single" w:color="auto"/>
          <w:color w:val="0000EE"/>
        </w:rPr>
      </w:pPr>
      <w:hyperlink r:id="rId188">
        <w:r>
          <w:rPr>
            <w:rFonts w:ascii="Times New Roman" w:cs="Times New Roman" w:eastAsia="Times New Roman" w:hAnsi="Times New Roman"/>
            <w:sz w:val="18"/>
            <w:szCs w:val="18"/>
            <w:u w:val="single" w:color="auto"/>
            <w:color w:val="0000EE"/>
          </w:rPr>
          <w:t>Form of Indemnification Agreement with the Registrant's directors and executive officers (incorporated herein by reference to the</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Registrant's Registration Statement on Form S-1 (File No. 333-202660) as filed with the SEC on March 11, 2015).</w:t>
        </w:r>
      </w:hyperlink>
    </w:p>
    <w:p>
      <w:pPr>
        <w:ind w:left="1180"/>
        <w:spacing w:after="0" w:line="249" w:lineRule="auto"/>
        <w:rPr>
          <w:rFonts w:ascii="Times New Roman" w:cs="Times New Roman" w:eastAsia="Times New Roman" w:hAnsi="Times New Roman"/>
          <w:sz w:val="18"/>
          <w:szCs w:val="18"/>
          <w:u w:val="single" w:color="auto"/>
          <w:color w:val="0000EE"/>
        </w:rPr>
      </w:pPr>
      <w:hyperlink r:id="rId189">
        <w:r>
          <w:rPr>
            <w:rFonts w:ascii="Times New Roman" w:cs="Times New Roman" w:eastAsia="Times New Roman" w:hAnsi="Times New Roman"/>
            <w:sz w:val="18"/>
            <w:szCs w:val="18"/>
            <w:u w:val="single" w:color="auto"/>
            <w:color w:val="0000EE"/>
          </w:rPr>
          <w:t>Amended and Restated Employment Agreement by and between the Registrant and R. LaDuane Clifton, dated as of June 25, 2015</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(incorporated herein by reference to the Registrant's Quarterly Report on Form 10-Q as filed with the SEC on August 14, 2015).</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Amendment to Amended and Restated Employment Agreement by and between the Registrant and R. LaDuane Clifton, dated as of October</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13, 2015 (incorporated herein by reference to the Registrant's Quarterly Report on Form 10-Q as filed with the SEC on November 13,</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2015).</w:t>
        </w:r>
      </w:hyperlink>
    </w:p>
    <w:p>
      <w:pPr>
        <w:spacing w:after="0" w:line="1" w:lineRule="exact"/>
        <w:rPr>
          <w:rFonts w:ascii="Times New Roman" w:cs="Times New Roman" w:eastAsia="Times New Roman" w:hAnsi="Times New Roman"/>
          <w:sz w:val="18"/>
          <w:szCs w:val="18"/>
          <w:u w:val="single" w:color="auto"/>
          <w:color w:val="0000EE"/>
        </w:rPr>
      </w:pPr>
    </w:p>
    <w:p>
      <w:pPr>
        <w:ind w:left="1180"/>
        <w:spacing w:after="0" w:line="249" w:lineRule="auto"/>
        <w:rPr>
          <w:rFonts w:ascii="Times New Roman" w:cs="Times New Roman" w:eastAsia="Times New Roman" w:hAnsi="Times New Roman"/>
          <w:sz w:val="18"/>
          <w:szCs w:val="18"/>
          <w:u w:val="single" w:color="auto"/>
          <w:color w:val="0000EE"/>
        </w:rPr>
      </w:pPr>
      <w:hyperlink r:id="rId191">
        <w:r>
          <w:rPr>
            <w:rFonts w:ascii="Times New Roman" w:cs="Times New Roman" w:eastAsia="Times New Roman" w:hAnsi="Times New Roman"/>
            <w:sz w:val="18"/>
            <w:szCs w:val="18"/>
            <w:u w:val="single" w:color="auto"/>
            <w:color w:val="0000EE"/>
          </w:rPr>
          <w:t>Employment Agreement by and between the Registrant and Christal M.M. Mickle, dated as of May 30, 2014 (incorporated herein by</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reference to the Registrant's Registration Statement on Form S-1 (File No. 333-202660) as filed with the SEC on March 11, 2015).</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Amendment to Employment Agreement by and between the Registrant and Christal M.M. Mickle, dated as of October 13, 2015</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(incorporated herein by reference to Exhibit 10.1 to the Registrant's Quarterly Report on Form 10-Q filed with the SEC on November 13,</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2015).</w:t>
        </w:r>
      </w:hyperlink>
    </w:p>
    <w:p>
      <w:pPr>
        <w:spacing w:after="0" w:line="1" w:lineRule="exact"/>
        <w:rPr>
          <w:rFonts w:ascii="Times New Roman" w:cs="Times New Roman" w:eastAsia="Times New Roman" w:hAnsi="Times New Roman"/>
          <w:sz w:val="18"/>
          <w:szCs w:val="18"/>
          <w:u w:val="single" w:color="auto"/>
          <w:color w:val="0000EE"/>
        </w:rPr>
      </w:pPr>
    </w:p>
    <w:p>
      <w:pPr>
        <w:ind w:left="1180" w:right="440"/>
        <w:spacing w:after="0" w:line="249" w:lineRule="auto"/>
        <w:rPr>
          <w:rFonts w:ascii="Times New Roman" w:cs="Times New Roman" w:eastAsia="Times New Roman" w:hAnsi="Times New Roman"/>
          <w:sz w:val="18"/>
          <w:szCs w:val="18"/>
          <w:u w:val="single" w:color="auto"/>
          <w:color w:val="0000EE"/>
        </w:rPr>
      </w:pPr>
      <w:hyperlink r:id="rId193">
        <w:r>
          <w:rPr>
            <w:rFonts w:ascii="Times New Roman" w:cs="Times New Roman" w:eastAsia="Times New Roman" w:hAnsi="Times New Roman"/>
            <w:sz w:val="18"/>
            <w:szCs w:val="18"/>
            <w:u w:val="single" w:color="auto"/>
            <w:color w:val="0000EE"/>
          </w:rPr>
          <w:t>Agreement Regarding Employment Terms, dated as of May 13, 2023, between the Registrant and Christal M.M. Mickle (incorporated</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herein by reference to the Registrant's Current Report on Form 8-K as filed with the SEC on May 15, 2023).</w:t>
        </w:r>
      </w:hyperlink>
    </w:p>
    <w:p>
      <w:pPr>
        <w:ind w:left="1180"/>
        <w:spacing w:after="0" w:line="258" w:lineRule="auto"/>
        <w:rPr>
          <w:rFonts w:ascii="Times New Roman" w:cs="Times New Roman" w:eastAsia="Times New Roman" w:hAnsi="Times New Roman"/>
          <w:sz w:val="18"/>
          <w:szCs w:val="18"/>
          <w:u w:val="single" w:color="auto"/>
          <w:color w:val="0000EE"/>
        </w:rPr>
      </w:pPr>
      <w:hyperlink r:id="rId194">
        <w:r>
          <w:rPr>
            <w:rFonts w:ascii="Times New Roman" w:cs="Times New Roman" w:eastAsia="Times New Roman" w:hAnsi="Times New Roman"/>
            <w:sz w:val="18"/>
            <w:szCs w:val="18"/>
            <w:u w:val="single" w:color="auto"/>
            <w:color w:val="0000EE"/>
          </w:rPr>
          <w:t>Amended and Restated Employment Agreement by and between the Registrant and Sven Guenther, dated as of April 13, 2016 (incorporated</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herein by reference to the Registrant's Quarterly Report on Form 10-Q as filed with the SEC on May 13, 2016).</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20" w:type="dxa"/>
            <w:vAlign w:val="bottom"/>
            <w:gridSpan w:val="30"/>
          </w:tcPr>
          <w:p>
            <w:pPr>
              <w:ind w:left="1580"/>
              <w:spacing w:after="0"/>
              <w:rPr>
                <w:sz w:val="20"/>
                <w:szCs w:val="20"/>
                <w:color w:val="auto"/>
              </w:rPr>
            </w:pPr>
            <w:r>
              <w:rPr>
                <w:rFonts w:ascii="Times New Roman" w:cs="Times New Roman" w:eastAsia="Times New Roman" w:hAnsi="Times New Roman"/>
                <w:sz w:val="18"/>
                <w:szCs w:val="18"/>
                <w:b w:val="1"/>
                <w:bCs w:val="1"/>
                <w:color w:val="auto"/>
              </w:rPr>
              <w:t>EXHIBITS, CONTINUED</w:t>
            </w:r>
          </w:p>
        </w:tc>
      </w:tr>
      <w:tr>
        <w:trPr>
          <w:trHeight w:val="430"/>
        </w:trPr>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gridSpan w:val="29"/>
          </w:tcPr>
          <w:p>
            <w:pPr>
              <w:ind w:left="1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8"/>
        </w:trPr>
        <w:tc>
          <w:tcPr>
            <w:tcW w:w="1000" w:type="dxa"/>
            <w:vAlign w:val="bottom"/>
          </w:tcPr>
          <w:p>
            <w:pPr>
              <w:jc w:val="center"/>
              <w:spacing w:after="0" w:line="168" w:lineRule="exact"/>
              <w:rPr>
                <w:sz w:val="20"/>
                <w:szCs w:val="20"/>
                <w:color w:val="auto"/>
              </w:rPr>
            </w:pPr>
            <w:r>
              <w:rPr>
                <w:rFonts w:ascii="Times New Roman" w:cs="Times New Roman" w:eastAsia="Times New Roman" w:hAnsi="Times New Roman"/>
                <w:sz w:val="18"/>
                <w:szCs w:val="18"/>
                <w:color w:val="auto"/>
                <w:w w:val="99"/>
              </w:rPr>
              <w:t>10.13#*</w:t>
            </w:r>
          </w:p>
        </w:tc>
        <w:tc>
          <w:tcPr>
            <w:tcW w:w="160" w:type="dxa"/>
            <w:vAlign w:val="bottom"/>
          </w:tcPr>
          <w:p>
            <w:pPr>
              <w:spacing w:after="0"/>
              <w:rPr>
                <w:sz w:val="14"/>
                <w:szCs w:val="14"/>
                <w:color w:val="auto"/>
              </w:rPr>
            </w:pPr>
          </w:p>
        </w:tc>
        <w:tc>
          <w:tcPr>
            <w:tcW w:w="7540" w:type="dxa"/>
            <w:vAlign w:val="bottom"/>
            <w:tcBorders>
              <w:bottom w:val="single" w:sz="8" w:color="0000EE"/>
            </w:tcBorders>
            <w:gridSpan w:val="22"/>
          </w:tcPr>
          <w:p>
            <w:pPr>
              <w:spacing w:after="0" w:line="168" w:lineRule="exact"/>
              <w:rPr>
                <w:sz w:val="20"/>
                <w:szCs w:val="20"/>
                <w:color w:val="auto"/>
              </w:rPr>
            </w:pPr>
            <w:r>
              <w:rPr>
                <w:rFonts w:ascii="Times New Roman" w:cs="Times New Roman" w:eastAsia="Times New Roman" w:hAnsi="Times New Roman"/>
                <w:sz w:val="18"/>
                <w:szCs w:val="18"/>
                <w:color w:val="0000EE"/>
                <w:w w:val="99"/>
              </w:rPr>
              <w:t>Employment Agreement by and between the Registrant and Adrian Quartel, dated as of January 3, 2024.</w:t>
            </w:r>
          </w:p>
        </w:tc>
        <w:tc>
          <w:tcPr>
            <w:tcW w:w="2540" w:type="dxa"/>
            <w:vAlign w:val="bottom"/>
            <w:gridSpan w:val="15"/>
          </w:tcPr>
          <w:p>
            <w:pPr>
              <w:spacing w:after="0"/>
              <w:rPr>
                <w:sz w:val="14"/>
                <w:szCs w:val="14"/>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10.14#*</w:t>
            </w:r>
          </w:p>
        </w:tc>
        <w:tc>
          <w:tcPr>
            <w:tcW w:w="160" w:type="dxa"/>
            <w:vAlign w:val="bottom"/>
          </w:tcPr>
          <w:p>
            <w:pPr>
              <w:spacing w:after="0"/>
              <w:rPr>
                <w:sz w:val="16"/>
                <w:szCs w:val="16"/>
                <w:color w:val="auto"/>
              </w:rPr>
            </w:pPr>
          </w:p>
        </w:tc>
        <w:tc>
          <w:tcPr>
            <w:tcW w:w="10080" w:type="dxa"/>
            <w:vAlign w:val="bottom"/>
            <w:gridSpan w:val="37"/>
          </w:tcPr>
          <w:p>
            <w:pPr>
              <w:spacing w:after="0" w:line="195" w:lineRule="exact"/>
              <w:rPr>
                <w:sz w:val="20"/>
                <w:szCs w:val="20"/>
                <w:color w:val="auto"/>
              </w:rPr>
            </w:pPr>
            <w:r>
              <w:rPr>
                <w:rFonts w:ascii="Times New Roman" w:cs="Times New Roman" w:eastAsia="Times New Roman" w:hAnsi="Times New Roman"/>
                <w:sz w:val="18"/>
                <w:szCs w:val="18"/>
                <w:color w:val="0000EE"/>
              </w:rPr>
              <w:t>Employment Agreement by and between the Registrant and Joshua Schafer, dated as of January 6, 2023.</w:t>
            </w: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Employment Agreement by and between the Registrant and Rahsaan Thompson, dated as of June 21, 2024 (incorporated by reference to the</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37"/>
          </w:tcPr>
          <w:p>
            <w:pPr>
              <w:spacing w:after="0" w:line="195"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Registrant’s Quarterly Report on Form 10-Q as filed with the SEC on August 13, 2024).</w:t>
              </w:r>
            </w:hyperlink>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Employment Agreement, effective as of October 10, 2023, between the Registrant and Neil F. McFarlane (incorporated herein by reference</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140" w:type="dxa"/>
            <w:vAlign w:val="bottom"/>
            <w:tcBorders>
              <w:bottom w:val="single" w:sz="8" w:color="0000EE"/>
            </w:tcBorders>
            <w:gridSpan w:val="11"/>
          </w:tcPr>
          <w:p>
            <w:pPr>
              <w:spacing w:after="0" w:line="195"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to the Registrant's Current Report on 8-K as filed with the SEC on October 10, 2023).</w:t>
              </w:r>
            </w:hyperlink>
          </w:p>
        </w:tc>
        <w:tc>
          <w:tcPr>
            <w:tcW w:w="3940" w:type="dxa"/>
            <w:vAlign w:val="bottom"/>
            <w:gridSpan w:val="26"/>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10.16.1#*</w:t>
            </w:r>
          </w:p>
        </w:tc>
        <w:tc>
          <w:tcPr>
            <w:tcW w:w="160" w:type="dxa"/>
            <w:vAlign w:val="bottom"/>
          </w:tcPr>
          <w:p>
            <w:pPr>
              <w:spacing w:after="0"/>
              <w:rPr>
                <w:sz w:val="16"/>
                <w:szCs w:val="16"/>
                <w:color w:val="auto"/>
              </w:rPr>
            </w:pPr>
          </w:p>
        </w:tc>
        <w:tc>
          <w:tcPr>
            <w:tcW w:w="10080" w:type="dxa"/>
            <w:vAlign w:val="bottom"/>
            <w:gridSpan w:val="37"/>
          </w:tcPr>
          <w:p>
            <w:pPr>
              <w:spacing w:after="0" w:line="195" w:lineRule="exact"/>
              <w:rPr>
                <w:sz w:val="20"/>
                <w:szCs w:val="20"/>
                <w:color w:val="auto"/>
              </w:rPr>
            </w:pPr>
            <w:r>
              <w:rPr>
                <w:rFonts w:ascii="Times New Roman" w:cs="Times New Roman" w:eastAsia="Times New Roman" w:hAnsi="Times New Roman"/>
                <w:sz w:val="18"/>
                <w:szCs w:val="18"/>
                <w:color w:val="0000EE"/>
              </w:rPr>
              <w:t>Amendment to the Employment Agreement by and between the Registrant and Neil F. McFarlane, dated as of May 7, 2024.</w:t>
            </w: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10.17</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Lease Agreement, by and between the Registrant and BRE/COH FL LLC, dated as of November 3, 2014 (incorporated herein by reference</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37"/>
          </w:tcPr>
          <w:p>
            <w:pPr>
              <w:spacing w:after="0" w:line="195"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to the Registrant's Annual Report on Form 10-K as filed with the SEC on March 10, 2017).</w:t>
              </w:r>
            </w:hyperlink>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10.18.1</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First Amendment to the L</w:t>
              </w:r>
              <w:r>
                <w:rPr>
                  <w:rFonts w:ascii="Times New Roman" w:cs="Times New Roman" w:eastAsia="Times New Roman" w:hAnsi="Times New Roman"/>
                  <w:sz w:val="18"/>
                  <w:szCs w:val="18"/>
                  <w:color w:val="0000EE"/>
                  <w:highlight w:val="white"/>
                </w:rPr>
                <w:t>ease Agreement, b</w:t>
              </w:r>
              <w:r>
                <w:rPr>
                  <w:rFonts w:ascii="Times New Roman" w:cs="Times New Roman" w:eastAsia="Times New Roman" w:hAnsi="Times New Roman"/>
                  <w:sz w:val="18"/>
                  <w:szCs w:val="18"/>
                  <w:color w:val="0000EE"/>
                </w:rPr>
                <w:t>y and between the Registrant and BRE/COH FL LLC, dated as of April 21, 2015 (incorporated</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980" w:type="dxa"/>
            <w:vAlign w:val="bottom"/>
            <w:tcBorders>
              <w:bottom w:val="single" w:sz="8" w:color="0000EE"/>
            </w:tcBorders>
            <w:gridSpan w:val="25"/>
          </w:tcPr>
          <w:p>
            <w:pPr>
              <w:spacing w:after="0" w:line="195"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herein by reference to the Registrant's Annual Report on Form 10-K as filed with the SEC on March 10, 2017).</w:t>
              </w:r>
            </w:hyperlink>
          </w:p>
        </w:tc>
        <w:tc>
          <w:tcPr>
            <w:tcW w:w="2100" w:type="dxa"/>
            <w:vAlign w:val="bottom"/>
            <w:gridSpan w:val="12"/>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10.18.2</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Second Amendment to the Lease Agreement, by and between the Registrant and BRE/COH FL LLC, dated as of December 22, 2015</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37"/>
          </w:tcPr>
          <w:p>
            <w:pPr>
              <w:spacing w:after="0" w:line="195"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(incorporated herein by reference to the Registrant's Annual Report on Form 10-K as filed with the SEC on March 10, 2017).</w:t>
              </w:r>
            </w:hyperlink>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10.18.3</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Third Amendment to the Lease Agreement, by and between the Registrant and BRE/COH FL LLC, dated as of July 15, 2016 (incorporated</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960" w:type="dxa"/>
            <w:vAlign w:val="bottom"/>
            <w:tcBorders>
              <w:bottom w:val="single" w:sz="8" w:color="0000EE"/>
            </w:tcBorders>
            <w:gridSpan w:val="24"/>
          </w:tcPr>
          <w:p>
            <w:pPr>
              <w:spacing w:after="0" w:line="195"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herein by reference to the Registrant's Annual Report on Form 10-K as filed with the SEC on March 10, 2017).</w:t>
              </w:r>
            </w:hyperlink>
          </w:p>
        </w:tc>
        <w:tc>
          <w:tcPr>
            <w:tcW w:w="2120" w:type="dxa"/>
            <w:vAlign w:val="bottom"/>
            <w:gridSpan w:val="13"/>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10.19</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Purchase Agreement, dated February 17, 2020, by and between the Registrant and Lincoln Park Capital Fund, LLC. (incorporated herein by</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37"/>
          </w:tcPr>
          <w:p>
            <w:pPr>
              <w:spacing w:after="0" w:line="195"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reference to the Registrant's Current Report on Form 8-K as filed with the SEC on February 18, 2020).</w:t>
              </w:r>
            </w:hyperlink>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color w:val="auto"/>
              </w:rPr>
              <w:t>10.20</w:t>
            </w:r>
            <w:r>
              <w:rPr>
                <w:rFonts w:ascii="Times New Roman" w:cs="Times New Roman" w:eastAsia="Times New Roman" w:hAnsi="Times New Roman"/>
                <w:sz w:val="22"/>
                <w:szCs w:val="22"/>
                <w:color w:val="auto"/>
                <w:vertAlign w:val="superscript"/>
              </w:rPr>
              <w:t>+</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Collaboration and License Agreement, dated as of September 3, 2019, by and between the Registrant and Boston Pharmaceuticals Holdings</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0" w:type="dxa"/>
            <w:vAlign w:val="bottom"/>
            <w:tcBorders>
              <w:bottom w:val="single" w:sz="8" w:color="0000EE"/>
            </w:tcBorders>
            <w:gridSpan w:val="31"/>
          </w:tcPr>
          <w:p>
            <w:pPr>
              <w:spacing w:after="0" w:line="195"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SA (incorporated herein by reference to the Registrant’s Current Report on Form 8-K as filed with the SEC on September 4, 2019).</w:t>
              </w:r>
            </w:hyperlink>
          </w:p>
        </w:tc>
        <w:tc>
          <w:tcPr>
            <w:tcW w:w="680" w:type="dxa"/>
            <w:vAlign w:val="bottom"/>
            <w:gridSpan w:val="6"/>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10.21+</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Amendment No. 1 to Collaboration and License Agreement, effective as of April 8, 2021, by and between the Company and Commave</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Therapeutics SA (formerly known as Boston Pharmaceuticals Holdings SA) (incorporated herein by reference to the Registrant’s Quarterly</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80" w:type="dxa"/>
            <w:vAlign w:val="bottom"/>
            <w:tcBorders>
              <w:bottom w:val="single" w:sz="8" w:color="0000EE"/>
            </w:tcBorders>
            <w:gridSpan w:val="9"/>
          </w:tcPr>
          <w:p>
            <w:pPr>
              <w:spacing w:after="0" w:line="195" w:lineRule="exact"/>
              <w:rPr>
                <w:rFonts w:ascii="Times New Roman" w:cs="Times New Roman" w:eastAsia="Times New Roman" w:hAnsi="Times New Roman"/>
                <w:sz w:val="18"/>
                <w:szCs w:val="18"/>
                <w:color w:val="0000EE"/>
                <w:w w:val="98"/>
              </w:rPr>
            </w:pPr>
            <w:hyperlink r:id="rId204">
              <w:r>
                <w:rPr>
                  <w:rFonts w:ascii="Times New Roman" w:cs="Times New Roman" w:eastAsia="Times New Roman" w:hAnsi="Times New Roman"/>
                  <w:sz w:val="18"/>
                  <w:szCs w:val="18"/>
                  <w:color w:val="0000EE"/>
                  <w:w w:val="98"/>
                </w:rPr>
                <w:t>Report on Form 10-Q as filed with the SEC on August 13, 2021).</w:t>
              </w:r>
            </w:hyperlink>
          </w:p>
        </w:tc>
        <w:tc>
          <w:tcPr>
            <w:tcW w:w="5400" w:type="dxa"/>
            <w:vAlign w:val="bottom"/>
            <w:gridSpan w:val="28"/>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10.22</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Form of Inducement Letter (incorporated herein by reference to the Registrant's Current Report on Form 8-K as filed with the SEC on</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37"/>
          </w:tcPr>
          <w:p>
            <w:pPr>
              <w:spacing w:after="0" w:line="195"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January 26, 2021).</w:t>
              </w:r>
            </w:hyperlink>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10.23</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Form of Inducement Letter (incorporated herein by reference to the Registrant's Current Report on Form 8-K as filed with the SEC on June</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bottom w:val="single" w:sz="8" w:color="0000EE"/>
            </w:tcBorders>
            <w:gridSpan w:val="3"/>
          </w:tcPr>
          <w:p>
            <w:pPr>
              <w:spacing w:after="0" w:line="195" w:lineRule="exact"/>
              <w:rPr>
                <w:rFonts w:ascii="Times New Roman" w:cs="Times New Roman" w:eastAsia="Times New Roman" w:hAnsi="Times New Roman"/>
                <w:sz w:val="18"/>
                <w:szCs w:val="18"/>
                <w:color w:val="0000EE"/>
                <w:w w:val="95"/>
              </w:rPr>
            </w:pPr>
            <w:hyperlink r:id="rId206">
              <w:r>
                <w:rPr>
                  <w:rFonts w:ascii="Times New Roman" w:cs="Times New Roman" w:eastAsia="Times New Roman" w:hAnsi="Times New Roman"/>
                  <w:sz w:val="18"/>
                  <w:szCs w:val="18"/>
                  <w:color w:val="0000EE"/>
                  <w:w w:val="95"/>
                </w:rPr>
                <w:t>23, 2021).</w:t>
              </w:r>
            </w:hyperlink>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10.24</w:t>
            </w:r>
          </w:p>
        </w:tc>
        <w:tc>
          <w:tcPr>
            <w:tcW w:w="160" w:type="dxa"/>
            <w:vAlign w:val="bottom"/>
          </w:tcPr>
          <w:p>
            <w:pPr>
              <w:spacing w:after="0"/>
              <w:rPr>
                <w:sz w:val="16"/>
                <w:szCs w:val="16"/>
                <w:color w:val="auto"/>
              </w:rPr>
            </w:pPr>
          </w:p>
        </w:tc>
        <w:tc>
          <w:tcPr>
            <w:tcW w:w="10080" w:type="dxa"/>
            <w:vAlign w:val="bottom"/>
            <w:gridSpan w:val="37"/>
          </w:tcPr>
          <w:p>
            <w:pPr>
              <w:spacing w:after="0" w:line="195"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Equity Distribution Agreement, dated July 2, 2021, by and among the Company, JMP Securities LLC and RBC Capital Markets, LLC</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40" w:type="dxa"/>
            <w:vAlign w:val="bottom"/>
            <w:tcBorders>
              <w:top w:val="single" w:sz="8" w:color="0000EE"/>
              <w:bottom w:val="single" w:sz="8" w:color="0000EE"/>
            </w:tcBorders>
            <w:gridSpan w:val="26"/>
          </w:tcPr>
          <w:p>
            <w:pPr>
              <w:spacing w:after="0" w:line="195"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(incorporated herein by reference to the Registrant's Current Report on Form 8-K as filed with the SEC on July 2, 2021).</w:t>
              </w:r>
            </w:hyperlink>
          </w:p>
        </w:tc>
        <w:tc>
          <w:tcPr>
            <w:tcW w:w="1420" w:type="dxa"/>
            <w:vAlign w:val="bottom"/>
            <w:tcBorders>
              <w:top w:val="single" w:sz="8" w:color="0000EE"/>
            </w:tcBorders>
            <w:gridSpan w:val="10"/>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10.25†</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Asset Purchase Agreement by and among the Registrant, Zevra Denmark A/S and Orphazyme A/S, in restructuring, dated May 15, 2022</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60" w:type="dxa"/>
            <w:vAlign w:val="bottom"/>
            <w:tcBorders>
              <w:bottom w:val="single" w:sz="8" w:color="0000EE"/>
            </w:tcBorders>
            <w:gridSpan w:val="28"/>
          </w:tcPr>
          <w:p>
            <w:pPr>
              <w:spacing w:after="0" w:line="195"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(incorporated herein by reference to the Registrant's Current Report on Form 8-K as filed with the SEC on May 16, 2022).</w:t>
              </w:r>
            </w:hyperlink>
          </w:p>
        </w:tc>
        <w:tc>
          <w:tcPr>
            <w:tcW w:w="1320" w:type="dxa"/>
            <w:vAlign w:val="bottom"/>
            <w:gridSpan w:val="9"/>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10.26</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Revolving Loan Agreement dated May 31, 2022, by and among the Registrant and Ameris Bank, as lender (incorporated herein by reference</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37"/>
          </w:tcPr>
          <w:p>
            <w:pPr>
              <w:spacing w:after="0" w:line="195"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to the Registrant's Current Report on Form 8-K as filed with the SEC on June 1, 2022).</w:t>
              </w:r>
            </w:hyperlink>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10.27</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Bridge Loan Agreement dated as of August 30, 2023, by and between the Registrant and Acer Therapeutics Inc. (incorporated herein by</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20" w:type="dxa"/>
            <w:vAlign w:val="bottom"/>
            <w:tcBorders>
              <w:bottom w:val="single" w:sz="8" w:color="0000EE"/>
            </w:tcBorders>
            <w:gridSpan w:val="19"/>
          </w:tcPr>
          <w:p>
            <w:pPr>
              <w:spacing w:after="0" w:line="195"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reference to the Registrant's Current Report on Form 8-K as filed with the SEC on August 31, 2023).</w:t>
              </w:r>
            </w:hyperlink>
          </w:p>
        </w:tc>
        <w:tc>
          <w:tcPr>
            <w:tcW w:w="2860" w:type="dxa"/>
            <w:vAlign w:val="bottom"/>
            <w:gridSpan w:val="18"/>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10.27.1</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First Amendment to the Bridge Loan Agreement by and between the Registrant and Acer Therapeutics Inc. (incorporated herein by</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80" w:type="dxa"/>
            <w:vAlign w:val="bottom"/>
            <w:tcBorders>
              <w:bottom w:val="single" w:sz="8" w:color="0000EE"/>
            </w:tcBorders>
            <w:gridSpan w:val="18"/>
          </w:tcPr>
          <w:p>
            <w:pPr>
              <w:spacing w:after="0" w:line="195" w:lineRule="exact"/>
              <w:rPr>
                <w:rFonts w:ascii="Times New Roman" w:cs="Times New Roman" w:eastAsia="Times New Roman" w:hAnsi="Times New Roman"/>
                <w:sz w:val="18"/>
                <w:szCs w:val="18"/>
                <w:color w:val="0000EE"/>
                <w:w w:val="98"/>
              </w:rPr>
            </w:pPr>
            <w:hyperlink r:id="rId186">
              <w:r>
                <w:rPr>
                  <w:rFonts w:ascii="Times New Roman" w:cs="Times New Roman" w:eastAsia="Times New Roman" w:hAnsi="Times New Roman"/>
                  <w:sz w:val="18"/>
                  <w:szCs w:val="18"/>
                  <w:color w:val="0000EE"/>
                  <w:w w:val="98"/>
                </w:rPr>
                <w:t>reference to the Registrant’s Annual Report on Form 10-K as filed with the SEC on April 1, 2024).</w:t>
              </w:r>
            </w:hyperlink>
          </w:p>
        </w:tc>
        <w:tc>
          <w:tcPr>
            <w:tcW w:w="3000" w:type="dxa"/>
            <w:vAlign w:val="bottom"/>
            <w:gridSpan w:val="19"/>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10.28***</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Loan Purchase Agreement dated as of August 30, 2023, by and among the Registrant and Nantahala Capital Management, LLC and the</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other sellers party thereto (incorporated herein by reference to the Registrant's Current Report on Form 8-K as filed with the SEC on August</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bottom w:val="single" w:sz="8" w:color="0000EE"/>
            </w:tcBorders>
            <w:gridSpan w:val="3"/>
          </w:tcPr>
          <w:p>
            <w:pPr>
              <w:spacing w:after="0" w:line="195" w:lineRule="exact"/>
              <w:rPr>
                <w:rFonts w:ascii="Times New Roman" w:cs="Times New Roman" w:eastAsia="Times New Roman" w:hAnsi="Times New Roman"/>
                <w:sz w:val="18"/>
                <w:szCs w:val="18"/>
                <w:color w:val="0000EE"/>
                <w:w w:val="95"/>
              </w:rPr>
            </w:pPr>
            <w:hyperlink r:id="rId211">
              <w:r>
                <w:rPr>
                  <w:rFonts w:ascii="Times New Roman" w:cs="Times New Roman" w:eastAsia="Times New Roman" w:hAnsi="Times New Roman"/>
                  <w:sz w:val="18"/>
                  <w:szCs w:val="18"/>
                  <w:color w:val="0000EE"/>
                  <w:w w:val="95"/>
                </w:rPr>
                <w:t>31, 2023).</w:t>
              </w:r>
            </w:hyperlink>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10.29***</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Note Purchase Agreement dated as of August 30, 2023, by and among the Registrant and Nantahala Capital Management, LLC and the</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other sellers party thereto (incorporated herein by reference to the Registrant's Current Report on Form 8-K as filed with the SEC on August</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bottom w:val="single" w:sz="8" w:color="0000EE"/>
            </w:tcBorders>
            <w:gridSpan w:val="3"/>
          </w:tcPr>
          <w:p>
            <w:pPr>
              <w:spacing w:after="0" w:line="195" w:lineRule="exact"/>
              <w:rPr>
                <w:rFonts w:ascii="Times New Roman" w:cs="Times New Roman" w:eastAsia="Times New Roman" w:hAnsi="Times New Roman"/>
                <w:sz w:val="18"/>
                <w:szCs w:val="18"/>
                <w:color w:val="0000EE"/>
                <w:w w:val="95"/>
              </w:rPr>
            </w:pPr>
            <w:hyperlink r:id="rId212">
              <w:r>
                <w:rPr>
                  <w:rFonts w:ascii="Times New Roman" w:cs="Times New Roman" w:eastAsia="Times New Roman" w:hAnsi="Times New Roman"/>
                  <w:sz w:val="18"/>
                  <w:szCs w:val="18"/>
                  <w:color w:val="0000EE"/>
                  <w:w w:val="95"/>
                </w:rPr>
                <w:t>31, 2023).</w:t>
              </w:r>
            </w:hyperlink>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10.30</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Registration Rights Agreement dated as of August 30, 2023, by and among the Registrant and each of the sellers party thereto (incorporated</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940" w:type="dxa"/>
            <w:vAlign w:val="bottom"/>
            <w:tcBorders>
              <w:bottom w:val="single" w:sz="8" w:color="0000EE"/>
            </w:tcBorders>
            <w:gridSpan w:val="23"/>
          </w:tcPr>
          <w:p>
            <w:pPr>
              <w:spacing w:after="0" w:line="195"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herein by reference to the Registrant's Current Report on Form 8-K as filed with the SEC on August 31, 2023).</w:t>
              </w:r>
            </w:hyperlink>
          </w:p>
        </w:tc>
        <w:tc>
          <w:tcPr>
            <w:tcW w:w="2140" w:type="dxa"/>
            <w:vAlign w:val="bottom"/>
            <w:gridSpan w:val="14"/>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10.31</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Ninth Amended and Restated Non-Employee Director Compensation Policy (incorporated herein by reference to the Registrant's Quarterly</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80" w:type="dxa"/>
            <w:vAlign w:val="bottom"/>
            <w:tcBorders>
              <w:bottom w:val="single" w:sz="8" w:color="0000EE"/>
            </w:tcBorders>
            <w:gridSpan w:val="9"/>
          </w:tcPr>
          <w:p>
            <w:pPr>
              <w:spacing w:after="0" w:line="195" w:lineRule="exact"/>
              <w:rPr>
                <w:rFonts w:ascii="Times New Roman" w:cs="Times New Roman" w:eastAsia="Times New Roman" w:hAnsi="Times New Roman"/>
                <w:sz w:val="18"/>
                <w:szCs w:val="18"/>
                <w:color w:val="0000EE"/>
                <w:w w:val="98"/>
              </w:rPr>
            </w:pPr>
            <w:hyperlink r:id="rId214">
              <w:r>
                <w:rPr>
                  <w:rFonts w:ascii="Times New Roman" w:cs="Times New Roman" w:eastAsia="Times New Roman" w:hAnsi="Times New Roman"/>
                  <w:sz w:val="18"/>
                  <w:szCs w:val="18"/>
                  <w:color w:val="0000EE"/>
                  <w:w w:val="98"/>
                </w:rPr>
                <w:t>Report on Form 10-Q as filed with the SEC on August 14, 2023).</w:t>
              </w:r>
            </w:hyperlink>
          </w:p>
        </w:tc>
        <w:tc>
          <w:tcPr>
            <w:tcW w:w="5400" w:type="dxa"/>
            <w:vAlign w:val="bottom"/>
            <w:gridSpan w:val="28"/>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10.32</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Contingent Value Rights Agreement, dated as of November 17, 2023, by and among Zevra Therapeutics, Inc., Computershare, Inc., and</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Computershare Trust Company, N.A. (incorporated by reference to the Registrant's Current Report on 8-K as filed with the SEC on</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37"/>
          </w:tcPr>
          <w:p>
            <w:pPr>
              <w:spacing w:after="0" w:line="195"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November 20, 2023).</w:t>
              </w:r>
            </w:hyperlink>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10.33 †+</w:t>
            </w:r>
          </w:p>
        </w:tc>
        <w:tc>
          <w:tcPr>
            <w:tcW w:w="160" w:type="dxa"/>
            <w:vAlign w:val="bottom"/>
          </w:tcPr>
          <w:p>
            <w:pPr>
              <w:spacing w:after="0"/>
              <w:rPr>
                <w:sz w:val="16"/>
                <w:szCs w:val="16"/>
                <w:color w:val="auto"/>
              </w:rPr>
            </w:pPr>
          </w:p>
        </w:tc>
        <w:tc>
          <w:tcPr>
            <w:tcW w:w="10080" w:type="dxa"/>
            <w:vAlign w:val="bottom"/>
            <w:gridSpan w:val="37"/>
          </w:tcPr>
          <w:p>
            <w:pPr>
              <w:spacing w:after="0" w:line="195"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Credit Agreement dated as of April 5, 2024, by and among Zevra Therapeutics, Inc. and HCR Stafford Fund II, L.P., HCR Potomac Fund II,</w:t>
              </w:r>
            </w:hyperlink>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10"/>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L.P., and Perceptive Credit Holdings IV, LP (incorporated by reference to the Registrant’s Quarterly Report on Form 10-Q as filed with the</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37"/>
          </w:tcPr>
          <w:p>
            <w:pPr>
              <w:spacing w:after="0" w:line="195"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SEC on May 9, 2024).</w:t>
              </w:r>
            </w:hyperlink>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6"/>
              </w:rPr>
              <w:t>19*</w:t>
            </w:r>
          </w:p>
        </w:tc>
        <w:tc>
          <w:tcPr>
            <w:tcW w:w="160" w:type="dxa"/>
            <w:vAlign w:val="bottom"/>
          </w:tcPr>
          <w:p>
            <w:pPr>
              <w:spacing w:after="0"/>
              <w:rPr>
                <w:sz w:val="16"/>
                <w:szCs w:val="16"/>
                <w:color w:val="auto"/>
              </w:rPr>
            </w:pPr>
          </w:p>
        </w:tc>
        <w:tc>
          <w:tcPr>
            <w:tcW w:w="6620" w:type="dxa"/>
            <w:vAlign w:val="bottom"/>
            <w:tcBorders>
              <w:bottom w:val="single" w:sz="8" w:color="0000EE"/>
            </w:tcBorders>
            <w:gridSpan w:val="16"/>
          </w:tcPr>
          <w:p>
            <w:pPr>
              <w:spacing w:after="0" w:line="195" w:lineRule="exact"/>
              <w:rPr>
                <w:sz w:val="20"/>
                <w:szCs w:val="20"/>
                <w:color w:val="auto"/>
              </w:rPr>
            </w:pPr>
            <w:r>
              <w:rPr>
                <w:rFonts w:ascii="Times New Roman" w:cs="Times New Roman" w:eastAsia="Times New Roman" w:hAnsi="Times New Roman"/>
                <w:sz w:val="18"/>
                <w:szCs w:val="18"/>
                <w:color w:val="0000EE"/>
                <w:w w:val="98"/>
              </w:rPr>
              <w:t>Zevra Therapeutics, Inc. Amended and Restated Insider Trading and Window Period Policy</w:t>
            </w:r>
            <w:r>
              <w:rPr>
                <w:rFonts w:ascii="Times New Roman" w:cs="Times New Roman" w:eastAsia="Times New Roman" w:hAnsi="Times New Roman"/>
                <w:sz w:val="18"/>
                <w:szCs w:val="18"/>
                <w:b w:val="1"/>
                <w:bCs w:val="1"/>
                <w:color w:val="0000EE"/>
                <w:w w:val="98"/>
              </w:rPr>
              <w:t>.</w:t>
            </w:r>
          </w:p>
        </w:tc>
        <w:tc>
          <w:tcPr>
            <w:tcW w:w="3460" w:type="dxa"/>
            <w:vAlign w:val="bottom"/>
            <w:gridSpan w:val="21"/>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16"/>
                <w:szCs w:val="16"/>
                <w:color w:val="auto"/>
              </w:rPr>
            </w:pPr>
          </w:p>
        </w:tc>
        <w:tc>
          <w:tcPr>
            <w:tcW w:w="10080" w:type="dxa"/>
            <w:vAlign w:val="bottom"/>
            <w:gridSpan w:val="37"/>
          </w:tcPr>
          <w:p>
            <w:pPr>
              <w:spacing w:after="0" w:line="195"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Subsidiaries of the Company (incorporated by reference to the Registrant’s Annual Report on Form 10-K as filed with the SEC on April 1,</w:t>
              </w:r>
            </w:hyperlink>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Borders>
              <w:top w:val="single" w:sz="8" w:color="0000EE"/>
              <w:bottom w:val="single" w:sz="8" w:color="0000EE"/>
            </w:tcBorders>
          </w:tcPr>
          <w:p>
            <w:pPr>
              <w:spacing w:after="0" w:line="195" w:lineRule="exact"/>
              <w:rPr>
                <w:rFonts w:ascii="Times New Roman" w:cs="Times New Roman" w:eastAsia="Times New Roman" w:hAnsi="Times New Roman"/>
                <w:sz w:val="18"/>
                <w:szCs w:val="18"/>
                <w:color w:val="0000EE"/>
                <w:w w:val="94"/>
              </w:rPr>
            </w:pPr>
            <w:hyperlink r:id="rId186">
              <w:r>
                <w:rPr>
                  <w:rFonts w:ascii="Times New Roman" w:cs="Times New Roman" w:eastAsia="Times New Roman" w:hAnsi="Times New Roman"/>
                  <w:sz w:val="18"/>
                  <w:szCs w:val="18"/>
                  <w:color w:val="0000EE"/>
                  <w:w w:val="94"/>
                </w:rPr>
                <w:t>2024).</w:t>
              </w:r>
            </w:hyperlink>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60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116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23.1*</w:t>
            </w:r>
          </w:p>
        </w:tc>
        <w:tc>
          <w:tcPr>
            <w:tcW w:w="160" w:type="dxa"/>
            <w:vAlign w:val="bottom"/>
          </w:tcPr>
          <w:p>
            <w:pPr>
              <w:spacing w:after="0"/>
              <w:rPr>
                <w:sz w:val="16"/>
                <w:szCs w:val="16"/>
                <w:color w:val="auto"/>
              </w:rPr>
            </w:pPr>
          </w:p>
        </w:tc>
        <w:tc>
          <w:tcPr>
            <w:tcW w:w="10080" w:type="dxa"/>
            <w:vAlign w:val="bottom"/>
            <w:gridSpan w:val="37"/>
          </w:tcPr>
          <w:p>
            <w:pPr>
              <w:spacing w:after="0" w:line="195" w:lineRule="exact"/>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w:t>
            </w: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24.1*</w:t>
            </w:r>
          </w:p>
        </w:tc>
        <w:tc>
          <w:tcPr>
            <w:tcW w:w="160" w:type="dxa"/>
            <w:vAlign w:val="bottom"/>
          </w:tcPr>
          <w:p>
            <w:pPr>
              <w:spacing w:after="0"/>
              <w:rPr>
                <w:sz w:val="16"/>
                <w:szCs w:val="16"/>
                <w:color w:val="auto"/>
              </w:rPr>
            </w:pPr>
          </w:p>
        </w:tc>
        <w:tc>
          <w:tcPr>
            <w:tcW w:w="3460" w:type="dxa"/>
            <w:vAlign w:val="bottom"/>
            <w:tcBorders>
              <w:top w:val="single" w:sz="8" w:color="0000EE"/>
              <w:bottom w:val="single" w:sz="8" w:color="0000EE"/>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EE"/>
                <w:w w:val="98"/>
              </w:rPr>
              <w:t>Power of Attorney (included on signature page).</w:t>
            </w:r>
          </w:p>
        </w:tc>
        <w:tc>
          <w:tcPr>
            <w:tcW w:w="2380" w:type="dxa"/>
            <w:vAlign w:val="bottom"/>
            <w:tcBorders>
              <w:top w:val="single" w:sz="8" w:color="0000EE"/>
            </w:tcBorders>
            <w:gridSpan w:val="2"/>
          </w:tcPr>
          <w:p>
            <w:pPr>
              <w:spacing w:after="0"/>
              <w:rPr>
                <w:sz w:val="16"/>
                <w:szCs w:val="16"/>
                <w:color w:val="auto"/>
              </w:rPr>
            </w:pPr>
          </w:p>
        </w:tc>
        <w:tc>
          <w:tcPr>
            <w:tcW w:w="4240" w:type="dxa"/>
            <w:vAlign w:val="bottom"/>
            <w:gridSpan w:val="27"/>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31.1*</w:t>
            </w:r>
          </w:p>
        </w:tc>
        <w:tc>
          <w:tcPr>
            <w:tcW w:w="160" w:type="dxa"/>
            <w:vAlign w:val="bottom"/>
          </w:tcPr>
          <w:p>
            <w:pPr>
              <w:spacing w:after="0"/>
              <w:rPr>
                <w:sz w:val="16"/>
                <w:szCs w:val="16"/>
                <w:color w:val="auto"/>
              </w:rPr>
            </w:pPr>
          </w:p>
        </w:tc>
        <w:tc>
          <w:tcPr>
            <w:tcW w:w="9760" w:type="dxa"/>
            <w:vAlign w:val="bottom"/>
            <w:tcBorders>
              <w:bottom w:val="single" w:sz="8" w:color="0000EE"/>
            </w:tcBorders>
            <w:gridSpan w:val="34"/>
          </w:tcPr>
          <w:p>
            <w:pPr>
              <w:spacing w:after="0" w:line="195" w:lineRule="exact"/>
              <w:rPr>
                <w:sz w:val="20"/>
                <w:szCs w:val="20"/>
                <w:color w:val="auto"/>
              </w:rPr>
            </w:pPr>
            <w:r>
              <w:rPr>
                <w:rFonts w:ascii="Times New Roman" w:cs="Times New Roman" w:eastAsia="Times New Roman" w:hAnsi="Times New Roman"/>
                <w:sz w:val="18"/>
                <w:szCs w:val="18"/>
                <w:color w:val="0000EE"/>
                <w:w w:val="99"/>
              </w:rPr>
              <w:t>Certification of the Principal Executive Officer pursuant to Rule 13a-14(a) or Rule 15d-14(a) of the Securities Exchange Act of 1934, as</w:t>
            </w:r>
          </w:p>
        </w:tc>
        <w:tc>
          <w:tcPr>
            <w:tcW w:w="320" w:type="dxa"/>
            <w:vAlign w:val="bottom"/>
            <w:gridSpan w:val="3"/>
          </w:tcPr>
          <w:p>
            <w:pPr>
              <w:spacing w:after="0"/>
              <w:rPr>
                <w:sz w:val="16"/>
                <w:szCs w:val="16"/>
                <w:color w:val="auto"/>
              </w:rPr>
            </w:pPr>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37"/>
          </w:tcPr>
          <w:p>
            <w:pPr>
              <w:spacing w:after="0" w:line="195" w:lineRule="exact"/>
              <w:rPr>
                <w:sz w:val="20"/>
                <w:szCs w:val="20"/>
                <w:color w:val="auto"/>
              </w:rPr>
            </w:pPr>
            <w:r>
              <w:rPr>
                <w:rFonts w:ascii="Times New Roman" w:cs="Times New Roman" w:eastAsia="Times New Roman" w:hAnsi="Times New Roman"/>
                <w:sz w:val="18"/>
                <w:szCs w:val="18"/>
                <w:color w:val="0000EE"/>
              </w:rPr>
              <w:t>amended.</w:t>
            </w: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80" w:type="dxa"/>
            <w:vAlign w:val="bottom"/>
            <w:gridSpan w:val="1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31.2*</w:t>
            </w:r>
          </w:p>
        </w:tc>
        <w:tc>
          <w:tcPr>
            <w:tcW w:w="160" w:type="dxa"/>
            <w:vAlign w:val="bottom"/>
          </w:tcPr>
          <w:p>
            <w:pPr>
              <w:spacing w:after="0"/>
              <w:rPr>
                <w:sz w:val="16"/>
                <w:szCs w:val="16"/>
                <w:color w:val="auto"/>
              </w:rPr>
            </w:pPr>
          </w:p>
        </w:tc>
        <w:tc>
          <w:tcPr>
            <w:tcW w:w="10080" w:type="dxa"/>
            <w:vAlign w:val="bottom"/>
            <w:gridSpan w:val="37"/>
          </w:tcPr>
          <w:p>
            <w:pPr>
              <w:spacing w:after="0" w:line="195"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Rule 13a-14(a) or Rule 15d-14(a) of the Securities Exchange Act of 1934, as</w:t>
            </w:r>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700" w:type="dxa"/>
            <w:vAlign w:val="bottom"/>
            <w:tcBorders>
              <w:top w:val="single" w:sz="8" w:color="0000EE"/>
            </w:tcBorders>
            <w:gridSpan w:val="32"/>
          </w:tcPr>
          <w:p>
            <w:pPr>
              <w:spacing w:after="0" w:line="195" w:lineRule="exact"/>
              <w:rPr>
                <w:sz w:val="20"/>
                <w:szCs w:val="20"/>
                <w:color w:val="auto"/>
              </w:rPr>
            </w:pPr>
            <w:r>
              <w:rPr>
                <w:rFonts w:ascii="Times New Roman" w:cs="Times New Roman" w:eastAsia="Times New Roman" w:hAnsi="Times New Roman"/>
                <w:sz w:val="18"/>
                <w:szCs w:val="18"/>
                <w:color w:val="0000EE"/>
              </w:rPr>
              <w:t>amended.</w:t>
            </w:r>
          </w:p>
        </w:tc>
        <w:tc>
          <w:tcPr>
            <w:tcW w:w="380" w:type="dxa"/>
            <w:vAlign w:val="bottom"/>
            <w:gridSpan w:val="5"/>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80" w:type="dxa"/>
            <w:vAlign w:val="bottom"/>
            <w:gridSpan w:val="1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sz w:val="20"/>
                <w:szCs w:val="20"/>
                <w:color w:val="auto"/>
              </w:rPr>
            </w:pPr>
            <w:r>
              <w:rPr>
                <w:rFonts w:ascii="Times New Roman" w:cs="Times New Roman" w:eastAsia="Times New Roman" w:hAnsi="Times New Roman"/>
                <w:sz w:val="18"/>
                <w:szCs w:val="18"/>
                <w:color w:val="0000EE"/>
              </w:rPr>
              <w:t>Certification of the Principal Executive Officer pursuant to Rule 13a-14(b) of the Securities Exchange Act of 1934, as amended, and 18</w:t>
            </w:r>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40" w:type="dxa"/>
            <w:vAlign w:val="bottom"/>
            <w:tcBorders>
              <w:bottom w:val="single" w:sz="8" w:color="0000EE"/>
            </w:tcBorders>
            <w:gridSpan w:val="17"/>
          </w:tcPr>
          <w:p>
            <w:pPr>
              <w:spacing w:after="0" w:line="195"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c>
          <w:tcPr>
            <w:tcW w:w="3440" w:type="dxa"/>
            <w:vAlign w:val="bottom"/>
            <w:gridSpan w:val="20"/>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16"/>
                <w:szCs w:val="16"/>
                <w:color w:val="auto"/>
              </w:rPr>
            </w:pPr>
          </w:p>
        </w:tc>
        <w:tc>
          <w:tcPr>
            <w:tcW w:w="10080" w:type="dxa"/>
            <w:vAlign w:val="bottom"/>
            <w:tcBorders>
              <w:bottom w:val="single" w:sz="8" w:color="0000EE"/>
            </w:tcBorders>
            <w:gridSpan w:val="37"/>
          </w:tcPr>
          <w:p>
            <w:pPr>
              <w:spacing w:after="0" w:line="195"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Rule 13a-14(b) of the Securities Exchange Act of 1934, as amended, and 18</w:t>
            </w:r>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40" w:type="dxa"/>
            <w:vAlign w:val="bottom"/>
            <w:tcBorders>
              <w:bottom w:val="single" w:sz="8" w:color="0000EE"/>
            </w:tcBorders>
            <w:gridSpan w:val="17"/>
          </w:tcPr>
          <w:p>
            <w:pPr>
              <w:spacing w:after="0" w:line="195"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c>
          <w:tcPr>
            <w:tcW w:w="3440" w:type="dxa"/>
            <w:vAlign w:val="bottom"/>
            <w:gridSpan w:val="20"/>
          </w:tcPr>
          <w:p>
            <w:pPr>
              <w:spacing w:after="0"/>
              <w:rPr>
                <w:sz w:val="16"/>
                <w:szCs w:val="16"/>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97.1#</w:t>
            </w:r>
          </w:p>
        </w:tc>
        <w:tc>
          <w:tcPr>
            <w:tcW w:w="160" w:type="dxa"/>
            <w:vAlign w:val="bottom"/>
          </w:tcPr>
          <w:p>
            <w:pPr>
              <w:spacing w:after="0"/>
              <w:rPr>
                <w:sz w:val="16"/>
                <w:szCs w:val="16"/>
                <w:color w:val="auto"/>
              </w:rPr>
            </w:pPr>
          </w:p>
        </w:tc>
        <w:tc>
          <w:tcPr>
            <w:tcW w:w="10060" w:type="dxa"/>
            <w:vAlign w:val="bottom"/>
            <w:tcBorders>
              <w:bottom w:val="single" w:sz="8" w:color="0000EE"/>
            </w:tcBorders>
            <w:gridSpan w:val="36"/>
          </w:tcPr>
          <w:p>
            <w:pPr>
              <w:spacing w:after="0" w:line="195"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Zevra Therapeutics, Inc. Policy for Recovery of Erroneously Awarded Compensation, Effective October 2, 2023 (incorporated by reference</w:t>
              </w:r>
            </w:hyperlink>
          </w:p>
        </w:tc>
        <w:tc>
          <w:tcPr>
            <w:tcW w:w="20" w:type="dxa"/>
            <w:vAlign w:val="bottom"/>
          </w:tcPr>
          <w:p>
            <w:pPr>
              <w:spacing w:after="0"/>
              <w:rPr>
                <w:sz w:val="16"/>
                <w:szCs w:val="16"/>
                <w:color w:val="auto"/>
              </w:rPr>
            </w:pPr>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37"/>
          </w:tcPr>
          <w:p>
            <w:pPr>
              <w:spacing w:after="0" w:line="195"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to the Registrant’s Annual Report on Form 10-K as filed with the SEC on April 1, 2024).</w:t>
              </w:r>
            </w:hyperlink>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360" w:type="dxa"/>
            <w:vAlign w:val="bottom"/>
            <w:gridSpan w:val="14"/>
            <w:shd w:val="clear" w:color="auto" w:fill="0000EE"/>
          </w:tcPr>
          <w:p>
            <w:pPr>
              <w:spacing w:after="0" w:line="20" w:lineRule="exact"/>
              <w:rPr>
                <w:sz w:val="1"/>
                <w:szCs w:val="1"/>
                <w:color w:val="auto"/>
              </w:rPr>
            </w:pPr>
          </w:p>
        </w:tc>
        <w:tc>
          <w:tcPr>
            <w:tcW w:w="2380" w:type="dxa"/>
            <w:vAlign w:val="bottom"/>
            <w:gridSpan w:val="13"/>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16"/>
                <w:szCs w:val="16"/>
                <w:color w:val="auto"/>
              </w:rPr>
            </w:pPr>
          </w:p>
        </w:tc>
        <w:tc>
          <w:tcPr>
            <w:tcW w:w="9740" w:type="dxa"/>
            <w:vAlign w:val="bottom"/>
            <w:tcBorders>
              <w:bottom w:val="single" w:sz="8" w:color="0000EE"/>
            </w:tcBorders>
            <w:gridSpan w:val="33"/>
          </w:tcPr>
          <w:p>
            <w:pPr>
              <w:spacing w:after="0" w:line="195"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Securities Purchase Agreement, dated as of November 20, 2023, by and between the Registrant and Armistice Capital Master Fund Ltd.</w:t>
              </w:r>
            </w:hyperlink>
          </w:p>
        </w:tc>
        <w:tc>
          <w:tcPr>
            <w:tcW w:w="340" w:type="dxa"/>
            <w:vAlign w:val="bottom"/>
            <w:gridSpan w:val="4"/>
          </w:tcPr>
          <w:p>
            <w:pPr>
              <w:spacing w:after="0"/>
              <w:rPr>
                <w:sz w:val="16"/>
                <w:szCs w:val="16"/>
                <w:color w:val="auto"/>
              </w:rPr>
            </w:pPr>
          </w:p>
        </w:tc>
      </w:tr>
      <w:tr>
        <w:trPr>
          <w:trHeight w:val="195"/>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80" w:type="dxa"/>
            <w:vAlign w:val="bottom"/>
            <w:gridSpan w:val="37"/>
          </w:tcPr>
          <w:p>
            <w:pPr>
              <w:spacing w:after="0" w:line="195"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(incorporated herein by reference to the Registrant's Current Report on 8-K as filed with the SEC on November 20, 2023).</w:t>
              </w:r>
            </w:hyperlink>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80" w:type="dxa"/>
            <w:vAlign w:val="bottom"/>
          </w:tcPr>
          <w:p>
            <w:pPr>
              <w:ind w:left="3460"/>
              <w:spacing w:after="0"/>
              <w:rPr>
                <w:sz w:val="20"/>
                <w:szCs w:val="20"/>
                <w:color w:val="auto"/>
              </w:rPr>
            </w:pPr>
            <w:r>
              <w:rPr>
                <w:rFonts w:ascii="Times New Roman" w:cs="Times New Roman" w:eastAsia="Times New Roman" w:hAnsi="Times New Roman"/>
                <w:sz w:val="18"/>
                <w:szCs w:val="18"/>
                <w:b w:val="1"/>
                <w:bCs w:val="1"/>
                <w:color w:val="auto"/>
              </w:rPr>
              <w:t>EXHIBITS, CONTINUED</w:t>
            </w:r>
          </w:p>
        </w:tc>
      </w:tr>
      <w:tr>
        <w:trPr>
          <w:trHeight w:val="430"/>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60" w:type="dxa"/>
            <w:vAlign w:val="bottom"/>
          </w:tcPr>
          <w:p>
            <w:pPr>
              <w:spacing w:after="0"/>
              <w:rPr>
                <w:sz w:val="24"/>
                <w:szCs w:val="24"/>
                <w:color w:val="auto"/>
              </w:rPr>
            </w:pPr>
          </w:p>
        </w:tc>
        <w:tc>
          <w:tcPr>
            <w:tcW w:w="10080" w:type="dxa"/>
            <w:vAlign w:val="bottom"/>
            <w:tcBorders>
              <w:bottom w:val="single" w:sz="8" w:color="auto"/>
            </w:tcBorders>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0"/>
        </w:trPr>
        <w:tc>
          <w:tcPr>
            <w:tcW w:w="100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16"/>
                <w:szCs w:val="16"/>
                <w:color w:val="auto"/>
              </w:rPr>
            </w:pPr>
          </w:p>
        </w:tc>
        <w:tc>
          <w:tcPr>
            <w:tcW w:w="100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Inline XBRL Instance Document.</w:t>
            </w:r>
          </w:p>
        </w:tc>
      </w:tr>
      <w:tr>
        <w:trPr>
          <w:trHeight w:val="215"/>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0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5"/>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10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5"/>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10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5"/>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10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5"/>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10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tc>
      </w:tr>
    </w:tbl>
    <w:p>
      <w:pPr>
        <w:spacing w:after="0" w:line="210" w:lineRule="exact"/>
        <w:rPr>
          <w:sz w:val="20"/>
          <w:szCs w:val="20"/>
          <w:color w:val="auto"/>
        </w:rPr>
      </w:pPr>
    </w:p>
    <w:p>
      <w:pPr>
        <w:ind w:left="1160" w:hanging="700"/>
        <w:spacing w:after="0"/>
        <w:tabs>
          <w:tab w:leader="none" w:pos="11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29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7" w:lineRule="exact"/>
        <w:rPr>
          <w:sz w:val="20"/>
          <w:szCs w:val="20"/>
          <w:color w:val="auto"/>
        </w:rPr>
      </w:pPr>
    </w:p>
    <w:p>
      <w:pPr>
        <w:ind w:left="1160" w:hanging="745"/>
        <w:spacing w:after="0"/>
        <w:tabs>
          <w:tab w:leader="none" w:pos="11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8" w:lineRule="exact"/>
        <w:rPr>
          <w:sz w:val="20"/>
          <w:szCs w:val="20"/>
          <w:color w:val="auto"/>
        </w:rPr>
      </w:pPr>
    </w:p>
    <w:p>
      <w:pPr>
        <w:ind w:left="1160" w:hanging="790"/>
        <w:spacing w:after="0"/>
        <w:tabs>
          <w:tab w:leader="none" w:pos="11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601(b)(2) of Regulation S-K, schedules and similar attachments have been omitted. The registrant hereby agrees to furnish</w:t>
      </w:r>
    </w:p>
    <w:p>
      <w:pPr>
        <w:spacing w:after="0" w:line="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 copy of any omitted schedule or similar attachment to the SEC upon request.</w:t>
      </w:r>
    </w:p>
    <w:p>
      <w:pPr>
        <w:spacing w:after="0" w:line="8" w:lineRule="exact"/>
        <w:rPr>
          <w:sz w:val="20"/>
          <w:szCs w:val="20"/>
          <w:color w:val="auto"/>
        </w:rPr>
      </w:pPr>
    </w:p>
    <w:p>
      <w:pPr>
        <w:ind w:left="1160" w:hanging="700"/>
        <w:spacing w:after="0"/>
        <w:tabs>
          <w:tab w:leader="none" w:pos="11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8" w:lineRule="exact"/>
        <w:rPr>
          <w:sz w:val="20"/>
          <w:szCs w:val="20"/>
          <w:color w:val="auto"/>
        </w:rPr>
      </w:pPr>
    </w:p>
    <w:p>
      <w:pPr>
        <w:ind w:left="1160" w:hanging="706"/>
        <w:spacing w:after="0" w:line="249" w:lineRule="auto"/>
        <w:tabs>
          <w:tab w:leader="none" w:pos="11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 identified by the mark, “[*]”, have been omitted because such portions contained information that is both (i) not material and (ii) the type that the Registrant treats as private or confidential.</w:t>
      </w:r>
    </w:p>
    <w:p>
      <w:pPr>
        <w:jc w:val="both"/>
        <w:ind w:left="1160" w:hanging="678"/>
        <w:spacing w:after="0" w:line="253" w:lineRule="auto"/>
        <w:tabs>
          <w:tab w:leader="none" w:pos="11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A copy of any omitted schedule will be furnished to the Securities and Exchange Commission upon request; provided, however, that the parties may request confidential treatment pursuant to Rule 24b-2 of the Exchange Act for any document so furnished.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2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w w:val="97"/>
              </w:rPr>
              <w:t>FORM 10-K SUMMARY</w:t>
            </w:r>
          </w:p>
        </w:tc>
        <w:tc>
          <w:tcPr>
            <w:tcW w:w="0" w:type="dxa"/>
            <w:vAlign w:val="bottom"/>
          </w:tcPr>
          <w:p>
            <w:pPr>
              <w:spacing w:after="0"/>
              <w:rPr>
                <w:sz w:val="1"/>
                <w:szCs w:val="1"/>
                <w:color w:val="auto"/>
              </w:rPr>
            </w:pPr>
          </w:p>
        </w:tc>
      </w:tr>
      <w:tr>
        <w:trPr>
          <w:trHeight w:val="13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58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3360"/>
              <w:spacing w:after="0"/>
              <w:rPr>
                <w:sz w:val="20"/>
                <w:szCs w:val="20"/>
                <w:color w:val="auto"/>
              </w:rPr>
            </w:pPr>
            <w:r>
              <w:rPr>
                <w:rFonts w:ascii="Times New Roman" w:cs="Times New Roman" w:eastAsia="Times New Roman" w:hAnsi="Times New Roman"/>
                <w:sz w:val="18"/>
                <w:szCs w:val="18"/>
                <w:color w:val="auto"/>
              </w:rPr>
              <w:t>Zevra Therapeutics, Inc.</w:t>
            </w:r>
          </w:p>
        </w:tc>
      </w:tr>
      <w:tr>
        <w:trPr>
          <w:trHeight w:val="4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12, 2025</w:t>
            </w:r>
          </w:p>
        </w:tc>
        <w:tc>
          <w:tcPr>
            <w:tcW w:w="7660" w:type="dxa"/>
            <w:vAlign w:val="bottom"/>
            <w:gridSpan w:val="2"/>
          </w:tcPr>
          <w:p>
            <w:pPr>
              <w:ind w:left="3360"/>
              <w:spacing w:after="0"/>
              <w:rPr>
                <w:sz w:val="20"/>
                <w:szCs w:val="20"/>
                <w:color w:val="auto"/>
              </w:rPr>
            </w:pPr>
            <w:r>
              <w:rPr>
                <w:rFonts w:ascii="Times New Roman" w:cs="Times New Roman" w:eastAsia="Times New Roman" w:hAnsi="Times New Roman"/>
                <w:sz w:val="18"/>
                <w:szCs w:val="18"/>
                <w:color w:val="auto"/>
              </w:rPr>
              <w:t>By: /s/ Neil F. McFarlane</w:t>
            </w:r>
          </w:p>
        </w:tc>
      </w:tr>
      <w:tr>
        <w:trPr>
          <w:trHeight w:val="190"/>
        </w:trPr>
        <w:tc>
          <w:tcPr>
            <w:tcW w:w="35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92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rPr>
              <w:t>Neil F. McFarlane</w:t>
            </w:r>
          </w:p>
        </w:tc>
      </w:tr>
      <w:tr>
        <w:trPr>
          <w:trHeight w:val="215"/>
        </w:trPr>
        <w:tc>
          <w:tcPr>
            <w:tcW w:w="3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12, 2025</w:t>
            </w:r>
          </w:p>
        </w:tc>
        <w:tc>
          <w:tcPr>
            <w:tcW w:w="7660" w:type="dxa"/>
            <w:vAlign w:val="bottom"/>
            <w:gridSpan w:val="2"/>
          </w:tcPr>
          <w:p>
            <w:pPr>
              <w:ind w:left="3360"/>
              <w:spacing w:after="0"/>
              <w:rPr>
                <w:sz w:val="20"/>
                <w:szCs w:val="20"/>
                <w:color w:val="auto"/>
              </w:rPr>
            </w:pPr>
            <w:r>
              <w:rPr>
                <w:rFonts w:ascii="Times New Roman" w:cs="Times New Roman" w:eastAsia="Times New Roman" w:hAnsi="Times New Roman"/>
                <w:sz w:val="18"/>
                <w:szCs w:val="18"/>
                <w:color w:val="auto"/>
              </w:rPr>
              <w:t>By: /s/ R. LaDuane Clifton</w:t>
            </w:r>
          </w:p>
        </w:tc>
      </w:tr>
      <w:tr>
        <w:trPr>
          <w:trHeight w:val="190"/>
        </w:trPr>
        <w:tc>
          <w:tcPr>
            <w:tcW w:w="35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92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rPr>
              <w:t>R. LaDuane Clifton, MBA, CPA</w:t>
            </w:r>
          </w:p>
        </w:tc>
      </w:tr>
      <w:tr>
        <w:trPr>
          <w:trHeight w:val="215"/>
        </w:trPr>
        <w:tc>
          <w:tcPr>
            <w:tcW w:w="3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0"/>
        </w:trPr>
        <w:tc>
          <w:tcPr>
            <w:tcW w:w="3580" w:type="dxa"/>
            <w:vAlign w:val="bottom"/>
          </w:tcPr>
          <w:p>
            <w:pPr>
              <w:spacing w:after="0"/>
              <w:rPr>
                <w:sz w:val="24"/>
                <w:szCs w:val="24"/>
                <w:color w:val="auto"/>
              </w:rPr>
            </w:pPr>
          </w:p>
        </w:tc>
        <w:tc>
          <w:tcPr>
            <w:tcW w:w="374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135</w:t>
            </w:r>
          </w:p>
        </w:tc>
        <w:tc>
          <w:tcPr>
            <w:tcW w:w="3920" w:type="dxa"/>
            <w:vAlign w:val="bottom"/>
          </w:tcPr>
          <w:p>
            <w:pPr>
              <w:spacing w:after="0"/>
              <w:rPr>
                <w:sz w:val="24"/>
                <w:szCs w:val="24"/>
                <w:color w:val="auto"/>
              </w:rPr>
            </w:pPr>
          </w:p>
        </w:tc>
      </w:tr>
      <w:tr>
        <w:trPr>
          <w:trHeight w:val="114"/>
        </w:trPr>
        <w:tc>
          <w:tcPr>
            <w:tcW w:w="358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 and appoint Neil F. McFarlane and R. LaDuane Clifton, and each of them (with full power to each of them to act alone), as his true and lawful attorneys-in-fact and agents, with full power of substitution and resubstitution in each of them for him and in his name, place and stead, and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0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23"/>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Neil F. McFarlane</w:t>
            </w:r>
          </w:p>
        </w:tc>
        <w:tc>
          <w:tcPr>
            <w:tcW w:w="10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Neil F. McFarlane</w:t>
            </w:r>
          </w:p>
        </w:tc>
        <w:tc>
          <w:tcPr>
            <w:tcW w:w="100" w:type="dxa"/>
            <w:vAlign w:val="bottom"/>
          </w:tcPr>
          <w:p>
            <w:pPr>
              <w:spacing w:after="0"/>
              <w:rPr>
                <w:sz w:val="16"/>
                <w:szCs w:val="16"/>
                <w:color w:val="auto"/>
              </w:rPr>
            </w:pPr>
          </w:p>
        </w:tc>
        <w:tc>
          <w:tcPr>
            <w:tcW w:w="4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c>
          <w:tcPr>
            <w:tcW w:w="0" w:type="dxa"/>
            <w:vAlign w:val="bottom"/>
          </w:tcPr>
          <w:p>
            <w:pPr>
              <w:spacing w:after="0"/>
              <w:rPr>
                <w:sz w:val="1"/>
                <w:szCs w:val="1"/>
                <w:color w:val="auto"/>
              </w:rPr>
            </w:pPr>
          </w:p>
        </w:tc>
      </w:tr>
      <w:tr>
        <w:trPr>
          <w:trHeight w:val="430"/>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LaDuane Clifton</w:t>
            </w:r>
          </w:p>
        </w:tc>
        <w:tc>
          <w:tcPr>
            <w:tcW w:w="10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 and Treasurer</w:t>
            </w: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R. LaDuane Clifton, MBA, CPA</w:t>
            </w:r>
          </w:p>
        </w:tc>
        <w:tc>
          <w:tcPr>
            <w:tcW w:w="100" w:type="dxa"/>
            <w:vAlign w:val="bottom"/>
          </w:tcPr>
          <w:p>
            <w:pPr>
              <w:spacing w:after="0"/>
              <w:rPr>
                <w:sz w:val="16"/>
                <w:szCs w:val="16"/>
                <w:color w:val="auto"/>
              </w:rPr>
            </w:pPr>
          </w:p>
        </w:tc>
        <w:tc>
          <w:tcPr>
            <w:tcW w:w="4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c>
          <w:tcPr>
            <w:tcW w:w="0" w:type="dxa"/>
            <w:vAlign w:val="bottom"/>
          </w:tcPr>
          <w:p>
            <w:pPr>
              <w:spacing w:after="0"/>
              <w:rPr>
                <w:sz w:val="1"/>
                <w:szCs w:val="1"/>
                <w:color w:val="auto"/>
              </w:rPr>
            </w:pPr>
          </w:p>
        </w:tc>
      </w:tr>
      <w:tr>
        <w:trPr>
          <w:trHeight w:val="430"/>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J. Sangiovanni</w:t>
            </w:r>
          </w:p>
        </w:tc>
        <w:tc>
          <w:tcPr>
            <w:tcW w:w="10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Senior Vice President, Finance and Corporate Controller</w:t>
            </w: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Timothy J. Sangiovanni, CPA</w:t>
            </w:r>
          </w:p>
        </w:tc>
        <w:tc>
          <w:tcPr>
            <w:tcW w:w="100" w:type="dxa"/>
            <w:vAlign w:val="bottom"/>
          </w:tcPr>
          <w:p>
            <w:pPr>
              <w:spacing w:after="0"/>
              <w:rPr>
                <w:sz w:val="16"/>
                <w:szCs w:val="16"/>
                <w:color w:val="auto"/>
              </w:rPr>
            </w:pPr>
          </w:p>
        </w:tc>
        <w:tc>
          <w:tcPr>
            <w:tcW w:w="4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20" w:type="dxa"/>
            <w:vAlign w:val="bottom"/>
          </w:tcPr>
          <w:p>
            <w:pPr>
              <w:spacing w:after="0"/>
              <w:rPr>
                <w:sz w:val="20"/>
                <w:szCs w:val="20"/>
                <w:color w:val="auto"/>
              </w:rPr>
            </w:pPr>
          </w:p>
        </w:tc>
        <w:tc>
          <w:tcPr>
            <w:tcW w:w="2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March 12, 2025</w:t>
            </w:r>
          </w:p>
        </w:tc>
        <w:tc>
          <w:tcPr>
            <w:tcW w:w="0" w:type="dxa"/>
            <w:vAlign w:val="bottom"/>
          </w:tcPr>
          <w:p>
            <w:pPr>
              <w:spacing w:after="0"/>
              <w:rPr>
                <w:sz w:val="1"/>
                <w:szCs w:val="1"/>
                <w:color w:val="auto"/>
              </w:rPr>
            </w:pPr>
          </w:p>
        </w:tc>
      </w:tr>
      <w:tr>
        <w:trPr>
          <w:trHeight w:val="430"/>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D. Anderson</w:t>
            </w:r>
          </w:p>
        </w:tc>
        <w:tc>
          <w:tcPr>
            <w:tcW w:w="10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c>
          <w:tcPr>
            <w:tcW w:w="0" w:type="dxa"/>
            <w:vAlign w:val="bottom"/>
          </w:tcPr>
          <w:p>
            <w:pPr>
              <w:spacing w:after="0"/>
              <w:rPr>
                <w:sz w:val="1"/>
                <w:szCs w:val="1"/>
                <w:color w:val="auto"/>
              </w:rPr>
            </w:pPr>
          </w:p>
        </w:tc>
      </w:tr>
      <w:tr>
        <w:trPr>
          <w:trHeight w:val="22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Thomas D. Anderson</w:t>
            </w:r>
          </w:p>
        </w:tc>
        <w:tc>
          <w:tcPr>
            <w:tcW w:w="10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B. Bode</w:t>
            </w:r>
          </w:p>
        </w:tc>
        <w:tc>
          <w:tcPr>
            <w:tcW w:w="10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c>
          <w:tcPr>
            <w:tcW w:w="0" w:type="dxa"/>
            <w:vAlign w:val="bottom"/>
          </w:tcPr>
          <w:p>
            <w:pPr>
              <w:spacing w:after="0"/>
              <w:rPr>
                <w:sz w:val="1"/>
                <w:szCs w:val="1"/>
                <w:color w:val="auto"/>
              </w:rPr>
            </w:pPr>
          </w:p>
        </w:tc>
      </w:tr>
      <w:tr>
        <w:trPr>
          <w:trHeight w:val="22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John B. Bode</w:t>
            </w:r>
          </w:p>
        </w:tc>
        <w:tc>
          <w:tcPr>
            <w:tcW w:w="10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W. Calder</w:t>
            </w:r>
          </w:p>
        </w:tc>
        <w:tc>
          <w:tcPr>
            <w:tcW w:w="10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c>
          <w:tcPr>
            <w:tcW w:w="0" w:type="dxa"/>
            <w:vAlign w:val="bottom"/>
          </w:tcPr>
          <w:p>
            <w:pPr>
              <w:spacing w:after="0"/>
              <w:rPr>
                <w:sz w:val="1"/>
                <w:szCs w:val="1"/>
                <w:color w:val="auto"/>
              </w:rPr>
            </w:pPr>
          </w:p>
        </w:tc>
      </w:tr>
      <w:tr>
        <w:trPr>
          <w:trHeight w:val="22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Douglas W. Calder</w:t>
            </w:r>
          </w:p>
        </w:tc>
        <w:tc>
          <w:tcPr>
            <w:tcW w:w="10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/s/Wendy Dixon</w:t>
            </w:r>
          </w:p>
        </w:tc>
        <w:tc>
          <w:tcPr>
            <w:tcW w:w="10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c>
          <w:tcPr>
            <w:tcW w:w="0" w:type="dxa"/>
            <w:vAlign w:val="bottom"/>
          </w:tcPr>
          <w:p>
            <w:pPr>
              <w:spacing w:after="0"/>
              <w:rPr>
                <w:sz w:val="1"/>
                <w:szCs w:val="1"/>
                <w:color w:val="auto"/>
              </w:rPr>
            </w:pPr>
          </w:p>
        </w:tc>
      </w:tr>
      <w:tr>
        <w:trPr>
          <w:trHeight w:val="22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Wendy Dixon</w:t>
            </w:r>
          </w:p>
        </w:tc>
        <w:tc>
          <w:tcPr>
            <w:tcW w:w="10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Tamara A. Favorito</w:t>
            </w:r>
          </w:p>
        </w:tc>
        <w:tc>
          <w:tcPr>
            <w:tcW w:w="10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c>
          <w:tcPr>
            <w:tcW w:w="0" w:type="dxa"/>
            <w:vAlign w:val="bottom"/>
          </w:tcPr>
          <w:p>
            <w:pPr>
              <w:spacing w:after="0"/>
              <w:rPr>
                <w:sz w:val="1"/>
                <w:szCs w:val="1"/>
                <w:color w:val="auto"/>
              </w:rPr>
            </w:pPr>
          </w:p>
        </w:tc>
      </w:tr>
      <w:tr>
        <w:trPr>
          <w:trHeight w:val="22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Tamara A. Favorito</w:t>
            </w:r>
          </w:p>
        </w:tc>
        <w:tc>
          <w:tcPr>
            <w:tcW w:w="10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Alvin Shih</w:t>
            </w:r>
          </w:p>
        </w:tc>
        <w:tc>
          <w:tcPr>
            <w:tcW w:w="10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c>
          <w:tcPr>
            <w:tcW w:w="0" w:type="dxa"/>
            <w:vAlign w:val="bottom"/>
          </w:tcPr>
          <w:p>
            <w:pPr>
              <w:spacing w:after="0"/>
              <w:rPr>
                <w:sz w:val="1"/>
                <w:szCs w:val="1"/>
                <w:color w:val="auto"/>
              </w:rPr>
            </w:pPr>
          </w:p>
        </w:tc>
      </w:tr>
      <w:tr>
        <w:trPr>
          <w:trHeight w:val="22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Alvin Shih</w:t>
            </w:r>
          </w:p>
        </w:tc>
        <w:tc>
          <w:tcPr>
            <w:tcW w:w="10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Corey Watton</w:t>
            </w:r>
          </w:p>
        </w:tc>
        <w:tc>
          <w:tcPr>
            <w:tcW w:w="10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c>
          <w:tcPr>
            <w:tcW w:w="0" w:type="dxa"/>
            <w:vAlign w:val="bottom"/>
          </w:tcPr>
          <w:p>
            <w:pPr>
              <w:spacing w:after="0"/>
              <w:rPr>
                <w:sz w:val="1"/>
                <w:szCs w:val="1"/>
                <w:color w:val="auto"/>
              </w:rPr>
            </w:pPr>
          </w:p>
        </w:tc>
      </w:tr>
      <w:tr>
        <w:trPr>
          <w:trHeight w:val="22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Corey Watton</w:t>
            </w:r>
          </w:p>
        </w:tc>
        <w:tc>
          <w:tcPr>
            <w:tcW w:w="10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4400" w:type="dxa"/>
            <w:vAlign w:val="bottom"/>
          </w:tcPr>
          <w:p>
            <w:pPr>
              <w:spacing w:after="0"/>
              <w:rPr>
                <w:sz w:val="24"/>
                <w:szCs w:val="24"/>
                <w:color w:val="auto"/>
              </w:rPr>
            </w:pPr>
          </w:p>
        </w:tc>
        <w:tc>
          <w:tcPr>
            <w:tcW w:w="4480" w:type="dxa"/>
            <w:vAlign w:val="bottom"/>
            <w:gridSpan w:val="2"/>
          </w:tcPr>
          <w:p>
            <w:pPr>
              <w:jc w:val="right"/>
              <w:ind w:right="303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THE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SECURITIES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Zevra Therapeutics, Inc. (“we,” “our,” or “us”) has one class of securities registered under Section 12 of the Securities Exchange Act of 1934, as amended, our common stock, par value $0.0001 per share, or common stock. The following description of our capital stock is a summary and does not purport to be complete. It is qualified in its entirety by, and should be read in conjunction with, our amended and restated certificate of incorporation, amended and restated bylaws and applicable Delaware law.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we are authorized to issue up to 250,000,000 shares of common stock and 10,000,000 shares of preferred stock, $0.0001 par value per share, all of which are currently undesignated. Our board of directors may establish the rights and preferences of the undesignated preferred stock from time to time.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submitted to a vote of the stockholders, including the election of directors. Under our amended and restated certificate of incorporation and amended and restated bylaws, our stockholders do not have cumulative voting rights. The affirmative vote of the majority (plurality, in the case of the election of directors) of shares present and entitled to vote generally on a subject matter shall be the act of the stockholders.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our common stock are entitled to receive ratably those dividends, if any, as may be declared from time to time by the board of directors out of legally available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our board of directors has the authority, without further action by the stockholders (unless such stockholder action is required by applicable law or stock exchange listing rules), to designate and issue up to 10,000,000 shares of preferred stock in one or more series, to establish from time to time the number of shares to be included in each such series, to fix the designations, powers, preferences, privileges and relative participating, optional or special rights and the qualifications, limitations or restrictions thereof, including dividend rights, conversion rights, voting rights, terms of redemption and liquidation preferences, any or all of which may be greater than the rights of our common stock, and to increase or decrease the number of shares of any such series, but not below the number of shares of such series then outstanding. Our board of directors, without stockholder approval, can issue preferred stock with voting, conversion or other rights that could adversely affect the voting power and other rights of the holders of our common stock. Preferred stock could be issued quickly with terms designed to delay or prevent a change in control of our company or make removal of management more difficult. Additionally, the issuance of preferred stock may have the effect of decreasing the market price of our common stock and may adversely affect the voting power of holders of our common stock and reduce the likelihood that our common stockholders will receive dividend payments and payments upon liquidation.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9" w:name="page160"/>
    <w:bookmarkEnd w:id="159"/>
    <w:p>
      <w:pPr>
        <w:jc w:val="both"/>
        <w:spacing w:after="0" w:line="280" w:lineRule="auto"/>
        <w:rPr>
          <w:sz w:val="20"/>
          <w:szCs w:val="20"/>
          <w:color w:val="auto"/>
        </w:rPr>
      </w:pPr>
      <w:r>
        <w:rPr>
          <w:rFonts w:ascii="Times New Roman" w:cs="Times New Roman" w:eastAsia="Times New Roman" w:hAnsi="Times New Roman"/>
          <w:sz w:val="18"/>
          <w:szCs w:val="18"/>
          <w:color w:val="auto"/>
        </w:rPr>
        <w:t>Our board of directors will fix the designations, voting powers, preferences and rights, as well as the qualifications, limitations or restrictions, of the preferred stock of each series that we offer in the certificate of designation relating to that series.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Delaware General Corporation Law, the law governing corporations in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Warrants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Our warrants include a net exercise provision and contain provisions for the adjustment of the exercise price and the number of shares issuable upon the exercise of each warrant in the event of certain stock dividends, stock splits, reorganizations, reclassifications and consolidations.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60" w:name="page161"/>
    <w:bookmarkEnd w:id="160"/>
    <w:p>
      <w:pPr>
        <w:jc w:val="both"/>
        <w:spacing w:after="0" w:line="250" w:lineRule="auto"/>
        <w:rPr>
          <w:sz w:val="20"/>
          <w:szCs w:val="20"/>
          <w:color w:val="auto"/>
        </w:rPr>
      </w:pPr>
      <w:r>
        <w:rPr>
          <w:rFonts w:ascii="Times New Roman" w:cs="Times New Roman" w:eastAsia="Times New Roman" w:hAnsi="Times New Roman"/>
          <w:sz w:val="18"/>
          <w:szCs w:val="18"/>
          <w:color w:val="auto"/>
        </w:rPr>
        <w:t>In January 2021, pursuant to the terms of the underwriting agreement and the December 2020 exchange agreement, we issued warrants to purchase 12,078,361 shares of our common stock, or collectively, the Offering Warrants, in a public offering and in connection with the transactions contemplated under the December 2020 exchange agreement. The Offering Warrants were immediately exercisable and expire on the fifth anniversary of their issuance date, at an exercise price per share of common stock equal to $6.50 per share. The Offering Warrants are exercisable, at the option of each holder, in whole or in part, by delivering to us a duly executed exercise notice, provided that payment in full for the number of shares of our common stock purchased upon such exercise is delivered to us in accordance with the terms of the Offering Warrants.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Offering Warrants. A holder (together with its affiliates) may not exercise any portion of the Offering Warrant to the extent that the holder and its affiliates and any other person or entities with which such holder would constitute a Section 13(d) “group” would own more than 4.99% of our outstanding common stock immediately after exercise. Except as otherwise provided in the Offering Warrants or by virtue of such holder’s ownership of shares of our common stock, the holders of the Offering Warrants do not have the rights or privileges of holders of common stock with respect to the shares of common stock underlying the Offering Warrants, including any voting rights, until they exercise their Offering Warrants. The Offering Warrants provide that holders have the right to participate in distributions or dividends paid on our common stock. In the event of a fundamental transaction, as described in the Offering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Offering Warrants will be entitled to receive upon exercise of the warrants the kind and amount of securities, cash or other property that the holders would have received had they exercised the Offering Warrants immediately prior to such fundamental transaction. In addition, in the event of a fundamental transaction which is approved by our board of directors, the holders of the warrants have the right to require us or a successor entity to redeem the Offering Warrants for cash in the amount of the Black Scholes value of the unexercised portion of the Offering Warrants on the date of the consummation of the fundamental transaction. In the event of a fundamental transaction which is not approved by our board of directors, the holders of the Offering Warrants have the right to require us or a successor entity to redeem the Offering Warrants in the amount of the Black Scholes value of the unexercised portion of the Offering Warrants on the date of the consummation of the fundamental transaction payable in the form of consideration paid to the holders of common stock in such fundamental transaction. The Offering Warrants meet the equity classification requirements and thus are recorded in additional paid-in capital on the balance sheets.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2021, pursuant to the terms of an underwriting agreement, we issued to the underwriter a warrant to purchase 806,932 shares of our common stock, or the Underwriter Warrant. The Underwriter Warrant is subject to substantially the same terms and conditions as the Offering Warrants, provided that the exercise price for the Underwriter Warrant is $8.125 per share. In connection with the closing of the underwriter's partial exercise of its over-allotment option, in February 2021, we issued to the underwriter additional warrants to purchase 18,702 shares of common stock under the same terms as the Underwriter Warrant, collectively these are known as the Underwriter Warrants.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61" w:name="page162"/>
    <w:bookmarkEnd w:id="161"/>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In January 2021, we entered into warrant exercise inducement offer letters, or the January 2021 Inducement Transaction, with certain holders of the Offering Warrants pursuant to which such holders agreed to exercise for cash their existing warrants to purchase 6,620,358 shares of our common stock in exchange for our agreement to issue new warrants, or the January 2021 Inducement Warrants, on substantially the same terms as the existing warrants, except as set forth in the following sentence, to purchase up to 7,944,430 shares of our common stock, which is equal to 120% of the number of shares of our common stock issued upon exercise of the existing warrants. The purchase price of the January 2021 Inducement Warrants was $0.125 per share underlying each January 2021 Inducement Warrant, and the January 2021 Inducement Warrants have an exercise price of $6.36 per share.</w:t>
      </w:r>
    </w:p>
    <w:p>
      <w:pPr>
        <w:spacing w:after="0" w:line="185"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In June 2021, we entered into warrant exercise inducement offer letters, or the June 2021 Inducement Transaction, with certain holders of the January 2021 Inducement Warrants pursuant to which such holders agreed to exercise for cash their January 2021 Inducement Warrants to purchase 6,117,509 shares of our common stock in exchange for our agreement to issue new warrants, the June 2021 Inducement Warrants, on substantially the same terms as the January 2021 Inducement Warrants, except as set forth in the following sentence, to purchase up to 1,529,379 shares of our common stock, which is equal to 25% of the number of shares of our common stock issued upon exercise of the January 2021 Inducement Warrants. The purchase price of the June 2021 Inducement Warrants was $0.125 per share underlying each June 2021 Inducement Warrant, and the June 2021 Inducement Warrants have an exercise price of $16.50 per share.</w:t>
      </w:r>
    </w:p>
    <w:p>
      <w:pPr>
        <w:spacing w:after="0" w:line="186"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On November 22, 2023, we sold an aggregate of 1,382,489 shares of our common stock and accompanying warrants to purchase up to 1,382,489 shares of our common stock at a price of $4.34 per share to a healthcare focused investment fund (the "Investor") for gross proceeds of approximately $6.0 million and an aggregate of 917,934 shares of our common stock to cancel a warrant held by the Investor to purchase 2,920,306 shares of common stock of Acer Therapeutics Inc. The shares of common stock and warrants were offered and sold to the Investor in a registered direct offering without an underwriter or placement agent.</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5"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On August 30, 2023, Zevra purchased certain indebtedness of Acer held by Nantahala Capital Management, LLC (“NCM”), certain of its affiliates and certain other parties (collectively with NCM, “Nantahala”) pursuant to a Loan Purchase Agreement and a Note Purchase Agreement. In connection with entering into the Loan and Note Purchase Agreements, Zevra and Nantahala concurrently entered into a registration rights agreement (the “Registration Rights Agreement”), pursuant to which Zevra agreed to file a resale registration statement with respect to the resale of the Zevra common stock issuable under the Loan and Note Purchase Agreements and the Nantahala Note. On February 5, 2024, Zevra filed a registration statement on Form S-3 (File No. 333-276856) registering an aggregate of 2,269,721 shares of Zevra’s common stock that were issued pursuant to the Loan and Note Purchase Agreements. On April 5, 2024, Zevra filed an amendment to the registration statement on Form S-3 (File No. 333-250945) covering the issuance of the shares of Zevra’s common stock issuable upon the exercise of warrants issued in connection with the Merger and remaining unexercised as of the date of the amendment, which was declared effective on April 8, 2024.</w:t>
      </w:r>
    </w:p>
    <w:p>
      <w:pPr>
        <w:spacing w:after="0" w:line="186" w:lineRule="exact"/>
        <w:rPr>
          <w:sz w:val="20"/>
          <w:szCs w:val="20"/>
          <w:color w:val="auto"/>
        </w:rPr>
      </w:pPr>
    </w:p>
    <w:p>
      <w:pPr>
        <w:jc w:val="both"/>
        <w:ind w:left="20" w:right="300"/>
        <w:spacing w:after="0" w:line="264" w:lineRule="auto"/>
        <w:rPr>
          <w:sz w:val="20"/>
          <w:szCs w:val="20"/>
          <w:color w:val="auto"/>
        </w:rPr>
      </w:pPr>
      <w:r>
        <w:rPr>
          <w:rFonts w:ascii="Times New Roman" w:cs="Times New Roman" w:eastAsia="Times New Roman" w:hAnsi="Times New Roman"/>
          <w:sz w:val="18"/>
          <w:szCs w:val="18"/>
          <w:color w:val="auto"/>
        </w:rPr>
        <w:t>On June 4, 2024, Zevra filed a registration statement on Form S-3 (File No. 333-279941) under which the Zevra may sell securities, including as may be issuable upon conversion, redemption, repurchase, exchange or exercise of securities, in one or more offerings. The registration statement was declared effective on June 13,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578"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77" w:lineRule="exact"/>
        <w:rPr>
          <w:sz w:val="20"/>
          <w:szCs w:val="20"/>
          <w:color w:val="auto"/>
        </w:rPr>
      </w:pPr>
    </w:p>
    <w:p>
      <w:pPr>
        <w:ind w:left="460" w:hanging="224"/>
        <w:spacing w:after="0" w:line="280"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jc w:val="both"/>
        <w:ind w:left="460" w:hanging="224"/>
        <w:spacing w:after="0" w:line="256"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6" w:lineRule="exact"/>
        <w:rPr>
          <w:rFonts w:ascii="Times New Roman" w:cs="Times New Roman" w:eastAsia="Times New Roman" w:hAnsi="Times New Roman"/>
          <w:sz w:val="18"/>
          <w:szCs w:val="18"/>
          <w:color w:val="auto"/>
        </w:rPr>
      </w:pPr>
    </w:p>
    <w:p>
      <w:pPr>
        <w:jc w:val="both"/>
        <w:ind w:left="460" w:hanging="224"/>
        <w:spacing w:after="0" w:line="264"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223" w:lineRule="exact"/>
        <w:rPr>
          <w:sz w:val="20"/>
          <w:szCs w:val="20"/>
          <w:color w:val="auto"/>
        </w:rPr>
      </w:pPr>
    </w:p>
    <w:p>
      <w:pPr>
        <w:ind w:left="460" w:hanging="224"/>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22" w:lineRule="exact"/>
        <w:rPr>
          <w:rFonts w:ascii="Times New Roman" w:cs="Times New Roman" w:eastAsia="Times New Roman" w:hAnsi="Times New Roman"/>
          <w:sz w:val="18"/>
          <w:szCs w:val="18"/>
          <w:color w:val="auto"/>
        </w:rPr>
      </w:pPr>
    </w:p>
    <w:p>
      <w:pPr>
        <w:ind w:left="460" w:hanging="224"/>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222"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61"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61" w:lineRule="exact"/>
        <w:rPr>
          <w:rFonts w:ascii="Times New Roman" w:cs="Times New Roman" w:eastAsia="Times New Roman" w:hAnsi="Times New Roman"/>
          <w:sz w:val="18"/>
          <w:szCs w:val="18"/>
          <w:color w:val="auto"/>
        </w:rPr>
      </w:pPr>
    </w:p>
    <w:p>
      <w:pPr>
        <w:ind w:left="460" w:hanging="224"/>
        <w:spacing w:after="0" w:line="280"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our board of directors to be divided into three classes with staggered three-year terms. Only one class of directors will be elected at each annual meeting of our stockholders, with the other classes continuing for the remainder of their respective three-year terms. The affirmative vote of the majority (plurality, in the case of the election of directors) of shares present and entitled to vote generally on a subject matter shall be the act of the stockholders. Our amended and restated certificate of incorporation and our amended and restated bylaws also provide that directors may be removed by the stockholders only for cause upon the vote of 66 2/3%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of directors, only be filled by a majority vote of the directors then serving on the board of directors, even though less than a quorum.</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also provide that all stockholder actions must be effected at a duly called meeting of stockholders and eliminates the right of stockholders to act by written consent without a meeting. Our amended and restated bylaws also provide that only our chairman of the board, chief executive officer or the board of directors pursuant to a resolution adopted by a majority of the total number of authorized directors may call a special meeting of stockholders.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amended and restated bylaws also provide that stockholders seeking to present proposals before a meeting of stockholders or to nominate candidates for election as directors at a meeting of stockholders must provide timely advance notice in writing, and specify requirements as to the form and content of a stockholder’s notice.</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stockholders cannot amend many of the provisions described above except by a vote of 66 2/3% or more of our outstanding common stock.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combination of these provisions make it more difficult for our existing stockholders to replace our board of directors as well as for another party to obtain control of us by replacing our board of directors. Since our board of directors has the power to retain and discharge our officers, these provisions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amended and restated bylaws provide that (1)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shall be the sole and exclusive forum for the following types of actions or proceedings under Delaware statutory or common law: (A) any derivative action or proceeding brought on behalf of us; (B) any action or proceeding asserting a claim of breach of a fiduciary duty owed by any current or former director, officer or other employee of us, to us or our stockholders; (C) any action or proceeding asserting a claim against us any current or former director, officer or other employee of us, arising out of or pursuant to any provision of the Delaware General Corporation Law, or the DGCL, our amended and restated certificate of incorporation or our amended and restated bylaws (as each may be amended from time to time); (D) any action or proceeding to interpret, apply, enforce or determine the validity of our amended and restated certificate of incorporation or our amended and restated bylaws (including any right, obligation, or remedy thereunder); (E) any action or proceeding as to which the DGCL confers jurisdiction to the Court of Chancery of the State of Delaware; and (F) any action or proceeding asserting a claim against us or any director, officer or other employee of us, governed by the internal affairs doctrine, in all cases to the fullest extent permitted by law and subject to the court’s having personal jurisdiction over the indispensable parties named as defendants, provided that this provision shall not apply to suits brought to enforce a duty or liability created by the Securities Act or the Exchange Act or any other claim for which the federal courts have exclusive jurisdiction; (2)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and (3) any person or entity holding, owning or otherwise acquiring any interest in any of our securities shall be deemed to have notice of and consented to the provisions of our amended and restated bylaws.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the Nasdaq Stock Market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“ZVRA.”</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574"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24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ZEVRA THERAPEUTICS, INC.</w:t>
      </w:r>
    </w:p>
    <w:p>
      <w:pPr>
        <w:spacing w:after="0" w:line="22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EMPLOYMENT AGREEMENT</w:t>
      </w:r>
    </w:p>
    <w:p>
      <w:pPr>
        <w:spacing w:after="0" w:line="2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 xml:space="preserve">ADRIAN </w:t>
      </w:r>
      <w:r>
        <w:rPr>
          <w:rFonts w:ascii="Times New Roman" w:cs="Times New Roman" w:eastAsia="Times New Roman" w:hAnsi="Times New Roman"/>
          <w:sz w:val="18"/>
          <w:szCs w:val="18"/>
          <w:color w:val="auto"/>
        </w:rPr>
        <w:t>QUARTEL</w:t>
      </w:r>
    </w:p>
    <w:p>
      <w:pPr>
        <w:spacing w:after="0" w:line="20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 xml:space="preserve">EFFECTIVE AS OF </w:t>
      </w:r>
      <w:r>
        <w:rPr>
          <w:rFonts w:ascii="Times New Roman" w:cs="Times New Roman" w:eastAsia="Times New Roman" w:hAnsi="Times New Roman"/>
          <w:sz w:val="18"/>
          <w:szCs w:val="18"/>
          <w:b w:val="1"/>
          <w:bCs w:val="1"/>
          <w:color w:val="auto"/>
        </w:rPr>
        <w:t>JANUARY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514350</wp:posOffset>
            </wp:positionV>
            <wp:extent cx="713295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66" w:name="page167"/>
    <w:bookmarkEnd w:id="166"/>
    <w:p>
      <w:pPr>
        <w:ind w:left="4420"/>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This EMPLOYMENT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is made and entered into effective as of JANUARY 3, 2024, by and between ZEVRA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including its affiliates, parent, subsidiaries, successors, and assigns and Adrian Quartel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xml:space="preserve"> (each being a "Party" hereto and together constituting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Company desires to employ the Executive as its Chief Medical Officer under the terms and conditions set forth below.</w:t>
      </w:r>
    </w:p>
    <w:p>
      <w:pPr>
        <w:spacing w:after="0" w:line="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Now, THEREFORE, in consideration of the mutual promises and covenants contained herein, and for other good and valuable consideration, the receipt, adequacy and sufficiency of which is hereby acknowledged, the Parties hereto agree as follows:</w:t>
      </w:r>
    </w:p>
    <w:p>
      <w:pPr>
        <w:spacing w:after="0" w:line="181" w:lineRule="exact"/>
        <w:rPr>
          <w:sz w:val="20"/>
          <w:szCs w:val="20"/>
          <w:color w:val="auto"/>
        </w:rPr>
      </w:pPr>
    </w:p>
    <w:p>
      <w:pPr>
        <w:ind w:left="1160" w:hanging="319"/>
        <w:spacing w:after="0"/>
        <w:tabs>
          <w:tab w:leader="none" w:pos="11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p>
    <w:p>
      <w:pPr>
        <w:spacing w:after="0" w:line="222" w:lineRule="exact"/>
        <w:rPr>
          <w:rFonts w:ascii="Times New Roman" w:cs="Times New Roman" w:eastAsia="Times New Roman" w:hAnsi="Times New Roman"/>
          <w:sz w:val="18"/>
          <w:szCs w:val="18"/>
          <w:color w:val="auto"/>
        </w:rPr>
      </w:pPr>
    </w:p>
    <w:p>
      <w:pPr>
        <w:jc w:val="both"/>
        <w:ind w:left="1780" w:hanging="321"/>
        <w:spacing w:after="0" w:line="264" w:lineRule="auto"/>
        <w:tabs>
          <w:tab w:leader="none" w:pos="178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Company hereby desires to employ Executive and Executive hereby accepts such employment with Company as its Chief Medical Officer or in such other capacities as Company shall reasonably determine from time to time, upon the terms and conditions set forth in this Agreement.</w:t>
      </w:r>
    </w:p>
    <w:p>
      <w:pPr>
        <w:spacing w:after="0" w:line="176" w:lineRule="exact"/>
        <w:rPr>
          <w:rFonts w:ascii="Times New Roman" w:cs="Times New Roman" w:eastAsia="Times New Roman" w:hAnsi="Times New Roman"/>
          <w:sz w:val="18"/>
          <w:szCs w:val="18"/>
          <w:color w:val="auto"/>
        </w:rPr>
      </w:pPr>
    </w:p>
    <w:p>
      <w:pPr>
        <w:jc w:val="both"/>
        <w:ind w:left="1780" w:hanging="321"/>
        <w:spacing w:after="0" w:line="264" w:lineRule="auto"/>
        <w:tabs>
          <w:tab w:leader="none" w:pos="178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w:t>
      </w:r>
      <w:r>
        <w:rPr>
          <w:rFonts w:ascii="Times New Roman" w:cs="Times New Roman" w:eastAsia="Times New Roman" w:hAnsi="Times New Roman"/>
          <w:sz w:val="18"/>
          <w:szCs w:val="18"/>
          <w:color w:val="auto"/>
        </w:rPr>
        <w:t xml:space="preserve"> Company's employment of Executive under this Agreement shall commence effective as of January 3,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and continue until the Date of Termination (defined in Section 4(A)) (hereinafter such period of time from the commencement until termination of employment shall be referred to as the </w:t>
      </w:r>
      <w:r>
        <w:rPr>
          <w:rFonts w:ascii="Times New Roman" w:cs="Times New Roman" w:eastAsia="Times New Roman" w:hAnsi="Times New Roman"/>
          <w:sz w:val="18"/>
          <w:szCs w:val="18"/>
          <w:u w:val="single" w:color="auto"/>
          <w:color w:val="auto"/>
        </w:rPr>
        <w:t>"Employment Term").</w:t>
      </w:r>
    </w:p>
    <w:p>
      <w:pPr>
        <w:spacing w:after="0" w:line="176" w:lineRule="exact"/>
        <w:rPr>
          <w:rFonts w:ascii="Times New Roman" w:cs="Times New Roman" w:eastAsia="Times New Roman" w:hAnsi="Times New Roman"/>
          <w:sz w:val="18"/>
          <w:szCs w:val="18"/>
          <w:color w:val="auto"/>
        </w:rPr>
      </w:pPr>
    </w:p>
    <w:p>
      <w:pPr>
        <w:jc w:val="both"/>
        <w:ind w:left="1780" w:hanging="321"/>
        <w:spacing w:after="0" w:line="254" w:lineRule="auto"/>
        <w:tabs>
          <w:tab w:leader="none" w:pos="178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of Executive.</w:t>
      </w:r>
      <w:r>
        <w:rPr>
          <w:rFonts w:ascii="Times New Roman" w:cs="Times New Roman" w:eastAsia="Times New Roman" w:hAnsi="Times New Roman"/>
          <w:sz w:val="18"/>
          <w:szCs w:val="18"/>
          <w:color w:val="auto"/>
        </w:rPr>
        <w:t xml:space="preserve"> During the Employment Term, all of the following shall apply: Executive shall carry out, perform and comply with such reasonable and lawful orders, directions, and written rules and policies (including those rules and policies memorialized in meeting minutes) as are assigned or set by Company's Chief Executive Officer ("CEO") from time to time. Executive shall report to, receive directions from and be reviewed by the ("CEO"). Executive's duties shall include the duties and responsibilities commonly associated with and are appropriate for an individual of Executive's or a similar position of a company similar to Company. Subject to the limitations of Section 4(E)(3)(iv), the ("CEO") retains the right to modify Executive's job title and responsibilities pursuant to the legitimate business needs of Company.</w:t>
      </w:r>
    </w:p>
    <w:p>
      <w:pPr>
        <w:spacing w:after="0" w:line="186" w:lineRule="exact"/>
        <w:rPr>
          <w:rFonts w:ascii="Times New Roman" w:cs="Times New Roman" w:eastAsia="Times New Roman" w:hAnsi="Times New Roman"/>
          <w:sz w:val="18"/>
          <w:szCs w:val="18"/>
          <w:color w:val="auto"/>
        </w:rPr>
      </w:pPr>
    </w:p>
    <w:p>
      <w:pPr>
        <w:jc w:val="both"/>
        <w:ind w:left="1780" w:hanging="321"/>
        <w:spacing w:after="0" w:line="255" w:lineRule="auto"/>
        <w:tabs>
          <w:tab w:leader="none" w:pos="178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Duty of Loyalty.</w:t>
      </w:r>
      <w:r>
        <w:rPr>
          <w:rFonts w:ascii="Times New Roman" w:cs="Times New Roman" w:eastAsia="Times New Roman" w:hAnsi="Times New Roman"/>
          <w:sz w:val="18"/>
          <w:szCs w:val="18"/>
          <w:color w:val="auto"/>
        </w:rPr>
        <w:t xml:space="preserve"> During the Employment Term, Executive shall not, without the prior written consent of the CEO, accept other employment or render or perform other services for compensation. Executive shall devote Executive's full business time and attention and Executive's best efforts to the faithful performance of Executive's duties as an officer and employee of Company. Executive's expenditure of reasonable amounts of time for teaching, personal business, or on behalf of charitable or professional organizations shall not be deemed a breach of this Agreement, provided such activities do not materially interfere with the performance of Executive's duties and responsibilities hereunder.</w:t>
      </w:r>
    </w:p>
    <w:p>
      <w:pPr>
        <w:spacing w:after="0" w:line="185" w:lineRule="exact"/>
        <w:rPr>
          <w:rFonts w:ascii="Times New Roman" w:cs="Times New Roman" w:eastAsia="Times New Roman" w:hAnsi="Times New Roman"/>
          <w:sz w:val="18"/>
          <w:szCs w:val="18"/>
          <w:color w:val="auto"/>
        </w:rPr>
      </w:pPr>
    </w:p>
    <w:p>
      <w:pPr>
        <w:jc w:val="both"/>
        <w:ind w:left="1800" w:hanging="328"/>
        <w:spacing w:after="0" w:line="256" w:lineRule="auto"/>
        <w:tabs>
          <w:tab w:leader="none" w:pos="180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 of Performance.</w:t>
      </w:r>
      <w:r>
        <w:rPr>
          <w:rFonts w:ascii="Times New Roman" w:cs="Times New Roman" w:eastAsia="Times New Roman" w:hAnsi="Times New Roman"/>
          <w:sz w:val="18"/>
          <w:szCs w:val="18"/>
          <w:color w:val="auto"/>
        </w:rPr>
        <w:t xml:space="preserve"> Executive's principal place of employment during the Employment Term will be in El Cerrito, CA. Notwithstanding the foregoing, Executive understands and agrees that Executive's presence may be required at other Company worksites, or Executive may be required to travel for business, in each case, in accordance with Executive's duties and responsibilities under this Agreement, as business needs require or may change over time and as reasonably requested by the ("CEO").</w:t>
      </w:r>
    </w:p>
    <w:p>
      <w:pPr>
        <w:spacing w:after="0" w:line="186" w:lineRule="exact"/>
        <w:rPr>
          <w:rFonts w:ascii="Times New Roman" w:cs="Times New Roman" w:eastAsia="Times New Roman" w:hAnsi="Times New Roman"/>
          <w:sz w:val="18"/>
          <w:szCs w:val="18"/>
          <w:color w:val="auto"/>
        </w:rPr>
      </w:pPr>
    </w:p>
    <w:p>
      <w:pPr>
        <w:jc w:val="both"/>
        <w:ind w:left="880" w:hanging="322"/>
        <w:spacing w:after="0" w:line="264" w:lineRule="auto"/>
        <w:tabs>
          <w:tab w:leader="none" w:pos="8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 xml:space="preserve"> In consideration of the services to be rendered by Executive pursuant to this Agreement, as well as Executive's covenants set forth in this Agreement, Company shall pay to Executive the following compensation, which shall be the entire and exclusive compensation for all of Executive's services rendered and other obligations taken on Company's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482600</wp:posOffset>
            </wp:positionV>
            <wp:extent cx="713295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67" w:name="page168"/>
    <w:bookmarkEnd w:id="167"/>
    <w:p>
      <w:pPr>
        <w:jc w:val="both"/>
        <w:ind w:left="360" w:hanging="317"/>
        <w:spacing w:after="0" w:line="253" w:lineRule="auto"/>
        <w:tabs>
          <w:tab w:leader="none" w:pos="3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Base Salary.</w:t>
      </w:r>
      <w:r>
        <w:rPr>
          <w:rFonts w:ascii="Times New Roman" w:cs="Times New Roman" w:eastAsia="Times New Roman" w:hAnsi="Times New Roman"/>
          <w:sz w:val="18"/>
          <w:szCs w:val="18"/>
          <w:color w:val="auto"/>
        </w:rPr>
        <w:t xml:space="preserve"> During the Employment Term, Company shall pay to Executive an annualized base salary of $485,000 (the </w:t>
      </w:r>
      <w:r>
        <w:rPr>
          <w:rFonts w:ascii="Times New Roman" w:cs="Times New Roman" w:eastAsia="Times New Roman" w:hAnsi="Times New Roman"/>
          <w:sz w:val="18"/>
          <w:szCs w:val="18"/>
          <w:u w:val="single" w:color="auto"/>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xml:space="preserve">. For calendar years in which Executive is employed for less than the full year, the Base Salary shall be prorated and accrue on a per diem basis for only those days on which Executive was employed during the Employment Term. The Base Salary will be paid by Company in equal installments according to Company's customary payroll practices, but in any event not less frequently than monthly, and shall be subject to all mandatory and voluntary payroll deductions. Executive's Base Salary shall be reviewed periodically by the Company's Board of Directors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or the Compensation Committee of the Board of Directors (the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if so designated and may be appropriately increased from time to time in the sole discretion of Board of Directors or the Compensation Committee, as applicable.</w:t>
      </w:r>
    </w:p>
    <w:p>
      <w:pPr>
        <w:spacing w:after="0" w:line="189" w:lineRule="exact"/>
        <w:rPr>
          <w:rFonts w:ascii="Times New Roman" w:cs="Times New Roman" w:eastAsia="Times New Roman" w:hAnsi="Times New Roman"/>
          <w:sz w:val="18"/>
          <w:szCs w:val="18"/>
          <w:color w:val="auto"/>
        </w:rPr>
      </w:pPr>
    </w:p>
    <w:p>
      <w:pPr>
        <w:jc w:val="both"/>
        <w:ind w:left="400" w:hanging="330"/>
        <w:spacing w:after="0" w:line="253" w:lineRule="auto"/>
        <w:tabs>
          <w:tab w:leader="none" w:pos="4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xml:space="preserve"> During the Employment Term, Executive shall be entitled to participate in all short-term and long-term incentive programs established by Company, at such levels as the Board of Directors or Compensation Committee determines. Executive's annual short-term incentive opportunity target shall be no less than 40% of the Base Salary, as such percentage may be increased from time to time (the </w:t>
      </w:r>
      <w:r>
        <w:rPr>
          <w:rFonts w:ascii="Times New Roman" w:cs="Times New Roman" w:eastAsia="Times New Roman" w:hAnsi="Times New Roman"/>
          <w:sz w:val="18"/>
          <w:szCs w:val="18"/>
          <w:u w:val="single" w:color="auto"/>
          <w:color w:val="auto"/>
        </w:rPr>
        <w:t>"Target Annual Bonus").</w:t>
      </w:r>
      <w:r>
        <w:rPr>
          <w:rFonts w:ascii="Times New Roman" w:cs="Times New Roman" w:eastAsia="Times New Roman" w:hAnsi="Times New Roman"/>
          <w:sz w:val="18"/>
          <w:szCs w:val="18"/>
          <w:color w:val="auto"/>
        </w:rPr>
        <w:t xml:space="preserve"> The actual amount of such annual incentive compensation shall be determined in accordance with the applicable plans based on 1) the determination of the Company as to whether the Executive has achieved relevant performance goals and 2) Company performance objectives established in advance by the Board of Directors or the Compensation Committee, taking into account input from the CEO. Such actual annual short term incentive compensation amount may be more or less than the target amount and no incentive is guaranteed.</w:t>
      </w:r>
    </w:p>
    <w:p>
      <w:pPr>
        <w:spacing w:after="0" w:line="189" w:lineRule="exact"/>
        <w:rPr>
          <w:rFonts w:ascii="Times New Roman" w:cs="Times New Roman" w:eastAsia="Times New Roman" w:hAnsi="Times New Roman"/>
          <w:sz w:val="18"/>
          <w:szCs w:val="18"/>
          <w:color w:val="auto"/>
        </w:rPr>
      </w:pPr>
    </w:p>
    <w:p>
      <w:pPr>
        <w:jc w:val="both"/>
        <w:ind w:left="400" w:hanging="330"/>
        <w:spacing w:after="0" w:line="217" w:lineRule="exact"/>
        <w:tabs>
          <w:tab w:leader="none" w:pos="4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terms and conditions set forth in the following subsection, and subject to the approval of the Board of Directors or Compensation Committee, the Company shall grant to Executive an option to purchase shares of Company's common stock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xml:space="preserve"> pursuant to and in accordance with the terms and conditions of Company's Amended and Restated 2014 Equity Incentive Plan, or a successor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xml:space="preserve"> and Company's form of option or stock grant agreement, as applicable. On or after the Effective Date, Company shall grant Executive stock options to purchase 300,000 shares of Common Stock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The Option shall have an exercise price equal to the fair market value of the Common Stock as of the grant date of the Option. The Option shall vest in equal shares over a four-year period commencing from the date of grant and, with 25% of the options vesting on the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year anniversary of the Effective Date, and then the remainder of unvested options vesting on an annual basis thereafter until such time that all such shares are fully vested and exercisable,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Option, and each other outstanding equity award granted to Executive, shall accelerate so as to be fully vested and immediately exercisable immediately prior to any Change in Control (as defined in the Plan) of the Company.</w:t>
      </w:r>
    </w:p>
    <w:p>
      <w:pPr>
        <w:spacing w:after="0" w:line="199" w:lineRule="exact"/>
        <w:rPr>
          <w:sz w:val="20"/>
          <w:szCs w:val="20"/>
          <w:color w:val="auto"/>
        </w:rPr>
      </w:pPr>
    </w:p>
    <w:p>
      <w:pPr>
        <w:jc w:val="both"/>
        <w:ind w:left="360" w:hanging="317"/>
        <w:spacing w:after="0" w:line="253" w:lineRule="auto"/>
        <w:tabs>
          <w:tab w:leader="none" w:pos="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 Welfare and Other Benefit Plans and Programs.</w:t>
      </w:r>
      <w:r>
        <w:rPr>
          <w:rFonts w:ascii="Times New Roman" w:cs="Times New Roman" w:eastAsia="Times New Roman" w:hAnsi="Times New Roman"/>
          <w:sz w:val="18"/>
          <w:szCs w:val="18"/>
          <w:color w:val="auto"/>
        </w:rPr>
        <w:t xml:space="preserve"> During the Employment Term, Executive shall be entitled to participate in the employee retirement and welfare benefit plans and programs made available to Company's other senior level executives as a group, as such retirement and welfare plans may be in effect from time to time and subject to the eligibility requirements of such plans, including but not limited to, life, health and disability plans, and a 401(k) retirement plan and similar or other plans. During the Employment Term, Executive shall be eligible for Paid Time off and holidays in accordance with the Company's policies. Nothing in this Agreement or otherwise shall prevent Company from amending or terminating after the Effective Date any retirement, welfare or other employee benefit plans, programs, policies or perquisites from time to time as Company deems appropriate, and Executive's participation in any such plan, program, policy and perquisite shall be subject to the terms, provisions, rules and regulations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217170</wp:posOffset>
            </wp:positionV>
            <wp:extent cx="713295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20"/>
          </w:cols>
          <w:pgMar w:left="1440" w:top="578" w:right="339" w:bottom="1440" w:gutter="0" w:footer="0" w:header="0"/>
        </w:sectPr>
      </w:pPr>
    </w:p>
    <w:bookmarkStart w:id="168" w:name="page169"/>
    <w:bookmarkEnd w:id="168"/>
    <w:p>
      <w:pPr>
        <w:jc w:val="both"/>
        <w:ind w:left="1300" w:hanging="330"/>
        <w:spacing w:after="0" w:line="264"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Expenses.</w:t>
      </w:r>
      <w:r>
        <w:rPr>
          <w:rFonts w:ascii="Times New Roman" w:cs="Times New Roman" w:eastAsia="Times New Roman" w:hAnsi="Times New Roman"/>
          <w:sz w:val="18"/>
          <w:szCs w:val="18"/>
          <w:color w:val="auto"/>
        </w:rPr>
        <w:t xml:space="preserve"> During the Employment Term, Company shall reimburse Executive for all reasonable and necessary business expenses that Executive incurs while performing Executive's duties under this Agreement in accordance with Company's general policies of expense reimbursement in effect from time to time.</w:t>
      </w:r>
    </w:p>
    <w:p>
      <w:pPr>
        <w:spacing w:after="0" w:line="176" w:lineRule="exact"/>
        <w:rPr>
          <w:rFonts w:ascii="Times New Roman" w:cs="Times New Roman" w:eastAsia="Times New Roman" w:hAnsi="Times New Roman"/>
          <w:sz w:val="18"/>
          <w:szCs w:val="18"/>
          <w:color w:val="auto"/>
        </w:rPr>
      </w:pPr>
    </w:p>
    <w:p>
      <w:pPr>
        <w:jc w:val="both"/>
        <w:ind w:left="660" w:hanging="322"/>
        <w:spacing w:after="0" w:line="259"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POLICIES AND PROCEDURES.</w:t>
      </w:r>
      <w:r>
        <w:rPr>
          <w:rFonts w:ascii="Times New Roman" w:cs="Times New Roman" w:eastAsia="Times New Roman" w:hAnsi="Times New Roman"/>
          <w:sz w:val="18"/>
          <w:szCs w:val="18"/>
          <w:color w:val="auto"/>
        </w:rPr>
        <w:t xml:space="preserve"> Executive agrees to observe and comply with the reasonable and lawful policies and procedures of Company as adopted by the Board of Directors in writing or reflected in the formal minutes of the Board of Directors or committee thereof, respecting performance of Executive's duties and to carry out and to perform the reasonable and lawful orders and directions stated by Company to Executive, from time to time, either orally or in writing.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TERMINATION.</w:t>
      </w:r>
    </w:p>
    <w:p>
      <w:pPr>
        <w:spacing w:after="0" w:line="223" w:lineRule="exact"/>
        <w:rPr>
          <w:sz w:val="20"/>
          <w:szCs w:val="20"/>
          <w:color w:val="auto"/>
        </w:rPr>
      </w:pPr>
    </w:p>
    <w:p>
      <w:pPr>
        <w:jc w:val="both"/>
        <w:ind w:left="1560" w:hanging="321"/>
        <w:spacing w:after="0" w:line="255" w:lineRule="auto"/>
        <w:tabs>
          <w:tab w:leader="none" w:pos="15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 and Date of Termination.</w:t>
      </w:r>
      <w:r>
        <w:rPr>
          <w:rFonts w:ascii="Times New Roman" w:cs="Times New Roman" w:eastAsia="Times New Roman" w:hAnsi="Times New Roman"/>
          <w:sz w:val="18"/>
          <w:szCs w:val="18"/>
          <w:color w:val="auto"/>
        </w:rPr>
        <w:t xml:space="preserve"> Each Party must give written notice to the other of the intent to terminate this Agreement and Executive's employment hereunder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xml:space="preserve">. The Notice of Termination must specify a date of termination of employment, which shall incorporate any period of notice required by this Section 4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Executive may terminate Executive's employment at any time by giving the Company Notice of Termination at least 30 days prior to the Date of Termination designated by Executive. Company may terminate Executive's employment at any time by giving Executive a Notice of Termination at least 30 days prior to the Date of Termination designated by the Company.</w:t>
      </w:r>
    </w:p>
    <w:p>
      <w:pPr>
        <w:spacing w:after="0" w:line="185" w:lineRule="exact"/>
        <w:rPr>
          <w:rFonts w:ascii="Times New Roman" w:cs="Times New Roman" w:eastAsia="Times New Roman" w:hAnsi="Times New Roman"/>
          <w:sz w:val="18"/>
          <w:szCs w:val="18"/>
          <w:color w:val="auto"/>
        </w:rPr>
      </w:pPr>
    </w:p>
    <w:p>
      <w:pPr>
        <w:jc w:val="both"/>
        <w:ind w:left="1580" w:hanging="328"/>
        <w:spacing w:after="0" w:line="252" w:lineRule="auto"/>
        <w:tabs>
          <w:tab w:leader="none" w:pos="15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Death or Total Disability.</w:t>
      </w:r>
      <w:r>
        <w:rPr>
          <w:rFonts w:ascii="Times New Roman" w:cs="Times New Roman" w:eastAsia="Times New Roman" w:hAnsi="Times New Roman"/>
          <w:sz w:val="18"/>
          <w:szCs w:val="18"/>
          <w:color w:val="auto"/>
        </w:rPr>
        <w:t xml:space="preserve"> Executive's employment under this Agreement shall terminate upon the date of Executive's death. Additionally, if, during the Employment Term, Executive suffers a Total Disability (as defined in Section 4(E)(3)(iii)), then Company may terminate Executive's employment under this Agreement by giving Executive a Notice of Termination specifying the Date of Termination. Upon such termination due to death or Total Disability, Company shall pay to Executive or Executive's estate (i) any Base Salary that has fully accrued but not been paid as of the effective date of such termination, as well as any vested and accrued employment benefits subject to the terms of any applicable employment benefit arrangements and applicable law (" </w:t>
      </w:r>
      <w:r>
        <w:rPr>
          <w:rFonts w:ascii="Times New Roman" w:cs="Times New Roman" w:eastAsia="Times New Roman" w:hAnsi="Times New Roman"/>
          <w:sz w:val="18"/>
          <w:szCs w:val="18"/>
          <w:u w:val="single" w:color="auto"/>
          <w:color w:val="auto"/>
        </w:rPr>
        <w:t>Accrued Benefits")</w:t>
      </w:r>
      <w:r>
        <w:rPr>
          <w:rFonts w:ascii="Times New Roman" w:cs="Times New Roman" w:eastAsia="Times New Roman" w:hAnsi="Times New Roman"/>
          <w:sz w:val="18"/>
          <w:szCs w:val="18"/>
          <w:color w:val="auto"/>
        </w:rPr>
        <w:t xml:space="preserve"> and (ii) a prorated bonus for the year in which Executive's death or Disability occurs, which bonus shall be calculated and paid in the same manner as set forth below in Section 4(E)(l)(b). All other rights and benefits of Executive and Executive's dependents hereunder shall terminate upon such termination, except for any right to the continuation of benefits otherwise provided by law.</w:t>
      </w:r>
    </w:p>
    <w:p>
      <w:pPr>
        <w:spacing w:after="0" w:line="191" w:lineRule="exact"/>
        <w:rPr>
          <w:rFonts w:ascii="Times New Roman" w:cs="Times New Roman" w:eastAsia="Times New Roman" w:hAnsi="Times New Roman"/>
          <w:sz w:val="18"/>
          <w:szCs w:val="18"/>
          <w:color w:val="auto"/>
        </w:rPr>
      </w:pPr>
    </w:p>
    <w:p>
      <w:pPr>
        <w:jc w:val="both"/>
        <w:ind w:left="1580" w:hanging="328"/>
        <w:spacing w:after="0" w:line="256" w:lineRule="auto"/>
        <w:tabs>
          <w:tab w:leader="none" w:pos="15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with Cause.</w:t>
      </w:r>
      <w:r>
        <w:rPr>
          <w:rFonts w:ascii="Times New Roman" w:cs="Times New Roman" w:eastAsia="Times New Roman" w:hAnsi="Times New Roman"/>
          <w:sz w:val="18"/>
          <w:szCs w:val="18"/>
          <w:color w:val="auto"/>
        </w:rPr>
        <w:t xml:space="preserve"> Company may terminate with Cause (as defined in Section 4(E)(3)(i)) Executive's employment hereunder at any time. In order to terminate Executive's employment hereunder with Cause, Company must give Notice of Termination to Executive specifying the Cause and the Date of Termination (as defined in Section 4(A)). Upon termination with Cause, Company shall pay to Executive all Accrued Benefits. All other rights and benefits of Executive hereunder shall terminate upon such termination, except for any right to the continuation of benefits otherwise provided by law.</w:t>
      </w:r>
    </w:p>
    <w:p>
      <w:pPr>
        <w:spacing w:after="0" w:line="185" w:lineRule="exact"/>
        <w:rPr>
          <w:rFonts w:ascii="Times New Roman" w:cs="Times New Roman" w:eastAsia="Times New Roman" w:hAnsi="Times New Roman"/>
          <w:sz w:val="18"/>
          <w:szCs w:val="18"/>
          <w:color w:val="auto"/>
        </w:rPr>
      </w:pPr>
    </w:p>
    <w:p>
      <w:pPr>
        <w:jc w:val="both"/>
        <w:ind w:left="1560" w:hanging="321"/>
        <w:spacing w:after="0" w:line="254" w:lineRule="auto"/>
        <w:tabs>
          <w:tab w:leader="none" w:pos="15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Executive without Good Reason or by Mutual Agreement.</w:t>
      </w:r>
      <w:r>
        <w:rPr>
          <w:rFonts w:ascii="Times New Roman" w:cs="Times New Roman" w:eastAsia="Times New Roman" w:hAnsi="Times New Roman"/>
          <w:sz w:val="18"/>
          <w:szCs w:val="18"/>
          <w:color w:val="auto"/>
        </w:rPr>
        <w:t xml:space="preserve"> Executive may terminate Executive's employment without Good Reason (as defined in Section 4(E)(3)(iv)) at any time by giving Company Notice of Termination at least 30 days prior to the Date of Termination designated by Executive. In addition, this Agreement may be terminated at any time by written mutual agreement of the Parties with or without notice. Upon termination of Executive's employment by Executive without Good Reason or termination by mutual agreement of the parties, Company shall pay to Executive all Accrued Benefits. All other rights and benefits of Executive hereunder shall terminate upon such termination, except for any right to the continuation of benefits otherwise provided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351790</wp:posOffset>
            </wp:positionV>
            <wp:extent cx="713295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20"/>
          </w:cols>
          <w:pgMar w:left="540" w:top="578" w:right="339" w:bottom="1440" w:gutter="0" w:footer="0" w:header="0"/>
        </w:sectPr>
      </w:pPr>
    </w:p>
    <w:bookmarkStart w:id="169" w:name="page170"/>
    <w:bookmarkEnd w:id="169"/>
    <w:p>
      <w:pPr>
        <w:jc w:val="both"/>
        <w:ind w:hanging="160"/>
        <w:spacing w:after="0" w:line="255" w:lineRule="auto"/>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u w:val="single" w:color="auto"/>
          <w:color w:val="auto"/>
        </w:rPr>
        <w:t>Without Cause by Company or For Good Reason by Executive.</w:t>
      </w:r>
      <w:r>
        <w:rPr>
          <w:rFonts w:ascii="Times New Roman" w:cs="Times New Roman" w:eastAsia="Times New Roman" w:hAnsi="Times New Roman"/>
          <w:sz w:val="18"/>
          <w:szCs w:val="18"/>
          <w:color w:val="auto"/>
        </w:rPr>
        <w:t xml:space="preserve"> Company may terminate Executive's employment at any time without Cause by giving Executive a Notice of Termination at least one day prior to the Date of Termination, and Executive may terminate Executive's employment for Good Reason by giving Company a Notice of Termination in accordance with Section 4(A). Upon termination of Executive's employment without Cause by Company or for Good Reason by Executive, Company will pay Executive (1) all Accrued Benefits and (2) the severance compensation payable under Section 4(F)(l) hereof, to the extent applicable. All other rights and benefits of Executive hereunder shall terminate upon such termination, except for any right to the continuation of benefits otherwise provided by law.</w:t>
      </w:r>
    </w:p>
    <w:p>
      <w:pPr>
        <w:spacing w:after="0" w:line="185" w:lineRule="exact"/>
        <w:rPr>
          <w:sz w:val="20"/>
          <w:szCs w:val="20"/>
          <w:color w:val="auto"/>
        </w:rPr>
      </w:pPr>
    </w:p>
    <w:p>
      <w:pPr>
        <w:jc w:val="both"/>
        <w:ind w:left="1340" w:hanging="332"/>
        <w:spacing w:after="0" w:line="264" w:lineRule="auto"/>
        <w:tabs>
          <w:tab w:leader="none" w:pos="1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Company terminates Executive's employment without Cause or Executive terminates his or her employment for Good Reason, and contingent upon the Executive's execution of a release of claims in the form attached hereto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then Company shall pay to Executive as severance compensation, the following)</w:t>
      </w:r>
    </w:p>
    <w:p>
      <w:pPr>
        <w:spacing w:after="0" w:line="176" w:lineRule="exact"/>
        <w:rPr>
          <w:rFonts w:ascii="Times New Roman" w:cs="Times New Roman" w:eastAsia="Times New Roman" w:hAnsi="Times New Roman"/>
          <w:sz w:val="18"/>
          <w:szCs w:val="18"/>
          <w:color w:val="auto"/>
        </w:rPr>
      </w:pPr>
    </w:p>
    <w:p>
      <w:pPr>
        <w:jc w:val="both"/>
        <w:ind w:left="1980" w:hanging="313"/>
        <w:spacing w:after="0" w:line="251" w:lineRule="auto"/>
        <w:tabs>
          <w:tab w:leader="none" w:pos="1980"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Executive's Base Salary (at the rate payable at the time of such termination) for a period of twelve (12) months following the Date of Termination. Such severance compensation shall be paid by Company in equal installments according to Company's customary payroll practices, with the first payment made on the first regularly scheduled pay day immediately following the effective date of termination, but in any event payments shall be made not less frequently than monthly; provided, however, that (a) Company shall pay such severance in a lump sum on the first regularly scheduled pay day immediately following the effective date of termination if such termination of employment occurs upon or within one year following a Sale, and the Sale constitutes a "change in control event" as defined under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to the extent required to comply with Section 409A of the Code; and (b) notwithstanding the preceding clause (a), if the Sale is not a "change in control event" as defined under Section 409A of the Code and penalty taxes may result under Section 409A if such severance compensation is paid in a lump sum, then the severance compensation will be paid in equal installments according to Company's customary payroll practices, with the first payment made on the first regularly scheduled pay day immediately following the effective date of termination, but in any event payments shall be made not less frequently than monthly.</w:t>
      </w:r>
    </w:p>
    <w:p>
      <w:pPr>
        <w:spacing w:after="0" w:line="194" w:lineRule="exact"/>
        <w:rPr>
          <w:rFonts w:ascii="Times New Roman" w:cs="Times New Roman" w:eastAsia="Times New Roman" w:hAnsi="Times New Roman"/>
          <w:sz w:val="18"/>
          <w:szCs w:val="18"/>
          <w:color w:val="auto"/>
        </w:rPr>
      </w:pPr>
    </w:p>
    <w:p>
      <w:pPr>
        <w:jc w:val="both"/>
        <w:ind w:left="1980" w:hanging="327"/>
        <w:spacing w:after="0" w:line="252" w:lineRule="auto"/>
        <w:tabs>
          <w:tab w:leader="none" w:pos="1980"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Executive is entitled to an annual incentive compensation award for the year of termination in which the Date of Termination occurs based upon the determination of the Company in its sole discretion that the Executive has achieved relevant performance goals and Company performance objectives, as established in advance by the Board of Directors or the Compensation Committee, have occurred, Executive shall receive a pro rata Target Annual Bonus award payment for the year in which the Date of Termination occurs (measured at the target level, identified "goal" target or other similar target, without taking into account any incentive override for above goal performance, or any project-specific or other non-standard incentives), which shall be paid on the first regularly scheduled pay day immediately following the Date of Termination. The pro rata amount shall be determined as the Target Annual Bonus in effect for the year in which the Date of Termination occurs, multiplied by a fraction, the numerator of which is the number of days in which Executive was employed by Company during the year in which the Date of Termination occurs, including the Date of Termination, and the denominator of which is 365.</w:t>
      </w:r>
    </w:p>
    <w:p>
      <w:pPr>
        <w:spacing w:after="0" w:line="189" w:lineRule="exact"/>
        <w:rPr>
          <w:rFonts w:ascii="Times New Roman" w:cs="Times New Roman" w:eastAsia="Times New Roman" w:hAnsi="Times New Roman"/>
          <w:sz w:val="18"/>
          <w:szCs w:val="18"/>
          <w:color w:val="auto"/>
        </w:rPr>
      </w:pPr>
    </w:p>
    <w:p>
      <w:pPr>
        <w:jc w:val="both"/>
        <w:ind w:left="1980" w:hanging="313"/>
        <w:spacing w:after="0" w:line="252" w:lineRule="auto"/>
        <w:tabs>
          <w:tab w:leader="none" w:pos="1980"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12 month period following the Date of Termination, if Executive timely elects continued coverage under Section 4980B of the Code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xml:space="preserve"> Company will reimburse Executive for the monthly COBRA cost of continued health coverage under the health plans of Company paid by Executive for Executive, and, if applicable, Executive's spouse and dependents, less the amount that Executive would be required to contribute for health coverage if Executive were an active employee of Company; provided that such reimbursements shall not continue beyond the first to occur of (x) the date on which Executive fails to pay the COBRA cost of continuation coverage under the health plans of Company and (y) the date on which Executive is eligible for substantially similar coverage from a subsequent employer. These reimbursements will commence on the first regularly scheduled pay day immediately following the Date of Termination and will be paid on the first regularly scheduled pay day of each month, provided that Executive demonstrates proof of payment of the applicable premiums prior to the applicable reimbursement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217170</wp:posOffset>
            </wp:positionV>
            <wp:extent cx="713295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400"/>
          </w:cols>
          <w:pgMar w:left="1160" w:top="578" w:right="339" w:bottom="1440" w:gutter="0" w:footer="0" w:header="0"/>
        </w:sectPr>
      </w:pPr>
    </w:p>
    <w:bookmarkStart w:id="170" w:name="page171"/>
    <w:bookmarkEnd w:id="170"/>
    <w:p>
      <w:pPr>
        <w:jc w:val="both"/>
        <w:ind w:left="1700" w:hanging="327"/>
        <w:spacing w:after="0" w:line="259" w:lineRule="auto"/>
        <w:tabs>
          <w:tab w:leader="none" w:pos="170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each outstanding equity award granted to Executive will accelerate so that such awards will be fully vested as of the Date of Termination. If any equity awards vest based on the attainment of performance goals, the performance goals will be deemed to have been met as of the Date of Termination, unless such greater amount of vesting is provided for in the applicable award agreements.</w:t>
      </w:r>
    </w:p>
    <w:p>
      <w:pPr>
        <w:spacing w:after="0" w:line="181" w:lineRule="exact"/>
        <w:rPr>
          <w:rFonts w:ascii="Times New Roman" w:cs="Times New Roman" w:eastAsia="Times New Roman" w:hAnsi="Times New Roman"/>
          <w:sz w:val="18"/>
          <w:szCs w:val="18"/>
          <w:color w:val="auto"/>
        </w:rPr>
      </w:pPr>
    </w:p>
    <w:p>
      <w:pPr>
        <w:jc w:val="both"/>
        <w:ind w:left="1060" w:hanging="332"/>
        <w:spacing w:after="0" w:line="218" w:lineRule="exact"/>
        <w:tabs>
          <w:tab w:leader="none" w:pos="10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severance compensation shall be subject to all mandatory and voluntary payroll deductions. In the event that Executive materially breaches any of his or her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employment covenants or obligations set forth in this Agreement and fails to cure such breach within fifteen (15) calendar days following receipt from Company of notice to cure such breach, then the payment of severance compensation pursuant to this section shall terminate immediately and permanently. During the period that Executive is paid the foregoing severance compensation, Executive shall not further accrue any other benefits under any benefit plans of which Executive was a participant while employed by Company, except as otherwise required by applicable federal or state law, by the express terms of this Agreement, or by the express terms of such benefit plans.</w:t>
      </w:r>
    </w:p>
    <w:p>
      <w:pPr>
        <w:spacing w:after="0" w:line="198" w:lineRule="exact"/>
        <w:rPr>
          <w:rFonts w:ascii="Times New Roman" w:cs="Times New Roman" w:eastAsia="Times New Roman" w:hAnsi="Times New Roman"/>
          <w:sz w:val="18"/>
          <w:szCs w:val="18"/>
          <w:color w:val="auto"/>
        </w:rPr>
      </w:pPr>
    </w:p>
    <w:p>
      <w:pPr>
        <w:ind w:left="1060" w:hanging="332"/>
        <w:spacing w:after="0"/>
        <w:tabs>
          <w:tab w:leader="none" w:pos="10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w:t>
      </w:r>
    </w:p>
    <w:p>
      <w:pPr>
        <w:spacing w:after="0" w:line="222" w:lineRule="exact"/>
        <w:rPr>
          <w:rFonts w:ascii="Times New Roman" w:cs="Times New Roman" w:eastAsia="Times New Roman" w:hAnsi="Times New Roman"/>
          <w:sz w:val="18"/>
          <w:szCs w:val="18"/>
          <w:color w:val="auto"/>
        </w:rPr>
      </w:pPr>
    </w:p>
    <w:p>
      <w:pPr>
        <w:jc w:val="both"/>
        <w:ind w:left="400" w:hanging="317"/>
        <w:spacing w:after="0" w:line="252" w:lineRule="auto"/>
        <w:tabs>
          <w:tab w:leader="none" w:pos="4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Executive's employment will be deemed to have been terminated by Company </w:t>
      </w:r>
      <w:r>
        <w:rPr>
          <w:rFonts w:ascii="Times New Roman" w:cs="Times New Roman" w:eastAsia="Times New Roman" w:hAnsi="Times New Roman"/>
          <w:sz w:val="18"/>
          <w:szCs w:val="18"/>
          <w:u w:val="single" w:color="auto"/>
          <w:color w:val="auto"/>
        </w:rPr>
        <w:t>"with Cause"</w:t>
      </w:r>
      <w:r>
        <w:rPr>
          <w:rFonts w:ascii="Times New Roman" w:cs="Times New Roman" w:eastAsia="Times New Roman" w:hAnsi="Times New Roman"/>
          <w:sz w:val="18"/>
          <w:szCs w:val="18"/>
          <w:color w:val="auto"/>
        </w:rPr>
        <w:t xml:space="preserve"> if the termination arises from or relates to a determination by the Board of Directors that (a) Executive performed an act or acts of willful and material malfeasance or misconduct with respect to the performance of Executive's duties and responsibilities as an employee and officer of Company or under this Agreement that results in material harm to Company that remains uncorrected for fifteen (15) days after receipt of written notice by Company to Executive; or (b) except as otherwise provided in Section l(D), Executive's continued failure to devote his or her full business time and attention and his or her best efforts to the faithful performance of his or her material duties and responsibilities (other than a failure resulting from Executive becoming disabled) that remains uncorrected for fifteen (15) days after receipt of written notice by Company to Executive; or (c) Executive's material breach of any material provision of this Agreement that remains uncorrected for fifteen (15) days after receipt of written notice by Company to Executive; or (d) Executive commits an act of fraud, embezzlement, misappropriation, or personal dishonesty against Company; or (e) the conviction, or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of Executive to a crime constituting a felony; or (f) Executive engaged in discrimination, harassment, or other behaviors that would be reasonably likely to bring the company negative publicity or embarrassment.</w:t>
      </w:r>
    </w:p>
    <w:p>
      <w:pPr>
        <w:spacing w:after="0" w:line="186" w:lineRule="exact"/>
        <w:rPr>
          <w:rFonts w:ascii="Times New Roman" w:cs="Times New Roman" w:eastAsia="Times New Roman" w:hAnsi="Times New Roman"/>
          <w:sz w:val="18"/>
          <w:szCs w:val="18"/>
          <w:color w:val="auto"/>
        </w:rPr>
      </w:pPr>
    </w:p>
    <w:p>
      <w:pPr>
        <w:jc w:val="both"/>
        <w:ind w:left="360" w:hanging="330"/>
        <w:spacing w:after="0" w:line="264" w:lineRule="auto"/>
        <w:tabs>
          <w:tab w:leader="none" w:pos="3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Executive's employment shall be deemed to have been terminated by Company </w:t>
      </w:r>
      <w:r>
        <w:rPr>
          <w:rFonts w:ascii="Times New Roman" w:cs="Times New Roman" w:eastAsia="Times New Roman" w:hAnsi="Times New Roman"/>
          <w:sz w:val="18"/>
          <w:szCs w:val="18"/>
          <w:u w:val="single" w:color="auto"/>
          <w:color w:val="auto"/>
        </w:rPr>
        <w:t>"without Cause"</w:t>
      </w:r>
      <w:r>
        <w:rPr>
          <w:rFonts w:ascii="Times New Roman" w:cs="Times New Roman" w:eastAsia="Times New Roman" w:hAnsi="Times New Roman"/>
          <w:sz w:val="18"/>
          <w:szCs w:val="18"/>
          <w:color w:val="auto"/>
        </w:rPr>
        <w:t xml:space="preserve"> if such termination does not arise from or relate to any of acts or omissions constituting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as set forth in clauses (a) through (f) of the immediately preceding subsection, and such termination is not the result of Executive's death or Executive suffering a Total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209550</wp:posOffset>
            </wp:positionV>
            <wp:extent cx="713295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20"/>
          </w:cols>
          <w:pgMar w:left="1440" w:top="578" w:right="339" w:bottom="1440" w:gutter="0" w:footer="0" w:header="0"/>
        </w:sectPr>
      </w:pPr>
    </w:p>
    <w:bookmarkStart w:id="171" w:name="page172"/>
    <w:bookmarkEnd w:id="171"/>
    <w:p>
      <w:pPr>
        <w:jc w:val="both"/>
        <w:ind w:left="360" w:hanging="330"/>
        <w:spacing w:after="0" w:line="259" w:lineRule="auto"/>
        <w:tabs>
          <w:tab w:leader="none" w:pos="3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shall be deemed to have suffered a </w:t>
      </w:r>
      <w:r>
        <w:rPr>
          <w:rFonts w:ascii="Times New Roman" w:cs="Times New Roman" w:eastAsia="Times New Roman" w:hAnsi="Times New Roman"/>
          <w:sz w:val="18"/>
          <w:szCs w:val="18"/>
          <w:u w:val="single" w:color="auto"/>
          <w:color w:val="auto"/>
        </w:rPr>
        <w:t>"Total Disability"</w:t>
      </w:r>
      <w:r>
        <w:rPr>
          <w:rFonts w:ascii="Times New Roman" w:cs="Times New Roman" w:eastAsia="Times New Roman" w:hAnsi="Times New Roman"/>
          <w:sz w:val="18"/>
          <w:szCs w:val="18"/>
          <w:color w:val="auto"/>
        </w:rPr>
        <w:t xml:space="preserve"> if (a) Executive is granted long-term disability benefits or (b) Executive becomes physically or mentally disabled so that Executive is unable to perform the essential functions of Executive's job, with or without reasonable accommodation in accordance with the Americans with Disabilities Act and its amendments, for a period of one hundred eighty (180) consecutive days.</w:t>
      </w:r>
    </w:p>
    <w:p>
      <w:pPr>
        <w:spacing w:after="0" w:line="181" w:lineRule="exact"/>
        <w:rPr>
          <w:rFonts w:ascii="Times New Roman" w:cs="Times New Roman" w:eastAsia="Times New Roman" w:hAnsi="Times New Roman"/>
          <w:sz w:val="18"/>
          <w:szCs w:val="18"/>
          <w:color w:val="auto"/>
        </w:rPr>
      </w:pPr>
    </w:p>
    <w:p>
      <w:pPr>
        <w:ind w:left="360" w:hanging="330"/>
        <w:spacing w:after="0" w:line="280" w:lineRule="auto"/>
        <w:tabs>
          <w:tab w:leader="none" w:pos="3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shall be deemed to have terminated his or her employment for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if Executive terminates his or her employment on account of the occurrence of one or more of the following without Executive's consent:</w:t>
      </w:r>
    </w:p>
    <w:p>
      <w:pPr>
        <w:spacing w:after="0" w:line="161" w:lineRule="exact"/>
        <w:rPr>
          <w:rFonts w:ascii="Times New Roman" w:cs="Times New Roman" w:eastAsia="Times New Roman" w:hAnsi="Times New Roman"/>
          <w:sz w:val="18"/>
          <w:szCs w:val="18"/>
          <w:color w:val="auto"/>
        </w:rPr>
      </w:pPr>
    </w:p>
    <w:p>
      <w:pPr>
        <w:jc w:val="both"/>
        <w:ind w:left="1140" w:hanging="318"/>
        <w:spacing w:after="0" w:line="260" w:lineRule="auto"/>
        <w:tabs>
          <w:tab w:leader="none" w:pos="1140" w:val="left"/>
        </w:tabs>
        <w:numPr>
          <w:ilvl w:val="3"/>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by Company of Executive's authority, duties or responsibilities the duration of which is greater than fifteen (15) days and which is not the result of Executive's acts or omissions which constitute "Cause" as set forth in clauses</w:t>
      </w: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through (f) of subsection 4(E)(3)(i);</w:t>
      </w:r>
    </w:p>
    <w:p>
      <w:pPr>
        <w:spacing w:after="0" w:line="204" w:lineRule="exact"/>
        <w:rPr>
          <w:rFonts w:ascii="Times New Roman" w:cs="Times New Roman" w:eastAsia="Times New Roman" w:hAnsi="Times New Roman"/>
          <w:sz w:val="18"/>
          <w:szCs w:val="18"/>
          <w:color w:val="auto"/>
        </w:rPr>
      </w:pPr>
    </w:p>
    <w:p>
      <w:pPr>
        <w:jc w:val="both"/>
        <w:ind w:left="1140" w:hanging="318"/>
        <w:spacing w:after="0" w:line="264" w:lineRule="auto"/>
        <w:tabs>
          <w:tab w:leader="none" w:pos="1140" w:val="left"/>
        </w:tabs>
        <w:numPr>
          <w:ilvl w:val="3"/>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geographic location at which Executive must perform services under this Agreement (which, for purposes of this Agreement, means the requirement that Executive work from at a location more than fifty (50) miles from the location at which Executive performs services immediately prior to the relocation);</w:t>
      </w:r>
    </w:p>
    <w:p>
      <w:pPr>
        <w:spacing w:after="0" w:line="176" w:lineRule="exact"/>
        <w:rPr>
          <w:rFonts w:ascii="Times New Roman" w:cs="Times New Roman" w:eastAsia="Times New Roman" w:hAnsi="Times New Roman"/>
          <w:sz w:val="18"/>
          <w:szCs w:val="18"/>
          <w:color w:val="auto"/>
        </w:rPr>
      </w:pPr>
    </w:p>
    <w:p>
      <w:pPr>
        <w:ind w:left="1140" w:hanging="318"/>
        <w:spacing w:after="0" w:line="280" w:lineRule="auto"/>
        <w:tabs>
          <w:tab w:leader="none" w:pos="1140" w:val="left"/>
        </w:tabs>
        <w:numPr>
          <w:ilvl w:val="3"/>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Executive's Base Salary which is not the result of Executive's acts or omissions which constitute "Cause" as set forth in clauses (a) through (f) of subsection 4(E)(3)(i); or</w:t>
      </w:r>
    </w:p>
    <w:p>
      <w:pPr>
        <w:spacing w:after="0" w:line="161" w:lineRule="exact"/>
        <w:rPr>
          <w:rFonts w:ascii="Times New Roman" w:cs="Times New Roman" w:eastAsia="Times New Roman" w:hAnsi="Times New Roman"/>
          <w:sz w:val="18"/>
          <w:szCs w:val="18"/>
          <w:color w:val="auto"/>
        </w:rPr>
      </w:pPr>
    </w:p>
    <w:p>
      <w:pPr>
        <w:jc w:val="both"/>
        <w:ind w:left="1140" w:hanging="318"/>
        <w:spacing w:after="0" w:line="264" w:lineRule="auto"/>
        <w:tabs>
          <w:tab w:leader="none" w:pos="1140" w:val="left"/>
        </w:tabs>
        <w:numPr>
          <w:ilvl w:val="3"/>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inaction that constitutes a material breach by Company of this Agreement, including the failure of Company to pay any amounts due under Section 2 or the failure of Company to obtain from its successors the express assumption and agreement required under Section 16(A).</w:t>
      </w:r>
    </w:p>
    <w:p>
      <w:pPr>
        <w:spacing w:after="0" w:line="176" w:lineRule="exact"/>
        <w:rPr>
          <w:rFonts w:ascii="Times New Roman" w:cs="Times New Roman" w:eastAsia="Times New Roman" w:hAnsi="Times New Roman"/>
          <w:sz w:val="18"/>
          <w:szCs w:val="18"/>
          <w:color w:val="auto"/>
        </w:rPr>
      </w:pPr>
    </w:p>
    <w:p>
      <w:pPr>
        <w:jc w:val="both"/>
        <w:ind w:left="11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must provide Notice of Termination (as defined below) for Good Reason to Company within sixty (60) days after the event constituting Good Reason. Company shall have a period of thirty (30) days in which it may correct the act or failure to act that constitutes the grounds for Good Reason as set forth in Executive's Notice of Termination. If Company does not correct the act or failure to act, then, in order for the termination to be considered a Good Reason termination, Executive must terminate his or her employment for Good Reason by giving Notice of Termination with a Date of Termination designated by Executive which is at least thirty (30) days after the date on which the Notice of Termination is given but not more than ninety (90) days after the end of the cure period.</w:t>
      </w:r>
    </w:p>
    <w:p>
      <w:pPr>
        <w:spacing w:after="0" w:line="186" w:lineRule="exact"/>
        <w:rPr>
          <w:rFonts w:ascii="Times New Roman" w:cs="Times New Roman" w:eastAsia="Times New Roman" w:hAnsi="Times New Roman"/>
          <w:sz w:val="18"/>
          <w:szCs w:val="18"/>
          <w:color w:val="auto"/>
        </w:rPr>
      </w:pPr>
    </w:p>
    <w:p>
      <w:pPr>
        <w:jc w:val="both"/>
        <w:ind w:left="1060" w:hanging="332"/>
        <w:spacing w:after="0" w:line="259" w:lineRule="auto"/>
        <w:tabs>
          <w:tab w:leader="none" w:pos="1060"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Company terminates Executive's employment with Cause, Executive voluntarily terminates his or her employment with Company other than for Good Reason, or such employment is terminated by mutual agreement or as the result of Executive's death or Total Disability, Executive shall not be entitled to payment of any severance compensation under this Agreement.</w:t>
      </w:r>
    </w:p>
    <w:p>
      <w:pPr>
        <w:spacing w:after="0" w:line="181" w:lineRule="exact"/>
        <w:rPr>
          <w:rFonts w:ascii="Times New Roman" w:cs="Times New Roman" w:eastAsia="Times New Roman" w:hAnsi="Times New Roman"/>
          <w:sz w:val="18"/>
          <w:szCs w:val="18"/>
          <w:color w:val="auto"/>
        </w:rPr>
      </w:pPr>
    </w:p>
    <w:p>
      <w:pPr>
        <w:jc w:val="both"/>
        <w:ind w:left="400" w:hanging="317"/>
        <w:spacing w:after="0" w:line="253" w:lineRule="auto"/>
        <w:tabs>
          <w:tab w:leader="none" w:pos="4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after Notice of Termination.</w:t>
      </w:r>
      <w:r>
        <w:rPr>
          <w:rFonts w:ascii="Times New Roman" w:cs="Times New Roman" w:eastAsia="Times New Roman" w:hAnsi="Times New Roman"/>
          <w:sz w:val="18"/>
          <w:szCs w:val="18"/>
          <w:color w:val="auto"/>
        </w:rPr>
        <w:t xml:space="preserve"> Following any Notice of Termination by either Company or Executive, Executive, if requested by Company, shall reasonably cooperate with Company in all matters relating to the winding up of Executive's pending work on behalf of Company and the orderly transfer of any such pending work to other employees of Company as may be reasonably designated by Company following the Notice of Termination. Executive shall not receive any additional compensation during the Employment Term, other than Executive's Base Salary, for any services that Executive renders as provided in this Section 4(F), provided that, if Executive is not receiving any severance compensation pursuant to this Section 4, for each day that Executive performs services under this Section 4(F) after the Employment Term, Executive shall be reimbursed for his or her reasonable out-of-pocket expenses and Company shall pay Executive a per diem cash amount equal to 130% of Executive's Base Salary rate on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215265</wp:posOffset>
            </wp:positionV>
            <wp:extent cx="713295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20"/>
          </w:cols>
          <w:pgMar w:left="1440" w:top="578" w:right="339" w:bottom="1440" w:gutter="0" w:footer="0" w:header="0"/>
        </w:sectPr>
      </w:pPr>
    </w:p>
    <w:bookmarkStart w:id="172" w:name="page173"/>
    <w:bookmarkEnd w:id="172"/>
    <w:p>
      <w:pPr>
        <w:jc w:val="both"/>
        <w:ind w:left="613" w:hanging="317"/>
        <w:spacing w:after="0" w:line="217" w:lineRule="exact"/>
        <w:tabs>
          <w:tab w:leader="none" w:pos="61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Surrender of Records and Property.</w:t>
      </w:r>
      <w:r>
        <w:rPr>
          <w:rFonts w:ascii="Times New Roman" w:cs="Times New Roman" w:eastAsia="Times New Roman" w:hAnsi="Times New Roman"/>
          <w:sz w:val="18"/>
          <w:szCs w:val="18"/>
          <w:color w:val="auto"/>
        </w:rPr>
        <w:t xml:space="preserve"> Upon termination of employment, Executive shall promptly tum-over or deliver to Company at Company's expense all property of Company in Executive's possession, custody, or control, including without limitation thereto: records (paper and electronic), files (paper and electronic), documents (paper and electronic), electronic mail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mail) on Company accounts, letters, financial information, memorandum, notes, notebooks, contracts, project manuals, specifications, reports, data, tables, calculations, data, electronic information, and computer disks, in all cases whether or not such property constitutes Confidential Information (as defined below), and all copies thereof; all keys to motor vehicles, offices or other property of Company; and all computers, cellular phones and other property of Company. If any of the foregoing property of Company is electronically stored on a computer or other storage medium owned by Executive or a friend, family member or agent of Executive, such information shall be copied onto a computer disk to be delivered to Company together with a written statement of Executive that the information has been deleted from such person's computer or other storage medium.</w:t>
      </w:r>
    </w:p>
    <w:p>
      <w:pPr>
        <w:spacing w:after="0" w:line="196" w:lineRule="exact"/>
        <w:rPr>
          <w:rFonts w:ascii="Times New Roman" w:cs="Times New Roman" w:eastAsia="Times New Roman" w:hAnsi="Times New Roman"/>
          <w:sz w:val="18"/>
          <w:szCs w:val="18"/>
          <w:color w:val="auto"/>
        </w:rPr>
      </w:pPr>
    </w:p>
    <w:p>
      <w:pPr>
        <w:ind w:left="333" w:hanging="333"/>
        <w:spacing w:after="0"/>
        <w:tabs>
          <w:tab w:leader="none" w:pos="33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SECTION </w:t>
      </w:r>
      <w:r>
        <w:rPr>
          <w:rFonts w:ascii="Times New Roman" w:cs="Times New Roman" w:eastAsia="Times New Roman" w:hAnsi="Times New Roman"/>
          <w:sz w:val="18"/>
          <w:szCs w:val="18"/>
          <w:b w:val="1"/>
          <w:bCs w:val="1"/>
          <w:u w:val="single" w:color="auto"/>
          <w:color w:val="auto"/>
        </w:rPr>
        <w:t>280G</w:t>
      </w:r>
      <w:r>
        <w:rPr>
          <w:rFonts w:ascii="Times New Roman" w:cs="Times New Roman" w:eastAsia="Times New Roman" w:hAnsi="Times New Roman"/>
          <w:sz w:val="18"/>
          <w:szCs w:val="18"/>
          <w:u w:val="single" w:color="auto"/>
          <w:color w:val="auto"/>
        </w:rPr>
        <w:t xml:space="preserve"> OF TIIE CODE.</w:t>
      </w:r>
    </w:p>
    <w:p>
      <w:pPr>
        <w:spacing w:after="0" w:line="226" w:lineRule="exact"/>
        <w:rPr>
          <w:rFonts w:ascii="Times New Roman" w:cs="Times New Roman" w:eastAsia="Times New Roman" w:hAnsi="Times New Roman"/>
          <w:sz w:val="18"/>
          <w:szCs w:val="18"/>
          <w:color w:val="auto"/>
        </w:rPr>
      </w:pPr>
    </w:p>
    <w:p>
      <w:pPr>
        <w:ind w:left="933" w:hanging="328"/>
        <w:spacing w:after="0"/>
        <w:tabs>
          <w:tab w:leader="none" w:pos="933"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shall have the meanings set forth below for purposes of this Section 5:</w:t>
      </w:r>
    </w:p>
    <w:p>
      <w:pPr>
        <w:spacing w:after="0" w:line="222" w:lineRule="exact"/>
        <w:rPr>
          <w:rFonts w:ascii="Times New Roman" w:cs="Times New Roman" w:eastAsia="Times New Roman" w:hAnsi="Times New Roman"/>
          <w:sz w:val="18"/>
          <w:szCs w:val="18"/>
          <w:color w:val="auto"/>
        </w:rPr>
      </w:pPr>
    </w:p>
    <w:p>
      <w:pPr>
        <w:ind w:left="1613" w:hanging="323"/>
        <w:spacing w:after="0"/>
        <w:tabs>
          <w:tab w:leader="none" w:pos="1613" w:val="left"/>
        </w:tabs>
        <w:numPr>
          <w:ilvl w:val="3"/>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xml:space="preserve"> means a certified public accounting firm chosen by the Company.</w:t>
      </w:r>
    </w:p>
    <w:p>
      <w:pPr>
        <w:spacing w:after="0" w:line="222" w:lineRule="exact"/>
        <w:rPr>
          <w:rFonts w:ascii="Times New Roman" w:cs="Times New Roman" w:eastAsia="Times New Roman" w:hAnsi="Times New Roman"/>
          <w:sz w:val="18"/>
          <w:szCs w:val="18"/>
          <w:color w:val="auto"/>
        </w:rPr>
      </w:pPr>
    </w:p>
    <w:p>
      <w:pPr>
        <w:ind w:left="1613" w:hanging="323"/>
        <w:spacing w:after="0"/>
        <w:tabs>
          <w:tab w:leader="none" w:pos="1613" w:val="left"/>
        </w:tabs>
        <w:numPr>
          <w:ilvl w:val="3"/>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"After-Tax"</w:t>
      </w:r>
      <w:r>
        <w:rPr>
          <w:rFonts w:ascii="Times New Roman" w:cs="Times New Roman" w:eastAsia="Times New Roman" w:hAnsi="Times New Roman"/>
          <w:sz w:val="18"/>
          <w:szCs w:val="18"/>
          <w:color w:val="auto"/>
        </w:rPr>
        <w:t xml:space="preserve"> means after taking into account all applicable Taxes and Excise Tax.</w:t>
      </w:r>
    </w:p>
    <w:p>
      <w:pPr>
        <w:spacing w:after="0" w:line="222" w:lineRule="exact"/>
        <w:rPr>
          <w:rFonts w:ascii="Times New Roman" w:cs="Times New Roman" w:eastAsia="Times New Roman" w:hAnsi="Times New Roman"/>
          <w:sz w:val="18"/>
          <w:szCs w:val="18"/>
          <w:color w:val="auto"/>
        </w:rPr>
      </w:pPr>
    </w:p>
    <w:p>
      <w:pPr>
        <w:ind w:left="1613" w:hanging="323"/>
        <w:spacing w:after="0" w:line="280" w:lineRule="auto"/>
        <w:tabs>
          <w:tab w:leader="none" w:pos="1613" w:val="left"/>
        </w:tabs>
        <w:numPr>
          <w:ilvl w:val="3"/>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xml:space="preserve"> means the excise tax imposed by Section 4999 of the Code, together with any interest or penalties imposed with respect to such excise tax.</w:t>
      </w:r>
    </w:p>
    <w:p>
      <w:pPr>
        <w:spacing w:after="0" w:line="161" w:lineRule="exact"/>
        <w:rPr>
          <w:rFonts w:ascii="Times New Roman" w:cs="Times New Roman" w:eastAsia="Times New Roman" w:hAnsi="Times New Roman"/>
          <w:sz w:val="18"/>
          <w:szCs w:val="18"/>
          <w:color w:val="auto"/>
        </w:rPr>
      </w:pPr>
    </w:p>
    <w:p>
      <w:pPr>
        <w:ind w:left="1613" w:hanging="323"/>
        <w:spacing w:after="0" w:line="280" w:lineRule="auto"/>
        <w:tabs>
          <w:tab w:leader="none" w:pos="1613" w:val="left"/>
        </w:tabs>
        <w:numPr>
          <w:ilvl w:val="3"/>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"Safe Harbor Amount"</w:t>
      </w:r>
      <w:r>
        <w:rPr>
          <w:rFonts w:ascii="Times New Roman" w:cs="Times New Roman" w:eastAsia="Times New Roman" w:hAnsi="Times New Roman"/>
          <w:sz w:val="18"/>
          <w:szCs w:val="18"/>
          <w:color w:val="auto"/>
        </w:rPr>
        <w:t xml:space="preserve"> means 2.99 times Executive's "base amount," within the meaning of Section 280G(b)(3) of the Code.</w:t>
      </w:r>
    </w:p>
    <w:p>
      <w:pPr>
        <w:spacing w:after="0" w:line="161" w:lineRule="exact"/>
        <w:rPr>
          <w:rFonts w:ascii="Times New Roman" w:cs="Times New Roman" w:eastAsia="Times New Roman" w:hAnsi="Times New Roman"/>
          <w:sz w:val="18"/>
          <w:szCs w:val="18"/>
          <w:color w:val="auto"/>
        </w:rPr>
      </w:pPr>
    </w:p>
    <w:p>
      <w:pPr>
        <w:ind w:left="1613" w:hanging="323"/>
        <w:spacing w:after="0" w:line="280" w:lineRule="auto"/>
        <w:tabs>
          <w:tab w:leader="none" w:pos="1613" w:val="left"/>
        </w:tabs>
        <w:numPr>
          <w:ilvl w:val="3"/>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means all federal, state, local and foreign income, excise, social security and other taxes, other than the Excise Tax, and any associated interest and penalties.</w:t>
      </w:r>
    </w:p>
    <w:p>
      <w:pPr>
        <w:spacing w:after="0" w:line="161" w:lineRule="exact"/>
        <w:rPr>
          <w:rFonts w:ascii="Times New Roman" w:cs="Times New Roman" w:eastAsia="Times New Roman" w:hAnsi="Times New Roman"/>
          <w:sz w:val="18"/>
          <w:szCs w:val="18"/>
          <w:color w:val="auto"/>
        </w:rPr>
      </w:pPr>
    </w:p>
    <w:p>
      <w:pPr>
        <w:jc w:val="both"/>
        <w:ind w:left="933" w:hanging="314"/>
        <w:spacing w:after="0" w:line="255" w:lineRule="auto"/>
        <w:tabs>
          <w:tab w:leader="none" w:pos="933"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individually or in the aggregate, due to Executive under this Agreement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is subject to the Excise Tax, then such Payment shall be adjusted, if necessary, to equal the greater of (x) the Safe Harbor Amount or (y) the Payment, whichever results in such Executive's receipt, After-Tax, of the greatest amount of the Payment. The reduction of Executive's Payments pursuant to this Section 5.B., if applicable, shall be made by first reducing the acceleration of Executive's stock option vesting (if any), the acceleration of the vesting of Executive's other equity securities (if any), and then by reducing any cash payments owed to the Executive, in that order.</w:t>
      </w:r>
    </w:p>
    <w:p>
      <w:pPr>
        <w:spacing w:after="0" w:line="185" w:lineRule="exact"/>
        <w:rPr>
          <w:rFonts w:ascii="Times New Roman" w:cs="Times New Roman" w:eastAsia="Times New Roman" w:hAnsi="Times New Roman"/>
          <w:sz w:val="18"/>
          <w:szCs w:val="18"/>
          <w:color w:val="auto"/>
        </w:rPr>
      </w:pPr>
    </w:p>
    <w:p>
      <w:pPr>
        <w:jc w:val="both"/>
        <w:ind w:left="933"/>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required to be made under this Section 5, including whether and in what manner any Payments are to be reduced pursuant to the second sentence of Section 5.B., and the assumptions to be utilized in arriving at such determinations, shall be made by the Accounting Firm, and shall be binding upon the Company and Executive, except to the extent the Internal Revenue Service or a court of competent jurisdiction makes an inconsistent final and binding determination. The Accounting Firm shall provide detailed supporting calculations both to the Company and Executive within fifteen (15) business days after receiving notice from Executive that there has been a Payment or such earlier time as may be requested by the Company. All fees and expenses of the Accounting Firm shall be borne solely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488315</wp:posOffset>
            </wp:positionV>
            <wp:extent cx="713295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373"/>
          </w:cols>
          <w:pgMar w:left="1187" w:top="578" w:right="339" w:bottom="1440" w:gutter="0" w:footer="0" w:header="0"/>
        </w:sectPr>
      </w:pPr>
    </w:p>
    <w:bookmarkStart w:id="173" w:name="page174"/>
    <w:bookmarkEnd w:id="173"/>
    <w:p>
      <w:pPr>
        <w:ind w:left="333" w:hanging="333"/>
        <w:spacing w:after="0"/>
        <w:tabs>
          <w:tab w:leader="none" w:pos="33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p>
    <w:p>
      <w:pPr>
        <w:spacing w:after="0" w:line="222" w:lineRule="exact"/>
        <w:rPr>
          <w:rFonts w:ascii="Times New Roman" w:cs="Times New Roman" w:eastAsia="Times New Roman" w:hAnsi="Times New Roman"/>
          <w:sz w:val="18"/>
          <w:szCs w:val="18"/>
          <w:color w:val="auto"/>
        </w:rPr>
      </w:pPr>
    </w:p>
    <w:p>
      <w:pPr>
        <w:jc w:val="both"/>
        <w:ind w:left="613" w:hanging="317"/>
        <w:spacing w:after="0" w:line="259" w:lineRule="auto"/>
        <w:tabs>
          <w:tab w:leader="none" w:pos="613"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 Product.</w:t>
      </w:r>
      <w:r>
        <w:rPr>
          <w:rFonts w:ascii="Times New Roman" w:cs="Times New Roman" w:eastAsia="Times New Roman" w:hAnsi="Times New Roman"/>
          <w:sz w:val="18"/>
          <w:szCs w:val="18"/>
          <w:color w:val="auto"/>
        </w:rPr>
        <w:t xml:space="preserve"> During the Employment Term, Executive will be expected to perform duties which may lead to and include the discovery, creation, development, or expression of inventions, discoveries, developments, modifications, procedures, ideas, innovations, systems, programs, know-how, literary properties, chemical or biological data, computer software, improvements, processes, methods, formulas, systems, creative works and techniques (collectively, hereinafter </w:t>
      </w:r>
      <w:r>
        <w:rPr>
          <w:rFonts w:ascii="Times New Roman" w:cs="Times New Roman" w:eastAsia="Times New Roman" w:hAnsi="Times New Roman"/>
          <w:sz w:val="18"/>
          <w:szCs w:val="18"/>
          <w:u w:val="single" w:color="auto"/>
          <w:color w:val="auto"/>
        </w:rPr>
        <w:t>"Work Product").</w:t>
      </w:r>
    </w:p>
    <w:p>
      <w:pPr>
        <w:spacing w:after="0" w:line="181" w:lineRule="exact"/>
        <w:rPr>
          <w:rFonts w:ascii="Times New Roman" w:cs="Times New Roman" w:eastAsia="Times New Roman" w:hAnsi="Times New Roman"/>
          <w:sz w:val="18"/>
          <w:szCs w:val="18"/>
          <w:color w:val="auto"/>
        </w:rPr>
      </w:pPr>
    </w:p>
    <w:p>
      <w:pPr>
        <w:jc w:val="both"/>
        <w:ind w:left="653" w:hanging="330"/>
        <w:spacing w:after="0" w:line="255" w:lineRule="auto"/>
        <w:tabs>
          <w:tab w:leader="none" w:pos="653"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Executive hereby assigns and transfers to Company, and agrees that Company shall be the sole owner of all Work Product conceived, developed or made by Executive (alone or with others), whether during working hours or at any other time, in whole or in part during Executive's employment with Company (including prior to, during and after the Employment Term), whether at the request or upon the suggestion of Company or otherwise, which are useful in, or directly or indirectly related to Company's business or any contemplated business of Company or which relate to, or are conceived, developed, or made in the course of, Executive's employment or which are developed or made from, or by reason of knowledge gained from, such employment.</w:t>
      </w:r>
    </w:p>
    <w:p>
      <w:pPr>
        <w:spacing w:after="0" w:line="185" w:lineRule="exact"/>
        <w:rPr>
          <w:rFonts w:ascii="Times New Roman" w:cs="Times New Roman" w:eastAsia="Times New Roman" w:hAnsi="Times New Roman"/>
          <w:sz w:val="18"/>
          <w:szCs w:val="18"/>
          <w:color w:val="auto"/>
        </w:rPr>
      </w:pPr>
    </w:p>
    <w:p>
      <w:pPr>
        <w:jc w:val="both"/>
        <w:ind w:left="653" w:hanging="330"/>
        <w:spacing w:after="0" w:line="259" w:lineRule="auto"/>
        <w:tabs>
          <w:tab w:leader="none" w:pos="653"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 for Hire.</w:t>
      </w:r>
      <w:r>
        <w:rPr>
          <w:rFonts w:ascii="Times New Roman" w:cs="Times New Roman" w:eastAsia="Times New Roman" w:hAnsi="Times New Roman"/>
          <w:sz w:val="18"/>
          <w:szCs w:val="18"/>
          <w:color w:val="auto"/>
        </w:rPr>
        <w:t xml:space="preserve"> Executive hereby agrees that all work or other material containing or reflecting any Work Product shall be deemed a work made for hire under the U.S. Copyright Act. To the extent any such Work Product is determined that it is not a work made for hire, Executive hereby assigns to Company all of Executive's right, title and interest, including all rights of copyright, patent, trade secret and other intellectual property rights, in, to and under the Work Product.</w:t>
      </w:r>
    </w:p>
    <w:p>
      <w:pPr>
        <w:spacing w:after="0" w:line="181" w:lineRule="exact"/>
        <w:rPr>
          <w:sz w:val="20"/>
          <w:szCs w:val="20"/>
          <w:color w:val="auto"/>
        </w:rPr>
      </w:pPr>
    </w:p>
    <w:p>
      <w:pPr>
        <w:jc w:val="both"/>
        <w:ind w:left="613" w:hanging="317"/>
        <w:spacing w:after="0" w:line="251" w:lineRule="auto"/>
        <w:tabs>
          <w:tab w:leader="none" w:pos="61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 xml:space="preserve"> Executive agrees to disclose promptly all Work Product conceived or made by Executive (alone or with others) to which Company is entitled to as provided herein, and agrees not to disclose such Work Product to others except as required by law or as is reasonably necessary or appropriate in connection with the performance of Executive's duties as an employee and officer of Company, without the express written consent of Company. Executive further agrees that during the Employment Term and at any time thereafter, Executive will, upon request by Company, provide all assistance reasonably required to protect, perfect and use the Work Product, including execution of proper assignments to Company of any and all such Work Product to which Company is entitled, execution of all papers and performance all other lawful acts which Company may deem necessary or advisable for the preparation, prosecution, procurement and maintenance of trademarks, copyrights and or patent applications, and execution of any and all proper documents as shall be required or necessary to vest title in Company to such Work Product. It is understood that all expenses in connection with such trademarks, copyrights or patents, and all applications related thereto, shall be borne by Company, however Company is under no obligation to protect such Work Product, except at its own discretion and to such extent as Company shall deem desirable. Executive shall not receive any additional compensation during the Employment Term, other than Executive's Base Salary, for any services that Executive renders as herein provided. For each day that Executive performs services under this Section 6(0) after the Employment Term, Executive shall be reimbursed for his or her reasonable out-of-pocket expenses and Company shall pay Executive a per diem cash amount equal to 130% of Executive's Base Salary rate on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219075</wp:posOffset>
            </wp:positionV>
            <wp:extent cx="713295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373"/>
          </w:cols>
          <w:pgMar w:left="1187" w:top="578" w:right="339" w:bottom="1440" w:gutter="0" w:footer="0" w:header="0"/>
        </w:sectPr>
      </w:pPr>
    </w:p>
    <w:bookmarkStart w:id="174" w:name="page175"/>
    <w:bookmarkEnd w:id="174"/>
    <w:p>
      <w:pPr>
        <w:ind w:left="333" w:hanging="333"/>
        <w:spacing w:after="0"/>
        <w:tabs>
          <w:tab w:leader="none" w:pos="33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p>
    <w:p>
      <w:pPr>
        <w:spacing w:after="0" w:line="222" w:lineRule="exact"/>
        <w:rPr>
          <w:rFonts w:ascii="Times New Roman" w:cs="Times New Roman" w:eastAsia="Times New Roman" w:hAnsi="Times New Roman"/>
          <w:sz w:val="18"/>
          <w:szCs w:val="18"/>
          <w:color w:val="auto"/>
        </w:rPr>
      </w:pPr>
    </w:p>
    <w:p>
      <w:pPr>
        <w:jc w:val="both"/>
        <w:ind w:left="613" w:hanging="317"/>
        <w:spacing w:after="0" w:line="250" w:lineRule="auto"/>
        <w:tabs>
          <w:tab w:leader="none" w:pos="613"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The term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means all information related to Company's business, which exists or is developed at any time while Executive is an employee, officer and/or director of Company (including prior to, during and after the Employment Term), including without limitation: (i) strategic and development plans, financial information, equity investors, business plans, co-developer identities, business relationships, business records, project records, market reports, information relating to processes and techniques, technology, research, data, development, trade secrets, know-how, discoveries, ideas, concepts, specifications, diagrams, inventions, technical and statistical data, designs, drawings, models, flow charts, engineering, products, invention disclosures, patent applications, chemical and molecular structures, synthetic pathways, biological data, safety data, clinical data, developmental data, development route, manufacturing processes, synthetic techniques, analytical data, Work Product, and any and all other proprietary and sensitive information, disclosed or learned, whether oral, written, graphic or machine-readable, whether or not marked confidential or proprietary, whether or not patentable, whether or not copyrightable, including the manner and results in which any such Confidential Information may be combined with other information or synthesized or used by Company, which could prove beneficial in enabling a competitor to compete with Company; or (ii) information that satisfies the definition of a "trade secret" as that term is defined in the Uniform Trade Secrets Act, as amended from time to time; provided, however, that information that is in the public domain (other than as a result of a breach by Executive of this Section 7), approved for release by Company, or lawfully obtained from a third party who is not known by Executive (after Executive's reasonable inquiry) to be bound by a confidentiality agreement with Company is not Confidential Information. The Executive understands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203" w:lineRule="exact"/>
        <w:rPr>
          <w:rFonts w:ascii="Times New Roman" w:cs="Times New Roman" w:eastAsia="Times New Roman" w:hAnsi="Times New Roman"/>
          <w:sz w:val="18"/>
          <w:szCs w:val="18"/>
          <w:color w:val="auto"/>
        </w:rPr>
      </w:pPr>
    </w:p>
    <w:p>
      <w:pPr>
        <w:jc w:val="both"/>
        <w:ind w:left="653" w:hanging="330"/>
        <w:spacing w:after="0" w:line="256" w:lineRule="auto"/>
        <w:tabs>
          <w:tab w:leader="none" w:pos="653"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 xml:space="preserve"> Executive acknowledges and agrees that: (1) Executive's position with Company is one of high trust and confidence, (2) the Confidential Information constitutes a valuable, special and unique asset which Company uses to obtain a competitive advantage over its competitors, (3) Executive's protection of such Confidential Information against unauthorized use or disclosure is critically important to Company in maintaining its competitive advantage, (4) all Confidential Information is the property of Company, and (5) Executive shall acquire no right, title or interest in, to or under any such Confidential Information.</w:t>
      </w:r>
    </w:p>
    <w:p>
      <w:pPr>
        <w:spacing w:after="0" w:line="185" w:lineRule="exact"/>
        <w:rPr>
          <w:rFonts w:ascii="Times New Roman" w:cs="Times New Roman" w:eastAsia="Times New Roman" w:hAnsi="Times New Roman"/>
          <w:sz w:val="18"/>
          <w:szCs w:val="18"/>
          <w:color w:val="auto"/>
        </w:rPr>
      </w:pPr>
    </w:p>
    <w:p>
      <w:pPr>
        <w:jc w:val="both"/>
        <w:ind w:left="653" w:hanging="330"/>
        <w:spacing w:after="0" w:line="251" w:lineRule="auto"/>
        <w:tabs>
          <w:tab w:leader="none" w:pos="653"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 xml:space="preserve"> Executive promises that, unless legally compelled to do so, Executive will never (before, during or after the Employment Term): (1) disclose any Confidential Information to any person other than (i) an officer or director of Company; or (ii) any other person who is bound by nondisclosure restrictive covenants to Company and to whom disclosure of such Confidential Information is reasonably necessary or appropriate in connection with performance by Executive of Executive's duties as an employee and officer of Company; or (2) use any Confidential Information except to the extent it is reasonably necessary or appropriate in connection with performance by Executive of Executive's duties as an employee and officer of Company. Executive promises to take all reasonable precautions to prevent the inadvertent or accidental disclosure or misuse of any Confidential Information. In the event Executive receives a request to disclose all or any part of the Confidential Information under the terms of a subpoena or order issued by a court or governmental body, Executive promises, to the extent permissible by law, to (a) notify Company immediately of the existence, terms and circumstances surrounding such request, (b) consult with Company on the advisability of taking legally available steps to resist or narrow such request, (c) if disclosure is required, furnish only such portion of the Confidential Information as Executive is legally compelled to disclose; and (e) exercise Executive's best efforts to obtain an order or other reliable assurance that confidential treatment will be accorded to the disclosed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220980</wp:posOffset>
            </wp:positionV>
            <wp:extent cx="713295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373"/>
          </w:cols>
          <w:pgMar w:left="1187" w:top="578" w:right="339" w:bottom="1440" w:gutter="0" w:footer="0" w:header="0"/>
        </w:sectPr>
      </w:pPr>
    </w:p>
    <w:bookmarkStart w:id="175" w:name="page176"/>
    <w:bookmarkEnd w:id="175"/>
    <w:p>
      <w:pPr>
        <w:ind w:left="642" w:hanging="333"/>
        <w:spacing w:after="0"/>
        <w:tabs>
          <w:tab w:leader="none" w:pos="64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p>
    <w:p>
      <w:pPr>
        <w:spacing w:after="0" w:line="222" w:lineRule="exact"/>
        <w:rPr>
          <w:rFonts w:ascii="Times New Roman" w:cs="Times New Roman" w:eastAsia="Times New Roman" w:hAnsi="Times New Roman"/>
          <w:sz w:val="18"/>
          <w:szCs w:val="18"/>
          <w:color w:val="auto"/>
        </w:rPr>
      </w:pPr>
    </w:p>
    <w:p>
      <w:pPr>
        <w:jc w:val="both"/>
        <w:ind w:left="1242" w:hanging="328"/>
        <w:spacing w:after="0" w:line="264" w:lineRule="auto"/>
        <w:tabs>
          <w:tab w:leader="none" w:pos="1242"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xml:space="preserve"> As used in this Agreement, the term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xml:space="preserve"> means throughout the Employment Term and continuing until the end of the twelve month period following the date on which Executive's employment with Company is terminated for any reason (whether voluntary or involuntary).</w:t>
      </w:r>
    </w:p>
    <w:p>
      <w:pPr>
        <w:spacing w:after="0" w:line="176" w:lineRule="exact"/>
        <w:rPr>
          <w:rFonts w:ascii="Times New Roman" w:cs="Times New Roman" w:eastAsia="Times New Roman" w:hAnsi="Times New Roman"/>
          <w:sz w:val="18"/>
          <w:szCs w:val="18"/>
          <w:color w:val="auto"/>
        </w:rPr>
      </w:pPr>
    </w:p>
    <w:p>
      <w:pPr>
        <w:jc w:val="both"/>
        <w:ind w:left="1242" w:hanging="314"/>
        <w:spacing w:after="0" w:line="252" w:lineRule="auto"/>
        <w:tabs>
          <w:tab w:leader="none" w:pos="1242"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 on Competition.</w:t>
      </w:r>
      <w:r>
        <w:rPr>
          <w:rFonts w:ascii="Times New Roman" w:cs="Times New Roman" w:eastAsia="Times New Roman" w:hAnsi="Times New Roman"/>
          <w:sz w:val="18"/>
          <w:szCs w:val="18"/>
          <w:color w:val="auto"/>
        </w:rPr>
        <w:t xml:space="preserve"> Executive hereby covenants and agrees that, until the expiration of the Restricted Period, Executive will not serve as an officer, director, employee, independent contractor, consultant or agent of, or have any ownership interest in, any business entity which engages in any activities anywhere in the world that are materially similar to or competitive with Company's pharmaceutical product development and Commercialization (as defined below) activities in the fields of (i) opioid products for the treatment of pain, (ii) stimulant products for the treatment of ADHD, and/or (iii) such other products which Company is actively and demonstrably developing and/or Commercializing at the time Executive's employment is terminated. If a court of competent jurisdiction finds this non-competition provision invalid or unenforceable due to unreasonableness in time, geographic scope, or scope of Company's business, then Executive agrees that such court shall interpret and enforce this provision to the maximum extent that such court deems reasonable. For purposes of this Agreement, "Commercialize" or "Commercialization" means the sales and marketing phase with regard to a specific drug candidate in a specific country or region following the regulatory approval of said drug candidate in the applicable country or region.</w:t>
      </w:r>
    </w:p>
    <w:p>
      <w:pPr>
        <w:spacing w:after="0" w:line="189" w:lineRule="exact"/>
        <w:rPr>
          <w:rFonts w:ascii="Times New Roman" w:cs="Times New Roman" w:eastAsia="Times New Roman" w:hAnsi="Times New Roman"/>
          <w:sz w:val="18"/>
          <w:szCs w:val="18"/>
          <w:color w:val="auto"/>
        </w:rPr>
      </w:pPr>
    </w:p>
    <w:p>
      <w:pPr>
        <w:jc w:val="both"/>
        <w:ind w:left="1242" w:hanging="314"/>
        <w:spacing w:after="0" w:line="252" w:lineRule="auto"/>
        <w:tabs>
          <w:tab w:leader="none" w:pos="1242"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xml:space="preserve"> Executive's ownership of less than 5% of the stock of a company that is competitive with the activities of Company as described in Section </w:t>
      </w:r>
      <w:r>
        <w:rPr>
          <w:rFonts w:ascii="Times New Roman" w:cs="Times New Roman" w:eastAsia="Times New Roman" w:hAnsi="Times New Roman"/>
          <w:sz w:val="18"/>
          <w:szCs w:val="18"/>
          <w:b w:val="1"/>
          <w:bCs w:val="1"/>
          <w:color w:val="auto"/>
        </w:rPr>
        <w:t>8(B)</w:t>
      </w:r>
      <w:r>
        <w:rPr>
          <w:rFonts w:ascii="Times New Roman" w:cs="Times New Roman" w:eastAsia="Times New Roman" w:hAnsi="Times New Roman"/>
          <w:sz w:val="18"/>
          <w:szCs w:val="18"/>
          <w:color w:val="auto"/>
        </w:rPr>
        <w:t xml:space="preserve"> and listed on a national securities exchange shall not be deemed to violate the prohibitions of Section 8(B). Also, Executive shall not be considered to have violated Section 8(B) with respect to the purchasing entity if there is a Sale and Executive becomes an employee, officer, director or shareholder of the purchasing entity. The term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xml:space="preserve"> means the sale of more than 50% of the equity of Company, a merger of Company with an entity the equity of which after the merger the stockholders of Company immediately prior to such merger own less than 50%, or the sale of all or substantially all of the assets of Company, in any case to a person or entity not affiliated with Company. Neither a recapitalization nor change of form of Company shall be considered a Sale. Additionally, a "Sale" shall not be deemed to have occurred as a result of a lender exercising any of its remedies in connection with the occurrence or continuation of an event of default under that certain Facility Agreement, to be dated as of or around May 30, 2014, by and between Company and Deerfield Private Design Fund III, L.P or any other indebtedness of the Company.</w:t>
      </w:r>
    </w:p>
    <w:p>
      <w:pPr>
        <w:spacing w:after="0" w:line="189" w:lineRule="exact"/>
        <w:rPr>
          <w:rFonts w:ascii="Times New Roman" w:cs="Times New Roman" w:eastAsia="Times New Roman" w:hAnsi="Times New Roman"/>
          <w:sz w:val="18"/>
          <w:szCs w:val="18"/>
          <w:color w:val="auto"/>
        </w:rPr>
      </w:pPr>
    </w:p>
    <w:p>
      <w:pPr>
        <w:jc w:val="both"/>
        <w:ind w:left="322" w:hanging="322"/>
        <w:spacing w:after="0" w:line="254" w:lineRule="auto"/>
        <w:tabs>
          <w:tab w:leader="none" w:pos="32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 SOLICITATION OF EMPLOYEES.</w:t>
      </w:r>
      <w:r>
        <w:rPr>
          <w:rFonts w:ascii="Times New Roman" w:cs="Times New Roman" w:eastAsia="Times New Roman" w:hAnsi="Times New Roman"/>
          <w:sz w:val="18"/>
          <w:szCs w:val="18"/>
          <w:color w:val="auto"/>
        </w:rPr>
        <w:t xml:space="preserve"> Until the expiration of the Restricted Period, Executive shall not, directly or indirectly, either on Executive's own account or for any other person or entity: (a) employ, solicit, induce, advise, or otherwise convince, interfere with Company's employment of, or offer employment to, any employee of Company; (b) employ or otherwise interfere with Company's engagement with, or offer employment to, any consultant of Company; or (c) induce or attempt to induce any such employee or consultant to breach their employment agreement or relationship or consulting agreement or relationship with Company; provided, however, that Executive shall not be in breach of this provision if any such employee or consultant, without inducement or solicitation by Executive, applies for employment at Executive's subsequent employer in response to a general advertisement soliciting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624840</wp:posOffset>
            </wp:positionV>
            <wp:extent cx="713295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682"/>
          </w:cols>
          <w:pgMar w:left="878" w:top="578" w:right="339" w:bottom="1440" w:gutter="0" w:footer="0" w:header="0"/>
        </w:sectPr>
      </w:pPr>
    </w:p>
    <w:bookmarkStart w:id="176" w:name="page177"/>
    <w:bookmarkEnd w:id="176"/>
    <w:p>
      <w:pPr>
        <w:jc w:val="both"/>
        <w:ind w:left="316" w:hanging="316"/>
        <w:spacing w:after="0" w:line="251" w:lineRule="auto"/>
        <w:tabs>
          <w:tab w:leader="none" w:pos="31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REASONABLENESS OF RES11UCT10NS: REMEDJES.</w:t>
      </w:r>
      <w:r>
        <w:rPr>
          <w:rFonts w:ascii="Times New Roman" w:cs="Times New Roman" w:eastAsia="Times New Roman" w:hAnsi="Times New Roman"/>
          <w:sz w:val="18"/>
          <w:szCs w:val="18"/>
          <w:color w:val="auto"/>
        </w:rPr>
        <w:t xml:space="preserve"> Executive has carefully read and considered the restrictive covenants set forth in Sections 7 -9 hereof, and understands Executive's obligations thereunder, the limitations such obligations will impose upon Executive after termination of Executive's employment with Company, and that the Restricted Period extends for 12 months after the termination of Executive's employment. Executive has had full opportunity to review with Executive's personal attorney this Agreement, including Sections 7 - 9, before executing the Agreement. Executive agrees that, as a result of Executive's position with Company, the length of the Restricted Period and each restriction set forth in Sections 7, 8 and 9 herein are (1) fair and reasonable, (2) reasonably required for the protection of the legitimate business interests and goodwill established by Company, and (3) not overly broad or unduly burdensome to Executive. Executive acknowledges that Executive's compliance with Executive's obligations and restrictive covenants set forth in this Agreement is necessary to protect the business and goodwill of Company. Executive agrees that Executive's breach of Executive's obligations and/or restrictive covenants under this Agreement may irreparably and continually damage Company, for which money damages may not be adequate. Consequently, Executive agrees that in the event that Executive breaches or threatens to breach any of the covenants or agreements contained herein, Company shall be entitled to: (a) seek injunctive relief to prevent or halt Executive from breaching this Agreement; and (b) money damages as determined appropriate by a court of competent jurisdiction. Executive hereby agrees that injunctive relief may be granted by a court of competent jurisdiction without the necessity of Company to post bond, or if required to post bond, Executive agrees that the lowest amount permitted shall be adequate. Nothing in this Agreement shall be construed to prohibit Company from pursuing any other remedy available or from seeking to enforce any restrictive covenants to a lesser extent than set forth herein. The Parties agree that all remedies shall be cumulative.</w:t>
      </w:r>
    </w:p>
    <w:p>
      <w:pPr>
        <w:spacing w:after="0" w:line="191" w:lineRule="exact"/>
        <w:rPr>
          <w:rFonts w:ascii="Times New Roman" w:cs="Times New Roman" w:eastAsia="Times New Roman" w:hAnsi="Times New Roman"/>
          <w:sz w:val="18"/>
          <w:szCs w:val="18"/>
          <w:color w:val="auto"/>
        </w:rPr>
      </w:pPr>
    </w:p>
    <w:p>
      <w:pPr>
        <w:jc w:val="both"/>
        <w:ind w:left="316" w:hanging="316"/>
        <w:spacing w:after="0" w:line="220" w:lineRule="exact"/>
        <w:tabs>
          <w:tab w:leader="none" w:pos="31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PRIOR RESTRICTIONS.</w:t>
      </w:r>
      <w:r>
        <w:rPr>
          <w:rFonts w:ascii="Times New Roman" w:cs="Times New Roman" w:eastAsia="Times New Roman" w:hAnsi="Times New Roman"/>
          <w:sz w:val="18"/>
          <w:szCs w:val="18"/>
          <w:color w:val="auto"/>
        </w:rPr>
        <w:t xml:space="preserve"> Executive hereby represents and warrants to Company that the execution, delivery, and performance by Executive of Executive's duties under this Agreement do not violate any provision of any agreement or restrictive covenant which Executive has with any former employer or any other entity. Executive further agrees to honor and inform Company of any and all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employment obligations Executive has to any former employer or any other entity with which Executive has or had a business relationship.</w:t>
      </w:r>
    </w:p>
    <w:p>
      <w:pPr>
        <w:spacing w:after="0" w:line="198" w:lineRule="exact"/>
        <w:rPr>
          <w:rFonts w:ascii="Times New Roman" w:cs="Times New Roman" w:eastAsia="Times New Roman" w:hAnsi="Times New Roman"/>
          <w:sz w:val="18"/>
          <w:szCs w:val="18"/>
          <w:color w:val="auto"/>
        </w:rPr>
      </w:pPr>
    </w:p>
    <w:p>
      <w:pPr>
        <w:jc w:val="both"/>
        <w:ind w:left="316" w:hanging="316"/>
        <w:spacing w:after="0" w:line="255" w:lineRule="auto"/>
        <w:tabs>
          <w:tab w:leader="none" w:pos="31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or communication required or permitted to be given hereunder may be delivered by hand, deposited with an overnight courier, sent by confirmed email, confirmed facsimile, or mailed by registered or certified mail, return receipt requested, postage prepaid, in the case of Company, addressed to Company's principal office marked attention to Company's president, and in the case of Executive, addressed to Executive's personal address as appearing in Company's payroll records, and in each case to such other mail address, e-mail address, or facsimile number as may hereafter be furnished in writing by either Party to the other Party. Such notice will be deemed to have been given as of the date it is hand delivered, emailed, faxed or three days after deposit in the U.S. mail.</w:t>
      </w:r>
    </w:p>
    <w:p>
      <w:pPr>
        <w:spacing w:after="0" w:line="185" w:lineRule="exact"/>
        <w:rPr>
          <w:rFonts w:ascii="Times New Roman" w:cs="Times New Roman" w:eastAsia="Times New Roman" w:hAnsi="Times New Roman"/>
          <w:sz w:val="18"/>
          <w:szCs w:val="18"/>
          <w:color w:val="auto"/>
        </w:rPr>
      </w:pPr>
    </w:p>
    <w:p>
      <w:pPr>
        <w:jc w:val="both"/>
        <w:ind w:left="316" w:hanging="316"/>
        <w:spacing w:after="0" w:line="255" w:lineRule="auto"/>
        <w:tabs>
          <w:tab w:leader="none" w:pos="31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LIKENESS.</w:t>
      </w:r>
      <w:r>
        <w:rPr>
          <w:rFonts w:ascii="Times New Roman" w:cs="Times New Roman" w:eastAsia="Times New Roman" w:hAnsi="Times New Roman"/>
          <w:sz w:val="18"/>
          <w:szCs w:val="18"/>
          <w:color w:val="auto"/>
        </w:rPr>
        <w:t xml:space="preserve"> Executive hereby grants to Company a license to use, without further compensation or approval from Executive, Executive's name, image, portrait, voice, likeness and all other rights of publicity, or any derivative or modification thereto that Company may create, in any and all mediums, now known or hereafter developed, provided that such use is in relation to Company's business and consistent with professional business standards, and does not disparage or denigrate Executive. Provided, however, if written notice is provided to Company by Executive following termination of Executive's employment requesting that Company cease using Executive's likeness, Company has 30 days to cease using Executive's likeness in the manner set forth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214630</wp:posOffset>
            </wp:positionV>
            <wp:extent cx="713295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776"/>
          </w:cols>
          <w:pgMar w:left="784" w:top="578" w:right="339" w:bottom="1440" w:gutter="0" w:footer="0" w:header="0"/>
        </w:sectPr>
      </w:pPr>
    </w:p>
    <w:bookmarkStart w:id="177" w:name="page178"/>
    <w:bookmarkEnd w:id="177"/>
    <w:p>
      <w:pPr>
        <w:ind w:left="636" w:hanging="313"/>
        <w:spacing w:after="0"/>
        <w:tabs>
          <w:tab w:leader="none" w:pos="636"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SECTION 162(M)</w:t>
      </w:r>
      <w:r>
        <w:rPr>
          <w:rFonts w:ascii="Times New Roman" w:cs="Times New Roman" w:eastAsia="Times New Roman" w:hAnsi="Times New Roman"/>
          <w:sz w:val="18"/>
          <w:szCs w:val="18"/>
          <w:color w:val="auto"/>
        </w:rPr>
        <w:t>.</w:t>
      </w:r>
    </w:p>
    <w:p>
      <w:pPr>
        <w:spacing w:after="0" w:line="222" w:lineRule="exact"/>
        <w:rPr>
          <w:rFonts w:ascii="Times New Roman" w:cs="Times New Roman" w:eastAsia="Times New Roman" w:hAnsi="Times New Roman"/>
          <w:sz w:val="18"/>
          <w:szCs w:val="18"/>
          <w:color w:val="auto"/>
        </w:rPr>
      </w:pPr>
    </w:p>
    <w:p>
      <w:pPr>
        <w:jc w:val="both"/>
        <w:ind w:left="1336" w:hanging="314"/>
        <w:spacing w:after="0" w:line="252" w:lineRule="auto"/>
        <w:tabs>
          <w:tab w:leader="none" w:pos="1336" w:val="left"/>
        </w:tabs>
        <w:numPr>
          <w:ilvl w:val="3"/>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intended to comply with Section 409A of the Code and its corresponding regulations, or an exemption, and payments may only be made under this Agreement upon an event and in a manner permitted by Section 409A of the Code, to the extent applicable. Notwithstanding anything in this Agreement to the contrary, if required by Section 409A of the Code, if Executive is considered a "specified employee" for purposes of Section 409A and if payment of any amounts under this Agreement is required to be delayed for a period of six months after separation from service pursuant to Section 409A of the Code, payment of such amounts shall be delayed as required by Section 409A of the Code, and the accumulated amounts shall be paid in a </w:t>
      </w:r>
      <w:r>
        <w:rPr>
          <w:rFonts w:ascii="Times New Roman" w:cs="Times New Roman" w:eastAsia="Times New Roman" w:hAnsi="Times New Roman"/>
          <w:sz w:val="18"/>
          <w:szCs w:val="18"/>
          <w:b w:val="1"/>
          <w:bCs w:val="1"/>
          <w:color w:val="auto"/>
        </w:rPr>
        <w:t>lump</w:t>
      </w:r>
      <w:r>
        <w:rPr>
          <w:rFonts w:ascii="Times New Roman" w:cs="Times New Roman" w:eastAsia="Times New Roman" w:hAnsi="Times New Roman"/>
          <w:sz w:val="18"/>
          <w:szCs w:val="18"/>
          <w:color w:val="auto"/>
        </w:rPr>
        <w:t xml:space="preserve"> sum payment within IO days after the end of the six month period. If Executive dies during the postponement period prior to the payment of benefits, the amounts withheld on account of Section 409A of the Code shall be paid to the personal representative of Executive's estate within 60 days after the day of Executive's death. The Parties agree that this Section 14 shall not be construed in a manner so as to accelerate any payments due under this Agreement.</w:t>
      </w:r>
    </w:p>
    <w:p>
      <w:pPr>
        <w:spacing w:after="0" w:line="191" w:lineRule="exact"/>
        <w:rPr>
          <w:rFonts w:ascii="Times New Roman" w:cs="Times New Roman" w:eastAsia="Times New Roman" w:hAnsi="Times New Roman"/>
          <w:sz w:val="18"/>
          <w:szCs w:val="18"/>
          <w:color w:val="auto"/>
        </w:rPr>
      </w:pPr>
    </w:p>
    <w:p>
      <w:pPr>
        <w:jc w:val="both"/>
        <w:ind w:left="1376" w:hanging="328"/>
        <w:spacing w:after="0" w:line="255" w:lineRule="auto"/>
        <w:tabs>
          <w:tab w:leader="none" w:pos="1376" w:val="left"/>
        </w:tabs>
        <w:numPr>
          <w:ilvl w:val="4"/>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to be made upon a termination of employment under this Agreement may only be made upon a "separation from service" under Section 409A of the Code. For purposes of Section 409A of the Code, each payment hereunder shall be treated as a separate payment and the right to a series of installment payments under this Agreement shall be treated as a right to a series of separate payments. In no event may Executive, directly or indirectly, designate the calendar year of a payment. All reimbursements and in-kind benefits provided under the Agreement shall be made or provided in accordance with the requirements of Section 409A of the Code.</w:t>
      </w:r>
    </w:p>
    <w:p>
      <w:pPr>
        <w:spacing w:after="0" w:line="185" w:lineRule="exact"/>
        <w:rPr>
          <w:rFonts w:ascii="Times New Roman" w:cs="Times New Roman" w:eastAsia="Times New Roman" w:hAnsi="Times New Roman"/>
          <w:sz w:val="18"/>
          <w:szCs w:val="18"/>
          <w:color w:val="auto"/>
        </w:rPr>
      </w:pPr>
    </w:p>
    <w:p>
      <w:pPr>
        <w:jc w:val="both"/>
        <w:ind w:left="316" w:hanging="316"/>
        <w:spacing w:after="0" w:line="253" w:lineRule="auto"/>
        <w:tabs>
          <w:tab w:leader="none" w:pos="31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JNDEMNIFICATION: LIABILITY INSURANCE.</w:t>
      </w:r>
      <w:r>
        <w:rPr>
          <w:rFonts w:ascii="Times New Roman" w:cs="Times New Roman" w:eastAsia="Times New Roman" w:hAnsi="Times New Roman"/>
          <w:sz w:val="18"/>
          <w:szCs w:val="18"/>
          <w:color w:val="auto"/>
        </w:rPr>
        <w:t xml:space="preserve"> Company shall indemnify and hold Executive harmless to the fullest extent permitted by the laws of Company's state of organization or incorporation in effect at the time against and in respect of any and all actions, suits, proceedings, claims, demands, judgments, costs, expenses (including advancement of reasonable attorney's fees), losses, and damages resulting from Executive's performance of Executive's duties and obligations with Company. Executive will be entitled to be covered, both during and, while potential liability exists, by any insurance policies the Employer may elect to maintain generally for the benefit of officers and directors of the Employer against all costs, charges and expenses incurred in connection with any action, suit or proceeding to which Executive may be made a party by reason of being an officer or director of Company in the same amount and to the same extent as Company covers its other officers and directors. These obligations shall survive the termination of Executive's employment with Company.</w:t>
      </w:r>
    </w:p>
    <w:p>
      <w:pPr>
        <w:spacing w:after="0" w:line="189" w:lineRule="exact"/>
        <w:rPr>
          <w:rFonts w:ascii="Times New Roman" w:cs="Times New Roman" w:eastAsia="Times New Roman" w:hAnsi="Times New Roman"/>
          <w:sz w:val="18"/>
          <w:szCs w:val="18"/>
          <w:color w:val="auto"/>
        </w:rPr>
      </w:pPr>
    </w:p>
    <w:p>
      <w:pPr>
        <w:ind w:left="636" w:hanging="327"/>
        <w:spacing w:after="0"/>
        <w:tabs>
          <w:tab w:leader="none" w:pos="63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p>
    <w:p>
      <w:pPr>
        <w:spacing w:after="0" w:line="222" w:lineRule="exact"/>
        <w:rPr>
          <w:rFonts w:ascii="Times New Roman" w:cs="Times New Roman" w:eastAsia="Times New Roman" w:hAnsi="Times New Roman"/>
          <w:sz w:val="18"/>
          <w:szCs w:val="18"/>
          <w:color w:val="auto"/>
        </w:rPr>
      </w:pPr>
    </w:p>
    <w:p>
      <w:pPr>
        <w:jc w:val="both"/>
        <w:ind w:left="636"/>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is personal to the Executive and shall not be assigned by the Executive. Any purported assignment by the Executive shall be null and void from the initial date of the purported assignment. The Company may assign this Agreement to any successor or assign (whether direct or indirect, by purchase, merger, consolidation, or otherwise) to all or substantially all of the business or assets of the Company. This Agreement shall inure to the benefit of the Company and permitted successors and assigns.</w:t>
      </w:r>
    </w:p>
    <w:p>
      <w:pPr>
        <w:spacing w:after="0" w:line="181" w:lineRule="exact"/>
        <w:rPr>
          <w:sz w:val="20"/>
          <w:szCs w:val="20"/>
          <w:color w:val="auto"/>
        </w:rPr>
      </w:pPr>
    </w:p>
    <w:p>
      <w:pPr>
        <w:jc w:val="both"/>
        <w:ind w:left="676" w:hanging="326"/>
        <w:spacing w:after="0" w:line="259" w:lineRule="auto"/>
        <w:tabs>
          <w:tab w:leader="none" w:pos="67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Certain Terms.</w:t>
      </w:r>
      <w:r>
        <w:rPr>
          <w:rFonts w:ascii="Times New Roman" w:cs="Times New Roman" w:eastAsia="Times New Roman" w:hAnsi="Times New Roman"/>
          <w:sz w:val="18"/>
          <w:szCs w:val="18"/>
          <w:color w:val="auto"/>
        </w:rPr>
        <w:t xml:space="preserve"> The terms, conditions and covenants set forth in this Agreement which specifically relate to periods, activities or obligations upon or subsequent to the termination of Executive's employment, including, without limitation, the restrictive covenants contained in Sections 7 - 9, shall survive the termination of this Agreement and Company's employment of Executive hereunder, and the Parties shall remain bound by such terms, conditions and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212090</wp:posOffset>
            </wp:positionV>
            <wp:extent cx="713295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776"/>
          </w:cols>
          <w:pgMar w:left="784" w:top="578" w:right="339" w:bottom="1440" w:gutter="0" w:footer="0" w:header="0"/>
        </w:sectPr>
      </w:pPr>
    </w:p>
    <w:bookmarkStart w:id="178" w:name="page179"/>
    <w:bookmarkEnd w:id="178"/>
    <w:p>
      <w:pPr>
        <w:jc w:val="both"/>
        <w:ind w:left="353" w:hanging="313"/>
        <w:spacing w:after="0" w:line="253" w:lineRule="auto"/>
        <w:tabs>
          <w:tab w:leader="none" w:pos="35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xml:space="preserve"> This Agreement shall be construed and enforced in accordance with the procedural and substantive laws of the State of Florida, without regard to its conflicts of laws provisions. The litigation of any disputes arising out of this Agreement shall take place in the appropriate federal or state court located in Osceola, County. The Parties, to the extent they can legally do so, hereby consent to service of process, and to be sued in the State of Florida and consent to the exclusive jurisdiction of the courts of the State of Florida and the United States District Court for the Middle District of Florida, as well as to the jurisdiction of all courts to which an appeal may be taken from such courts, for the purpose of any suit, action or other proceeding arising out of any of their obligations hereunder or with respect to the transactions contemplated hereby, and expressly waive any and all objections they may have to venue in such courts. Notwithstanding the foregoing, should Executive refuse to comply with an order or judgment of such court, then Company may enforce this Agreement and the order or judgment of such court in any jurisdiction it deems appropriate.</w:t>
      </w:r>
    </w:p>
    <w:p>
      <w:pPr>
        <w:spacing w:after="0" w:line="186" w:lineRule="exact"/>
        <w:rPr>
          <w:rFonts w:ascii="Times New Roman" w:cs="Times New Roman" w:eastAsia="Times New Roman" w:hAnsi="Times New Roman"/>
          <w:sz w:val="18"/>
          <w:szCs w:val="18"/>
          <w:color w:val="auto"/>
        </w:rPr>
      </w:pPr>
    </w:p>
    <w:p>
      <w:pPr>
        <w:ind w:left="353" w:hanging="326"/>
        <w:spacing w:after="0" w:line="280" w:lineRule="auto"/>
        <w:tabs>
          <w:tab w:leader="none" w:pos="353"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Reform.</w:t>
      </w:r>
      <w:r>
        <w:rPr>
          <w:rFonts w:ascii="Times New Roman" w:cs="Times New Roman" w:eastAsia="Times New Roman" w:hAnsi="Times New Roman"/>
          <w:sz w:val="18"/>
          <w:szCs w:val="18"/>
          <w:color w:val="auto"/>
        </w:rPr>
        <w:t xml:space="preserve"> If any provision of this Agreement is determined to be void, invalid or unenforceable, the remainder shall be unaffected and shall be enforceable as if the void, invalid or unenforceable part was not a provision of the Agreement.</w:t>
      </w:r>
    </w:p>
    <w:p>
      <w:pPr>
        <w:spacing w:after="0" w:line="161" w:lineRule="exact"/>
        <w:rPr>
          <w:rFonts w:ascii="Times New Roman" w:cs="Times New Roman" w:eastAsia="Times New Roman" w:hAnsi="Times New Roman"/>
          <w:sz w:val="18"/>
          <w:szCs w:val="18"/>
          <w:color w:val="auto"/>
        </w:rPr>
      </w:pPr>
    </w:p>
    <w:p>
      <w:pPr>
        <w:jc w:val="both"/>
        <w:ind w:left="353" w:hanging="313"/>
        <w:spacing w:after="0" w:line="256" w:lineRule="auto"/>
        <w:tabs>
          <w:tab w:leader="none" w:pos="353"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and its attached exhibits, which by this reference are hereby incorporated into and made a part of this Agreement as if set forth herein verbatim, contain the entire understanding of the parties to this Agreement and supersede and replace all former agreements or understandings, oral or written, between Company and Executive, including any offer letter sent to Executive, regarding the subject matter hereof. Upon the effectiveness of this Agreement, the Prior Agreement shall be deemed amended and restated and superseded and replaced in its entirety by this Agreement, and shall be of no further force or effect.</w:t>
      </w:r>
    </w:p>
    <w:p>
      <w:pPr>
        <w:spacing w:after="0" w:line="185" w:lineRule="exact"/>
        <w:rPr>
          <w:rFonts w:ascii="Times New Roman" w:cs="Times New Roman" w:eastAsia="Times New Roman" w:hAnsi="Times New Roman"/>
          <w:sz w:val="18"/>
          <w:szCs w:val="18"/>
          <w:color w:val="auto"/>
        </w:rPr>
      </w:pPr>
    </w:p>
    <w:p>
      <w:pPr>
        <w:jc w:val="both"/>
        <w:ind w:left="353" w:hanging="313"/>
        <w:spacing w:after="0" w:line="255" w:lineRule="auto"/>
        <w:tabs>
          <w:tab w:leader="none" w:pos="353"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xml:space="preserve"> This Agreement may not be amended except by a written instrument signed by both Parties which specifically refers to the particular provision or provisions being amended. No provision of this Agreement may be waived except in a written instrument that specifically refers to the particular provision or provisions being waived and is signed by the Party against whom the waiver is being asserted. No waiver by any Party of any right, power or privilege hereunder shall constitute a waiver of any other right, power or privilege hereunder, and no waiver by any party of any breach of a provision hereunder shall constitute a waiver of any other breach of that or any other provision of this Agreement.</w:t>
      </w:r>
    </w:p>
    <w:p>
      <w:pPr>
        <w:spacing w:after="0" w:line="185" w:lineRule="exact"/>
        <w:rPr>
          <w:rFonts w:ascii="Times New Roman" w:cs="Times New Roman" w:eastAsia="Times New Roman" w:hAnsi="Times New Roman"/>
          <w:sz w:val="18"/>
          <w:szCs w:val="18"/>
          <w:color w:val="auto"/>
        </w:rPr>
      </w:pPr>
    </w:p>
    <w:p>
      <w:pPr>
        <w:jc w:val="both"/>
        <w:ind w:left="353" w:hanging="326"/>
        <w:spacing w:after="0" w:line="259" w:lineRule="auto"/>
        <w:tabs>
          <w:tab w:leader="none" w:pos="353"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Withholding.</w:t>
      </w:r>
      <w:r>
        <w:rPr>
          <w:rFonts w:ascii="Times New Roman" w:cs="Times New Roman" w:eastAsia="Times New Roman" w:hAnsi="Times New Roman"/>
          <w:sz w:val="18"/>
          <w:szCs w:val="18"/>
          <w:color w:val="auto"/>
        </w:rPr>
        <w:t xml:space="preserve"> All compensation and benefits payable to Executive under this Agreement shall be subject to all income and other employment tax withholding and reporting required by federal, state or local law with respect to compensation, benefits and reimbursable expenses paid by a corporation to an employee. Executive shall be responsible for all taxes applicable to amounts payable under this Agreement.</w:t>
      </w:r>
    </w:p>
    <w:p>
      <w:pPr>
        <w:spacing w:after="0" w:line="181" w:lineRule="exact"/>
        <w:rPr>
          <w:rFonts w:ascii="Times New Roman" w:cs="Times New Roman" w:eastAsia="Times New Roman" w:hAnsi="Times New Roman"/>
          <w:sz w:val="18"/>
          <w:szCs w:val="18"/>
          <w:color w:val="auto"/>
        </w:rPr>
      </w:pPr>
    </w:p>
    <w:p>
      <w:pPr>
        <w:jc w:val="both"/>
        <w:ind w:left="313" w:hanging="313"/>
        <w:spacing w:after="0" w:line="252" w:lineRule="auto"/>
        <w:tabs>
          <w:tab w:leader="none" w:pos="31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Assistance in Litigation.</w:t>
      </w:r>
      <w:r>
        <w:rPr>
          <w:rFonts w:ascii="Times New Roman" w:cs="Times New Roman" w:eastAsia="Times New Roman" w:hAnsi="Times New Roman"/>
          <w:sz w:val="18"/>
          <w:szCs w:val="18"/>
          <w:color w:val="auto"/>
        </w:rPr>
        <w:t xml:space="preserve"> Executive shall reasonably cooperate with Company in the defense or prosecution of any claims or actions now in existence or that may be brought in the future against or on behalf of Company that relate to events or occurrences that transpired while Executive was employed by Company. Executive's cooperation in connection with such claims or actions shall include being available to meet with counsel to prepare for discovery or trial and to act as a witness on behalf of Company at mutually convenient times. Executive also shall cooperate fully with Company in connection with any investigation or review by any federal, state or local regulatory authority as any such investigation or review relates, to events or occurrences that transpired while Executive was employed by Company. Notwithstanding anything to the contrary in this Section 16(H), unless otherwise mutually agreed between Executive and Company in writing and, for each day that Executive performs services under this Section l 6(H) after the final payment by Company of any and all severance compensation due to Executive under Section 4(E)(l), Executive shall be reimbursed for his reasonable out-of-pocket expenses and Company shall pay Executive a per diem cash amount equal to 130% of Executive's Base Salary rate on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218440</wp:posOffset>
            </wp:positionV>
            <wp:extent cx="713295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453"/>
          </w:cols>
          <w:pgMar w:left="1107" w:top="578" w:right="339" w:bottom="1440" w:gutter="0" w:footer="0" w:header="0"/>
        </w:sectPr>
      </w:pPr>
    </w:p>
    <w:bookmarkStart w:id="179" w:name="page180"/>
    <w:bookmarkEnd w:id="179"/>
    <w:p>
      <w:pPr>
        <w:jc w:val="both"/>
        <w:ind w:left="406" w:hanging="326"/>
        <w:spacing w:after="0" w:line="256" w:lineRule="auto"/>
        <w:tabs>
          <w:tab w:leader="none" w:pos="406"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Beneficiaries: References.</w:t>
      </w:r>
      <w:r>
        <w:rPr>
          <w:rFonts w:ascii="Times New Roman" w:cs="Times New Roman" w:eastAsia="Times New Roman" w:hAnsi="Times New Roman"/>
          <w:sz w:val="18"/>
          <w:szCs w:val="18"/>
          <w:color w:val="auto"/>
        </w:rPr>
        <w:t xml:space="preserve"> Executive shall be entitled to select (and change to the extent permitted under any applicable law) a beneficiary or beneficiaries to receive any compensation or benefit payable hereunder following Executive's death, and may change such election, in either case by giving Company written notice thereof. In the event of Executive's death or a judicial determination of Executive's incompetence, reference in this Agreement to Executive shall be deemed, where appropriate, to refer to Executive's beneficiary, estate or other legal representative. Any reference to any gender in this Agreement shall include, where appropriate, the other gender.</w:t>
      </w:r>
    </w:p>
    <w:p>
      <w:pPr>
        <w:spacing w:after="0" w:line="185" w:lineRule="exact"/>
        <w:rPr>
          <w:rFonts w:ascii="Times New Roman" w:cs="Times New Roman" w:eastAsia="Times New Roman" w:hAnsi="Times New Roman"/>
          <w:sz w:val="18"/>
          <w:szCs w:val="18"/>
          <w:color w:val="auto"/>
        </w:rPr>
      </w:pPr>
    </w:p>
    <w:p>
      <w:pPr>
        <w:jc w:val="both"/>
        <w:ind w:left="386" w:hanging="319"/>
        <w:spacing w:after="0" w:line="252" w:lineRule="auto"/>
        <w:tabs>
          <w:tab w:leader="none" w:pos="386"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Agreement.</w:t>
      </w:r>
      <w:r>
        <w:rPr>
          <w:rFonts w:ascii="Times New Roman" w:cs="Times New Roman" w:eastAsia="Times New Roman" w:hAnsi="Times New Roman"/>
          <w:sz w:val="18"/>
          <w:szCs w:val="18"/>
          <w:color w:val="auto"/>
        </w:rPr>
        <w:t xml:space="preserve"> Each Party to this Agreement has read and fully understands the terms and provisions hereof, has had an opportunity to review this Agreement with legal counsel, has executed this Agreement based upon such party's own judgment and advice of counsel, and knowingly, voluntarily and without duress, agrees to all of the terms set forth in this Agreement. The Parties have participated jointly in the negotiation and drafting of this Agreement. If an ambiguity or question of intent or interpretation arises, this Agreement will be construed as if drafted jointly by the Parties and no presumption or burden of proof will arise favoring or disfavoring any party because of authorship of any provision of this Agreement. Except as expressly set forth in this Agreement, neither the Parties nor their affiliates, advisors and/or their attorneys have made any representation or warranty, express or implied, at law or in equity with respect of the subject matter contained herein. Without limiting the generality of the previous sentence, Company, its affiliates, advisors and/or attorneys have made no representation or warranty to Executive concerning the state or federal tax consequences to Executive regarding the transactions contemplated by this Agreement.</w:t>
      </w:r>
    </w:p>
    <w:p>
      <w:pPr>
        <w:spacing w:after="0" w:line="191" w:lineRule="exact"/>
        <w:rPr>
          <w:rFonts w:ascii="Times New Roman" w:cs="Times New Roman" w:eastAsia="Times New Roman" w:hAnsi="Times New Roman"/>
          <w:sz w:val="18"/>
          <w:szCs w:val="18"/>
          <w:color w:val="auto"/>
        </w:rPr>
      </w:pPr>
    </w:p>
    <w:p>
      <w:pPr>
        <w:ind w:left="326" w:right="20" w:hanging="326"/>
        <w:spacing w:after="0" w:line="280" w:lineRule="auto"/>
        <w:tabs>
          <w:tab w:leader="none" w:pos="32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xml:space="preserve"> Headings to sections and paragraphs of this Agreement are for reference only, and do not form a part of this Agreement, or effect the interpretation of this Agreement.</w:t>
      </w:r>
    </w:p>
    <w:p>
      <w:pPr>
        <w:spacing w:after="0" w:line="161" w:lineRule="exact"/>
        <w:rPr>
          <w:rFonts w:ascii="Times New Roman" w:cs="Times New Roman" w:eastAsia="Times New Roman" w:hAnsi="Times New Roman"/>
          <w:sz w:val="18"/>
          <w:szCs w:val="18"/>
          <w:color w:val="auto"/>
        </w:rPr>
      </w:pPr>
    </w:p>
    <w:p>
      <w:pPr>
        <w:jc w:val="both"/>
        <w:ind w:left="346" w:hanging="319"/>
        <w:spacing w:after="0" w:line="264" w:lineRule="auto"/>
        <w:tabs>
          <w:tab w:leader="none" w:pos="34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counterparts, including by transmission of facsimile or PDF copies of signature pages, each of which shall for all purposes are deemed to be an original and all of which shall constitute on instrument. All signatures of the parties transmitted by facsimile or PDF shall be deemed to be their original signatures for all purposes.</w:t>
      </w:r>
    </w:p>
    <w:p>
      <w:pPr>
        <w:spacing w:after="0" w:line="177" w:lineRule="exact"/>
        <w:rPr>
          <w:sz w:val="20"/>
          <w:szCs w:val="20"/>
          <w:color w:val="auto"/>
        </w:rPr>
      </w:pPr>
    </w:p>
    <w:p>
      <w:pPr>
        <w:ind w:left="3626"/>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238760</wp:posOffset>
            </wp:positionV>
            <wp:extent cx="713295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426"/>
          </w:cols>
          <w:pgMar w:left="1134" w:top="578" w:right="339" w:bottom="1440" w:gutter="0" w:footer="0" w:header="0"/>
        </w:sectPr>
      </w:pPr>
    </w:p>
    <w:bookmarkStart w:id="180" w:name="page181"/>
    <w:bookmarkEnd w:id="180"/>
    <w:p>
      <w:pPr>
        <w:jc w:val="center"/>
        <w:ind w:right="-259"/>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OF</w:t>
      </w:r>
    </w:p>
    <w:p>
      <w:pPr>
        <w:spacing w:after="0" w:line="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EMPLOYMENT AGREEMENT</w:t>
      </w:r>
    </w:p>
    <w:p>
      <w:pPr>
        <w:spacing w:after="0" w:line="204" w:lineRule="exact"/>
        <w:rPr>
          <w:sz w:val="20"/>
          <w:szCs w:val="20"/>
          <w:color w:val="auto"/>
        </w:rPr>
      </w:pPr>
    </w:p>
    <w:p>
      <w:pPr>
        <w:ind w:left="160"/>
        <w:spacing w:after="0" w:line="280" w:lineRule="auto"/>
        <w:rPr>
          <w:sz w:val="20"/>
          <w:szCs w:val="20"/>
          <w:color w:val="auto"/>
        </w:rPr>
      </w:pPr>
      <w:r>
        <w:rPr>
          <w:rFonts w:ascii="Times New Roman" w:cs="Times New Roman" w:eastAsia="Times New Roman" w:hAnsi="Times New Roman"/>
          <w:sz w:val="18"/>
          <w:szCs w:val="18"/>
          <w:color w:val="auto"/>
        </w:rPr>
        <w:t>IN WITNESS WHEREOF, Company has caused this Agreement to be duly executed and delivered by its duly authorized officer, and Executive has duly executed and delivered this Agreement, effective as of the date first written on page 1 of this Agreement.</w:t>
      </w:r>
    </w:p>
    <w:p>
      <w:pPr>
        <w:spacing w:after="0" w:line="200" w:lineRule="exact"/>
        <w:rPr>
          <w:sz w:val="20"/>
          <w:szCs w:val="20"/>
          <w:color w:val="auto"/>
        </w:rPr>
      </w:pPr>
    </w:p>
    <w:p>
      <w:pPr>
        <w:spacing w:after="0" w:line="3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ZEVRA THERAPEUTICS, INC. ("COMPANY"):</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By R</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LaDuane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-5715</wp:posOffset>
            </wp:positionV>
            <wp:extent cx="10134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2">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 LaDuane Clifton, CPA</w:t>
      </w:r>
    </w:p>
    <w:p>
      <w:pPr>
        <w:spacing w:after="0" w:line="2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Chief Financial Officer, Secretary and Treasurer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Adrian Quartel: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153035</wp:posOffset>
            </wp:positionV>
            <wp:extent cx="21418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3">
                      <a:extLst>
                        <a:ext uri="{28A0092B-C50C-407E-A947-70E740481C1C}"/>
                      </a:extLst>
                    </a:blip>
                    <a:srcRect/>
                    <a:stretch>
                      <a:fillRect/>
                    </a:stretch>
                  </pic:blipFill>
                  <pic:spPr bwMode="auto">
                    <a:xfrm>
                      <a:off x="0" y="0"/>
                      <a:ext cx="2141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784860</wp:posOffset>
            </wp:positionV>
            <wp:extent cx="713295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20"/>
          </w:cols>
          <w:pgMar w:left="320" w:top="578" w:right="45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580" w:type="dxa"/>
            <w:vAlign w:val="bottom"/>
            <w:gridSpan w:val="5"/>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8"/>
              </w:rPr>
              <w:t>EXIDBITA</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0"/>
        </w:trPr>
        <w:tc>
          <w:tcPr>
            <w:tcW w:w="2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580" w:type="dxa"/>
            <w:vAlign w:val="bottom"/>
            <w:gridSpan w:val="5"/>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FORM OF RELEASE OF CLAIMS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0"/>
        </w:trPr>
        <w:tc>
          <w:tcPr>
            <w:tcW w:w="2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580" w:type="dxa"/>
            <w:vAlign w:val="bottom"/>
            <w:gridSpan w:val="5"/>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9"/>
              </w:rPr>
              <w:t>Separation of Employment Agreement and General Release</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9"/>
        </w:trPr>
        <w:tc>
          <w:tcPr>
            <w:tcW w:w="9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THIS SEPARATION OF EMPLOYMENT AGREEMENT AND GENERAL RELEASE (the "Agreement")is made as of this _   day of</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676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auto"/>
              </w:rPr>
              <w:t>by and between Adrian Quartel ("Executive") and Zevra Therapeutics, Inc. (the "Company").</w:t>
            </w:r>
          </w:p>
        </w:tc>
        <w:tc>
          <w:tcPr>
            <w:tcW w:w="1000" w:type="dxa"/>
            <w:vAlign w:val="bottom"/>
            <w:tcBorders>
              <w:top w:val="single" w:sz="8" w:color="auto"/>
            </w:tcBorders>
          </w:tcPr>
          <w:p>
            <w:pPr>
              <w:spacing w:after="0"/>
              <w:rPr>
                <w:sz w:val="16"/>
                <w:szCs w:val="16"/>
                <w:color w:val="auto"/>
              </w:rPr>
            </w:pPr>
          </w:p>
        </w:tc>
        <w:tc>
          <w:tcPr>
            <w:tcW w:w="2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2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1"/>
        </w:trPr>
        <w:tc>
          <w:tcPr>
            <w:tcW w:w="9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WHEREAS, Executive is employed by Company as Chief Medical Officer;</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9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 xml:space="preserve">WHEREAS, Executive and Company entered into an Employment Agreement, January 3, 2024,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xml:space="preserve"> which provides for certain benefits in the event that Executive's employment is terminated on account of a reason set forth in the Employment Agreement;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WHEREAS, Executive's employment with Company will terminate effective</w:t>
            </w:r>
          </w:p>
        </w:tc>
        <w:tc>
          <w:tcPr>
            <w:tcW w:w="5320" w:type="dxa"/>
            <w:vAlign w:val="bottom"/>
            <w:tcBorders>
              <w:bottom w:val="single" w:sz="8" w:color="auto"/>
            </w:tcBorders>
          </w:tcPr>
          <w:p>
            <w:pPr>
              <w:spacing w:after="0"/>
              <w:rPr>
                <w:sz w:val="17"/>
                <w:szCs w:val="17"/>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(the</w:t>
            </w:r>
          </w:p>
        </w:tc>
      </w:tr>
      <w:tr>
        <w:trPr>
          <w:trHeight w:val="195"/>
        </w:trPr>
        <w:tc>
          <w:tcPr>
            <w:tcW w:w="55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"Termination Date"); and</w:t>
            </w:r>
          </w:p>
        </w:tc>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WHEREAS, in connection with the termination of Executive's employment, the parties have agreed to a separation package and the resolution of any and all disputes between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IT IS HEREBY AGREED by and between Executive and Company as follows:</w:t>
      </w:r>
    </w:p>
    <w:p>
      <w:pPr>
        <w:spacing w:after="0" w:line="27" w:lineRule="exact"/>
        <w:rPr>
          <w:sz w:val="20"/>
          <w:szCs w:val="20"/>
          <w:color w:val="auto"/>
        </w:rPr>
      </w:pPr>
    </w:p>
    <w:p>
      <w:pPr>
        <w:jc w:val="both"/>
        <w:ind w:left="880" w:hanging="322"/>
        <w:spacing w:after="0" w:line="249" w:lineRule="auto"/>
        <w:tabs>
          <w:tab w:leader="none" w:pos="8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for and in consideration of the commitments of Company as set forth in paragraph 6 of this Agreement, and intending to be legally bound, does hereby REMISE, RELEASE AND FOREVER DISCHARGE Company, its stockholders, its present and past affiliates, subsidiaries and parents, their respective officers, directors, investors, employees, and agents, and their respective predecessors, successors and assigns, heirs, executors, and administrators (collectively,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xml:space="preserve"> subject to the exceptions of Section 2 of the Agreement, from all causes of action, suits, debts, claims and demands whatsoever in law or in equity, which Executive ever had, now has, or hereafter may have, whether known or unknown, or which Executive's heirs, executors, or administrators may have, by reason of any matter, cause or thing whatsoever, from the beginning of time to the date of this Agreement, to the extent arising from or relating in any way to Executive's employment relationship with Company, the terms and conditions of that employment relationship, and/or the termination of that employment relationship, including, but not limited to, (i) any claims for monetary damages arising under the Age Discrimination in Employment Act("</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xml:space="preserve"> the Older Workers Benefit Protection Act </w:t>
      </w:r>
      <w:r>
        <w:rPr>
          <w:rFonts w:ascii="Times New Roman" w:cs="Times New Roman" w:eastAsia="Times New Roman" w:hAnsi="Times New Roman"/>
          <w:sz w:val="18"/>
          <w:szCs w:val="18"/>
          <w:u w:val="single" w:color="auto"/>
          <w:color w:val="auto"/>
        </w:rPr>
        <w:t>("OWBPA")</w:t>
      </w:r>
      <w:r>
        <w:rPr>
          <w:rFonts w:ascii="Times New Roman" w:cs="Times New Roman" w:eastAsia="Times New Roman" w:hAnsi="Times New Roman"/>
          <w:sz w:val="18"/>
          <w:szCs w:val="18"/>
          <w:color w:val="auto"/>
        </w:rPr>
        <w:t>, Title VII of The Civil Rights Act of 1964, the Americans with Disabilities Act; (ii) any and all claims arising under the Family and Medical Leave Act of 1993, the Employee Retirement Income Security Act of 1974, as amended; (iii) any and all claims arising under any applicable state and local fair employment practice laws and wage and hour laws; (iv) any other claims under any federal, state or local common law, statutory, or regulatory provision, now or hereafter recognized; and (v) any claims for attorneys' fees and costs.</w:t>
      </w:r>
    </w:p>
    <w:p>
      <w:pPr>
        <w:spacing w:after="0" w:line="200" w:lineRule="exact"/>
        <w:rPr>
          <w:sz w:val="20"/>
          <w:szCs w:val="20"/>
          <w:color w:val="auto"/>
        </w:rPr>
      </w:pPr>
    </w:p>
    <w:p>
      <w:pPr>
        <w:jc w:val="both"/>
        <w:ind w:left="880" w:hanging="322"/>
        <w:spacing w:after="0" w:line="255" w:lineRule="auto"/>
        <w:tabs>
          <w:tab w:leader="none" w:pos="8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shall in no event apply to (i) enforcement by Executive of Executive's rights under this Agreement, (ii) Executive's rights as a stockholder in Company or any of its affiliates, (iii) Executive's rights to indemnifications under any separate contract or insurance policy, (iv) Executive's right to seek unemployment insurance benefits, (v) Executive's right to seek workers' compensation benefits, (vi) any rights Executive has to indemnification for service as an officer of Company, or (vii) any claims that, as a matter of applicable law, are not waivable. This Agreement is effective without regard to the legal nature of the claims raised and without regard to whether any such claims are based upon tort, equity, implied or express contract or discrimination of any sort.</w:t>
      </w:r>
    </w:p>
    <w:p>
      <w:pPr>
        <w:spacing w:after="0" w:line="185" w:lineRule="exact"/>
        <w:rPr>
          <w:rFonts w:ascii="Times New Roman" w:cs="Times New Roman" w:eastAsia="Times New Roman" w:hAnsi="Times New Roman"/>
          <w:sz w:val="18"/>
          <w:szCs w:val="18"/>
          <w:color w:val="auto"/>
        </w:rPr>
      </w:pPr>
    </w:p>
    <w:p>
      <w:pPr>
        <w:jc w:val="both"/>
        <w:ind w:left="8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and Company agree that nothing in this Agreement prevents or prohibits Executive from (i) making any disclosure of relevant and necessary information or documents in connection with any charge, action, investigation, or proceeding relating to this Agreement, or as required by law or legal process; (ii) participating, cooperating, or testifying in any charge, action, investigation, or proceeding with, or providing information to, any self-regulatory organization, governmental agency or legislative body, and/or pursuant to the Sarbanes-Oxley Act, (iii) filing, testifying, participating in or otherwise assisting in a proceeding relating to an alleged violation of any federal, state or municipal law relating to fraud, or any rule or regulation of the Securities and Exchange Commission or any self-regulatory organization or (iv) challenging the knowing and voluntary nature of the release of ADEA claims pursuant to the OWBPA. To the extent permitted by law, upon receipt of any subpoena, court order or other legal process compelling the disclosure of any such information or documents, Executive agrees to give prompt written notice to Company so as to permit Company to protect its interests in confidentiality to the fullest extent possible. To the fullest extent provided by law, Executive acknowledges and agrees, however, Executive is waiving any right to recover monetary damages in connection with any such charge, action, investigation or proceeding. To the extent Executive receives any monetary relief in connection with any such charge, action, investigation or proceeding, Company will be entitled to an offset for the benefits made pursuant to this Agreement, to the fullest extent provided bylaw.</w:t>
      </w:r>
    </w:p>
    <w:p>
      <w:pPr>
        <w:spacing w:after="0" w:line="195" w:lineRule="exact"/>
        <w:rPr>
          <w:rFonts w:ascii="Times New Roman" w:cs="Times New Roman" w:eastAsia="Times New Roman" w:hAnsi="Times New Roman"/>
          <w:sz w:val="18"/>
          <w:szCs w:val="18"/>
          <w:color w:val="auto"/>
        </w:rPr>
      </w:pPr>
    </w:p>
    <w:p>
      <w:pPr>
        <w:jc w:val="both"/>
        <w:ind w:left="8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and Company further agree that the Equal Employment Opportunity Commission </w:t>
      </w:r>
      <w:r>
        <w:rPr>
          <w:rFonts w:ascii="Times New Roman" w:cs="Times New Roman" w:eastAsia="Times New Roman" w:hAnsi="Times New Roman"/>
          <w:sz w:val="18"/>
          <w:szCs w:val="18"/>
          <w:u w:val="single" w:color="auto"/>
          <w:color w:val="auto"/>
        </w:rPr>
        <w:t>("EEOC")</w:t>
      </w:r>
      <w:r>
        <w:rPr>
          <w:rFonts w:ascii="Times New Roman" w:cs="Times New Roman" w:eastAsia="Times New Roman" w:hAnsi="Times New Roman"/>
          <w:sz w:val="18"/>
          <w:szCs w:val="18"/>
          <w:color w:val="auto"/>
        </w:rPr>
        <w:t xml:space="preserve"> and comparable state or local agencies have the authority to carry out their statutory duties by investigating charges, issuing determinations, and filing lawsuits in Federal or state court in their own name, or taking any action authorized by the EEOC or comparable state or local agencies. Executive retains the right to participate in any such action and to seek any appropriate non-monetary relief. Executive retains the right to communicate with the EEOC and comparable state or local agencies and such communication can be initiated by Executive or in response to the government and such right is not limited by any non-disparagement claims. Executive and Company agree that communication with employees plays a critical role in the EEOC's enforcement process because employees inform the agency of employer practices that might violate the law. For this reason, the right to communicate with the EEOC is a right that is protected by federal law and this Agreement does not prohibit or interfere with those rights. Notwithstanding the foregoing, Executive agrees to waive Executive's right to recover monetary damages in any charge, complaint or lawsuit filed by Executive or by anyone else on Executive's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354965</wp:posOffset>
            </wp:positionV>
            <wp:extent cx="713295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89" w:right="339" w:bottom="1053" w:gutter="0" w:footer="0" w:header="0"/>
        </w:sectPr>
      </w:pPr>
    </w:p>
    <w:bookmarkStart w:id="182" w:name="page183"/>
    <w:bookmarkEnd w:id="182"/>
    <w:p>
      <w:pPr>
        <w:ind w:left="322" w:hanging="322"/>
        <w:spacing w:after="0" w:line="280" w:lineRule="auto"/>
        <w:tabs>
          <w:tab w:leader="none" w:pos="32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Executive's agreement to comply with the covenants described in Section 7-9 of the Employment Agreement, Company agrees as set forth in paragraph 6 herein.</w:t>
      </w:r>
    </w:p>
    <w:p>
      <w:pPr>
        <w:spacing w:after="0" w:line="161" w:lineRule="exact"/>
        <w:rPr>
          <w:rFonts w:ascii="Times New Roman" w:cs="Times New Roman" w:eastAsia="Times New Roman" w:hAnsi="Times New Roman"/>
          <w:sz w:val="18"/>
          <w:szCs w:val="18"/>
          <w:color w:val="auto"/>
        </w:rPr>
      </w:pPr>
    </w:p>
    <w:p>
      <w:pPr>
        <w:jc w:val="both"/>
        <w:ind w:left="322" w:hanging="322"/>
        <w:spacing w:after="0" w:line="264" w:lineRule="auto"/>
        <w:tabs>
          <w:tab w:leader="none" w:pos="32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further agrees and recognizes that Executive has permanently and irrevocably severed Executive's employment relationship with Company, that Executive shall not seek employment with Company or any affiliated entity at any time in the future, and that neither Company nor any affiliate has any obligation to employ Executive in the future.</w:t>
      </w:r>
    </w:p>
    <w:p>
      <w:pPr>
        <w:spacing w:after="0" w:line="176" w:lineRule="exact"/>
        <w:rPr>
          <w:rFonts w:ascii="Times New Roman" w:cs="Times New Roman" w:eastAsia="Times New Roman" w:hAnsi="Times New Roman"/>
          <w:sz w:val="18"/>
          <w:szCs w:val="18"/>
          <w:color w:val="auto"/>
        </w:rPr>
      </w:pPr>
    </w:p>
    <w:p>
      <w:pPr>
        <w:jc w:val="both"/>
        <w:ind w:left="322" w:hanging="322"/>
        <w:spacing w:after="0" w:line="264" w:lineRule="auto"/>
        <w:tabs>
          <w:tab w:leader="none" w:pos="32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Executive will not disparage or subvert Company or the Releasees, or make any statement reflecting negatively on Company or the Releasees, including, but not limited to, any matters relating to the operation or management of Company, Executive's employment and the termination of Executive's employment, irrespective of the truthfulness or falsity of such statement.</w:t>
      </w:r>
    </w:p>
    <w:p>
      <w:pPr>
        <w:spacing w:after="0" w:line="176" w:lineRule="exact"/>
        <w:rPr>
          <w:rFonts w:ascii="Times New Roman" w:cs="Times New Roman" w:eastAsia="Times New Roman" w:hAnsi="Times New Roman"/>
          <w:sz w:val="18"/>
          <w:szCs w:val="18"/>
          <w:color w:val="auto"/>
        </w:rPr>
      </w:pPr>
    </w:p>
    <w:p>
      <w:pPr>
        <w:jc w:val="both"/>
        <w:ind w:left="322" w:hanging="322"/>
        <w:spacing w:after="0" w:line="259" w:lineRule="auto"/>
        <w:tabs>
          <w:tab w:leader="none" w:pos="32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Executive's agreement as set forth herein, Company agrees to pay and provide Executive with the severance benefits described in Section 4(E)( l) of Executive's Employment Agreement. Executive agrees that Executive is not entitled to any payments, benefits, severance payments or other compensation beyond that expressly provided in Section 4(E)(l) of Executive's Employment Agreement and the Accrued Benefits (as defined in Section 4(B) of the Employment Agreement).</w:t>
      </w:r>
    </w:p>
    <w:p>
      <w:pPr>
        <w:spacing w:after="0" w:line="181" w:lineRule="exact"/>
        <w:rPr>
          <w:rFonts w:ascii="Times New Roman" w:cs="Times New Roman" w:eastAsia="Times New Roman" w:hAnsi="Times New Roman"/>
          <w:sz w:val="18"/>
          <w:szCs w:val="18"/>
          <w:color w:val="auto"/>
        </w:rPr>
      </w:pPr>
    </w:p>
    <w:p>
      <w:pPr>
        <w:jc w:val="both"/>
        <w:ind w:left="322" w:hanging="322"/>
        <w:spacing w:after="0" w:line="259" w:lineRule="auto"/>
        <w:tabs>
          <w:tab w:leader="none" w:pos="32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understands and agrees that the payments, benefits and agreements provided in this Agreement are being provided to Executive in consideration for Executive's acceptance and execution of, and in reliance upon Executive's representations in, this Agreement. Executive acknowledges that if Executive had not executed this Agreement containing a release of all claims against Company and the Releasees, Executive would only have been entitled to the payments provided in Company's standard severance pay plan for employees.</w:t>
      </w:r>
    </w:p>
    <w:p>
      <w:pPr>
        <w:spacing w:after="0" w:line="181" w:lineRule="exact"/>
        <w:rPr>
          <w:rFonts w:ascii="Times New Roman" w:cs="Times New Roman" w:eastAsia="Times New Roman" w:hAnsi="Times New Roman"/>
          <w:sz w:val="18"/>
          <w:szCs w:val="18"/>
          <w:color w:val="auto"/>
        </w:rPr>
      </w:pPr>
    </w:p>
    <w:p>
      <w:pPr>
        <w:jc w:val="both"/>
        <w:ind w:left="322" w:hanging="322"/>
        <w:spacing w:after="0" w:line="253" w:lineRule="auto"/>
        <w:tabs>
          <w:tab w:leader="none" w:pos="32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and agrees that Company previously has satisfied any and all obligations owed to Executive under any employment agreement Executive has with Company or a Releasee and, further, that this Agreement supersedes any and all prior agreements or understandings, whether written or oral, between the parties, excluding only Executive's and Company's post-termination obligations under Executive's Employment Agreement, Executive's rights under any outstanding equity grants in accordance with the terms of the applicable grant agreements, any obligations relating to the securities of Company or any of its affiliates and Company's obligations under Section 4(E)(l) of Executive's Employment Agreement and to pay or provide the Accrued Benefits (as defined in Section 4(B) of the Employment Agreement), all of which shall remain in full force and effect to the extent not inconsistent with this Agreement, and further, that, except as set forth expressly herein, no promises or representations have been made to Executive in connection with the termination of Executive's Employment Agreement or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215265</wp:posOffset>
            </wp:positionV>
            <wp:extent cx="713295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682"/>
          </w:cols>
          <w:pgMar w:left="878" w:top="578" w:right="339" w:bottom="1440" w:gutter="0" w:footer="0" w:header="0"/>
        </w:sectPr>
      </w:pPr>
    </w:p>
    <w:bookmarkStart w:id="183" w:name="page184"/>
    <w:bookmarkEnd w:id="183"/>
    <w:p>
      <w:pPr>
        <w:jc w:val="both"/>
        <w:ind w:left="880" w:hanging="322"/>
        <w:spacing w:after="0" w:line="256" w:lineRule="auto"/>
        <w:tabs>
          <w:tab w:leader="none" w:pos="8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be necessary to obtain approval or authorization to fulfill Executive's or its obligations hereunder or as required by applicable law and subject to the exceptions of Section 2 of the Agreement, (a) Executive agrees not to disclose the terms of this Agreement to anyone, except Executive's spouse, attorney and, as necessary, tax/financial advisor, and (b) Company agrees that the terms of this Agreement will not be disclosed. It is expressly understood that any violation of the confidentiality obligation imposed hereunder constitutes a material breach of this Agreement.</w:t>
      </w:r>
    </w:p>
    <w:p>
      <w:pPr>
        <w:spacing w:after="0" w:line="186" w:lineRule="exact"/>
        <w:rPr>
          <w:rFonts w:ascii="Times New Roman" w:cs="Times New Roman" w:eastAsia="Times New Roman" w:hAnsi="Times New Roman"/>
          <w:sz w:val="18"/>
          <w:szCs w:val="18"/>
          <w:color w:val="auto"/>
        </w:rPr>
      </w:pPr>
    </w:p>
    <w:p>
      <w:pPr>
        <w:jc w:val="both"/>
        <w:ind w:left="780" w:hanging="316"/>
        <w:spacing w:after="0" w:line="252" w:lineRule="auto"/>
        <w:tabs>
          <w:tab w:leader="none" w:pos="7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represents that Executive does not presently have in Executive's possession any records and business documents, whether on computer or hard copy, and other materials (including but not limited to computer disks and tapes, computer programs and software, office keys, correspondence, files, customer lists, technical information, customer information, pricing information, business strategies and plans, sales records and all copies thereof) (collectively, the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xml:space="preserve"> provided by Company and/or its predecessors, parents, subsidiaries or affiliates or obtained as a result of Executive's employment with Company and/or its predecessors, parents, subsidiaries or affiliates, or created by Executive while employed by or rendering services to Company and/or its predecessors, parents, subsidiaries or affiliates. Executive acknowledges that all such Corporate Records are the property of Company. In addition, Executive shall promptly return in good condition any and all Company owned equipment or property, including, but not limited to, automobiles, personal data assistants, facsimile machines, copy machines, pagers, credit cards, cellular telephone equipment, business cards, laptops and computers. As of the Termination Date, Company will make arrangements to remove, terminate or transfer any and all business communication lines including network access, cellular phone, fax line and other business numbers.</w:t>
      </w:r>
    </w:p>
    <w:p>
      <w:pPr>
        <w:spacing w:after="0" w:line="189" w:lineRule="exact"/>
        <w:rPr>
          <w:rFonts w:ascii="Times New Roman" w:cs="Times New Roman" w:eastAsia="Times New Roman" w:hAnsi="Times New Roman"/>
          <w:sz w:val="18"/>
          <w:szCs w:val="18"/>
          <w:color w:val="auto"/>
        </w:rPr>
      </w:pPr>
    </w:p>
    <w:p>
      <w:pPr>
        <w:jc w:val="both"/>
        <w:ind w:left="780" w:hanging="316"/>
        <w:spacing w:after="0" w:line="256" w:lineRule="auto"/>
        <w:tabs>
          <w:tab w:leader="none" w:pos="7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exceptions of Section 2 of the Agreement, Executive expressly waives all rights afforded by any statute which expressly limits the effect of a release with respect to unknown claims. Executive acknowledges the significance of this release of unknown claims and the waiver of statutory protection against a release of unknown claims which provides that a general release does not extend to claims which the creditor does not know or suspect to exist in Executive's favor at the time of executing the release, which if known by it must have materially affected its settlement with the debtor.</w:t>
      </w:r>
    </w:p>
    <w:p>
      <w:pPr>
        <w:spacing w:after="0" w:line="186" w:lineRule="exact"/>
        <w:rPr>
          <w:rFonts w:ascii="Times New Roman" w:cs="Times New Roman" w:eastAsia="Times New Roman" w:hAnsi="Times New Roman"/>
          <w:sz w:val="18"/>
          <w:szCs w:val="18"/>
          <w:color w:val="auto"/>
        </w:rPr>
      </w:pPr>
    </w:p>
    <w:p>
      <w:pPr>
        <w:jc w:val="both"/>
        <w:ind w:left="780" w:hanging="316"/>
        <w:spacing w:after="0" w:line="264" w:lineRule="auto"/>
        <w:tabs>
          <w:tab w:leader="none" w:pos="7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and acknowledge that the agreements by Company described herein, and the settlement and termination of any asserted or unasserted claims against the Releasees, are not and shall not be construed to be an admission of any violation of any federal, state or local statute or regulation, or of any duty owed by any of the Releasees to Executive.</w:t>
      </w:r>
    </w:p>
    <w:p>
      <w:pPr>
        <w:spacing w:after="0" w:line="176" w:lineRule="exact"/>
        <w:rPr>
          <w:rFonts w:ascii="Times New Roman" w:cs="Times New Roman" w:eastAsia="Times New Roman" w:hAnsi="Times New Roman"/>
          <w:sz w:val="18"/>
          <w:szCs w:val="18"/>
          <w:color w:val="auto"/>
        </w:rPr>
      </w:pPr>
    </w:p>
    <w:p>
      <w:pPr>
        <w:jc w:val="both"/>
        <w:ind w:left="780" w:hanging="316"/>
        <w:spacing w:after="0" w:line="259" w:lineRule="auto"/>
        <w:tabs>
          <w:tab w:leader="none" w:pos="7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and recognizes that should Executive breach any of the obligations or covenants set forth in this Agreement, Company will have no further obligation to provide Executive with the consideration set forth herein, and will have the right to seek repayment of all consideration paid up to the time of any such breach. Further, Executive acknowledges in the event of a breach of this Agreement, Releasees may seek any and all appropriate relief for any such breach, including equitable relief and/or money damages.</w:t>
      </w:r>
    </w:p>
    <w:p>
      <w:pPr>
        <w:spacing w:after="0" w:line="181" w:lineRule="exact"/>
        <w:rPr>
          <w:rFonts w:ascii="Times New Roman" w:cs="Times New Roman" w:eastAsia="Times New Roman" w:hAnsi="Times New Roman"/>
          <w:sz w:val="18"/>
          <w:szCs w:val="18"/>
          <w:color w:val="auto"/>
        </w:rPr>
      </w:pPr>
    </w:p>
    <w:p>
      <w:pPr>
        <w:ind w:left="780" w:hanging="316"/>
        <w:spacing w:after="0" w:line="280" w:lineRule="auto"/>
        <w:tabs>
          <w:tab w:leader="none" w:pos="7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obligations of the parties hereunder shall be construed, interpreted and enforced in accordance with the laws of the State of Florida.</w:t>
      </w:r>
    </w:p>
    <w:p>
      <w:pPr>
        <w:spacing w:after="0" w:line="161" w:lineRule="exact"/>
        <w:rPr>
          <w:rFonts w:ascii="Times New Roman" w:cs="Times New Roman" w:eastAsia="Times New Roman" w:hAnsi="Times New Roman"/>
          <w:sz w:val="18"/>
          <w:szCs w:val="18"/>
          <w:color w:val="auto"/>
        </w:rPr>
      </w:pPr>
    </w:p>
    <w:p>
      <w:pPr>
        <w:ind w:left="1400" w:hanging="318"/>
        <w:spacing w:after="0"/>
        <w:tabs>
          <w:tab w:leader="none" w:pos="1400"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certifies and acknowledges as follows:</w:t>
      </w:r>
    </w:p>
    <w:p>
      <w:pPr>
        <w:spacing w:after="0" w:line="222" w:lineRule="exact"/>
        <w:rPr>
          <w:rFonts w:ascii="Times New Roman" w:cs="Times New Roman" w:eastAsia="Times New Roman" w:hAnsi="Times New Roman"/>
          <w:sz w:val="18"/>
          <w:szCs w:val="18"/>
          <w:color w:val="auto"/>
        </w:rPr>
      </w:pPr>
    </w:p>
    <w:p>
      <w:pPr>
        <w:jc w:val="both"/>
        <w:ind w:left="1540" w:hanging="323"/>
        <w:spacing w:after="0" w:line="264" w:lineRule="auto"/>
        <w:tabs>
          <w:tab w:leader="none" w:pos="1540" w:val="left"/>
        </w:tabs>
        <w:numPr>
          <w:ilvl w:val="3"/>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Executive has read the terms of this Agreement, and that Executive understands its terms and effects, including the fact that Executive has agreed to RELEASE AND FOREVER DISCHARGE Company and each of the Releasees from any legal action arising out of Executive's employment relationship with Company and the termination of that employment relationship;</w:t>
      </w:r>
    </w:p>
    <w:p>
      <w:pPr>
        <w:spacing w:after="0" w:line="176" w:lineRule="exact"/>
        <w:rPr>
          <w:rFonts w:ascii="Times New Roman" w:cs="Times New Roman" w:eastAsia="Times New Roman" w:hAnsi="Times New Roman"/>
          <w:sz w:val="18"/>
          <w:szCs w:val="18"/>
          <w:color w:val="auto"/>
        </w:rPr>
      </w:pPr>
    </w:p>
    <w:p>
      <w:pPr>
        <w:jc w:val="both"/>
        <w:ind w:left="1520" w:hanging="317"/>
        <w:spacing w:after="0" w:line="264" w:lineRule="auto"/>
        <w:tabs>
          <w:tab w:leader="none" w:pos="1520" w:val="left"/>
        </w:tabs>
        <w:numPr>
          <w:ilvl w:val="3"/>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Executive has signed this Agreement voluntarily and knowingly in exchange for the consideration described herein, which Executive acknowledges is adequate and satisfactory to Executive and which Executive acknowledges is in addition to any other benefits to which Executive is otherwise entitled;</w:t>
      </w:r>
    </w:p>
    <w:p>
      <w:pPr>
        <w:spacing w:after="0" w:line="176" w:lineRule="exact"/>
        <w:rPr>
          <w:rFonts w:ascii="Times New Roman" w:cs="Times New Roman" w:eastAsia="Times New Roman" w:hAnsi="Times New Roman"/>
          <w:sz w:val="18"/>
          <w:szCs w:val="18"/>
          <w:color w:val="auto"/>
        </w:rPr>
      </w:pPr>
    </w:p>
    <w:p>
      <w:pPr>
        <w:ind w:left="1540" w:hanging="323"/>
        <w:spacing w:after="0"/>
        <w:tabs>
          <w:tab w:leader="none" w:pos="1540" w:val="left"/>
        </w:tabs>
        <w:numPr>
          <w:ilvl w:val="3"/>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Executive has been and is hereby advised in writing to consult with an attorney prior to signing this Agreement;</w:t>
      </w:r>
    </w:p>
    <w:p>
      <w:pPr>
        <w:spacing w:after="0" w:line="222" w:lineRule="exact"/>
        <w:rPr>
          <w:rFonts w:ascii="Times New Roman" w:cs="Times New Roman" w:eastAsia="Times New Roman" w:hAnsi="Times New Roman"/>
          <w:sz w:val="18"/>
          <w:szCs w:val="18"/>
          <w:color w:val="auto"/>
        </w:rPr>
      </w:pPr>
    </w:p>
    <w:p>
      <w:pPr>
        <w:ind w:left="1540" w:hanging="323"/>
        <w:spacing w:after="0"/>
        <w:tabs>
          <w:tab w:leader="none" w:pos="1540" w:val="left"/>
        </w:tabs>
        <w:numPr>
          <w:ilvl w:val="4"/>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Executive does not waive rights or claims that may arise after the date this Agreement is executed;</w:t>
      </w:r>
    </w:p>
    <w:p>
      <w:pPr>
        <w:spacing w:after="0" w:line="218" w:lineRule="exact"/>
        <w:rPr>
          <w:rFonts w:ascii="Times New Roman" w:cs="Times New Roman" w:eastAsia="Times New Roman" w:hAnsi="Times New Roman"/>
          <w:sz w:val="18"/>
          <w:szCs w:val="18"/>
          <w:color w:val="auto"/>
        </w:rPr>
      </w:pPr>
    </w:p>
    <w:p>
      <w:pPr>
        <w:jc w:val="both"/>
        <w:ind w:left="1540" w:hanging="323"/>
        <w:spacing w:after="0" w:line="276" w:lineRule="auto"/>
        <w:tabs>
          <w:tab w:leader="none" w:pos="1540" w:val="left"/>
        </w:tabs>
        <w:numPr>
          <w:ilvl w:val="4"/>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Company has provided Executive with a period </w:t>
      </w:r>
      <w:r>
        <w:rPr>
          <w:rFonts w:ascii="Times New Roman" w:cs="Times New Roman" w:eastAsia="Times New Roman" w:hAnsi="Times New Roman"/>
          <w:sz w:val="17"/>
          <w:szCs w:val="17"/>
          <w:b w:val="1"/>
          <w:bCs w:val="1"/>
          <w:color w:val="auto"/>
        </w:rPr>
        <w:t>of[twenty-one (21)]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[forty-five (45)]</w:t>
      </w:r>
      <w:r>
        <w:rPr>
          <w:rFonts w:ascii="Times New Roman" w:cs="Times New Roman" w:eastAsia="Times New Roman" w:hAnsi="Times New Roman"/>
          <w:sz w:val="17"/>
          <w:szCs w:val="17"/>
          <w:color w:val="auto"/>
        </w:rPr>
        <w:t xml:space="preserve"> days within which to consider this Agreement, and that Executive has signed on the date indicated below after concluding that this Separation of Employment Agreement and General Release is satisfactory to Executive; and </w:t>
      </w:r>
      <w:r>
        <w:rPr>
          <w:rFonts w:ascii="Times New Roman" w:cs="Times New Roman" w:eastAsia="Times New Roman" w:hAnsi="Times New Roman"/>
          <w:sz w:val="17"/>
          <w:szCs w:val="17"/>
          <w:b w:val="1"/>
          <w:bCs w:val="1"/>
          <w:i w:val="1"/>
          <w:iCs w:val="1"/>
          <w:color w:val="auto"/>
        </w:rPr>
        <w:t>[Note: The applicable time period will depend on whether the termination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 xml:space="preserve">part of a reduction in force (45 days) or not (21 days). In addition, </w:t>
      </w:r>
      <w:r>
        <w:rPr>
          <w:rFonts w:ascii="Times New Roman" w:cs="Times New Roman" w:eastAsia="Times New Roman" w:hAnsi="Times New Roman"/>
          <w:sz w:val="17"/>
          <w:szCs w:val="17"/>
          <w:i w:val="1"/>
          <w:iCs w:val="1"/>
          <w:color w:val="auto"/>
        </w:rPr>
        <w:t>if</w:t>
      </w:r>
      <w:r>
        <w:rPr>
          <w:rFonts w:ascii="Times New Roman" w:cs="Times New Roman" w:eastAsia="Times New Roman" w:hAnsi="Times New Roman"/>
          <w:sz w:val="17"/>
          <w:szCs w:val="17"/>
          <w:b w:val="1"/>
          <w:bCs w:val="1"/>
          <w:i w:val="1"/>
          <w:iCs w:val="1"/>
          <w:color w:val="auto"/>
        </w:rPr>
        <w:t xml:space="preserve"> the termination is in connection with a reduction in force, certain disclosures will need to be made to Executive to comply with the requirements of the ADEA </w:t>
      </w:r>
      <w:r>
        <w:rPr>
          <w:rFonts w:ascii="Times New Roman" w:cs="Times New Roman" w:eastAsia="Times New Roman" w:hAnsi="Times New Roman"/>
          <w:sz w:val="17"/>
          <w:szCs w:val="17"/>
          <w:i w:val="1"/>
          <w:iCs w:val="1"/>
          <w:color w:val="auto"/>
        </w:rPr>
        <w:t>if</w:t>
      </w:r>
      <w:r>
        <w:rPr>
          <w:rFonts w:ascii="Times New Roman" w:cs="Times New Roman" w:eastAsia="Times New Roman" w:hAnsi="Times New Roman"/>
          <w:sz w:val="17"/>
          <w:szCs w:val="17"/>
          <w:b w:val="1"/>
          <w:bCs w:val="1"/>
          <w:i w:val="1"/>
          <w:iCs w:val="1"/>
          <w:color w:val="auto"/>
        </w:rPr>
        <w:t xml:space="preserve"> Executive </w:t>
      </w:r>
      <w:r>
        <w:rPr>
          <w:rFonts w:ascii="Times New Roman" w:cs="Times New Roman" w:eastAsia="Times New Roman" w:hAnsi="Times New Roman"/>
          <w:sz w:val="17"/>
          <w:szCs w:val="17"/>
          <w:i w:val="1"/>
          <w:iCs w:val="1"/>
          <w:color w:val="auto"/>
        </w:rPr>
        <w:t>is</w:t>
      </w:r>
      <w:r>
        <w:rPr>
          <w:rFonts w:ascii="Times New Roman" w:cs="Times New Roman" w:eastAsia="Times New Roman" w:hAnsi="Times New Roman"/>
          <w:sz w:val="17"/>
          <w:szCs w:val="17"/>
          <w:b w:val="1"/>
          <w:bCs w:val="1"/>
          <w:i w:val="1"/>
          <w:iCs w:val="1"/>
          <w:color w:val="auto"/>
        </w:rPr>
        <w:t xml:space="preserve"> at least age 40.]</w:t>
      </w:r>
    </w:p>
    <w:p>
      <w:pPr>
        <w:spacing w:after="0" w:line="170" w:lineRule="exact"/>
        <w:rPr>
          <w:sz w:val="20"/>
          <w:szCs w:val="20"/>
          <w:color w:val="auto"/>
        </w:rPr>
      </w:pPr>
    </w:p>
    <w:p>
      <w:pPr>
        <w:jc w:val="both"/>
        <w:ind w:left="1560" w:hanging="316"/>
        <w:spacing w:after="0" w:line="259" w:lineRule="auto"/>
        <w:tabs>
          <w:tab w:leader="none" w:pos="15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acknowledges that this Agreement may be revoked by Executive within seven (7) days after execution, and it shall not become effective until the expiration of such seven (7) day revocation period. In the event of a timely revocation by Executive, this Agreement will be deemed null and void and Company will have no obligations hereunder. Revocation may be achieved only by delivering a letter to </w:t>
      </w:r>
      <w:r>
        <w:rPr>
          <w:rFonts w:ascii="Times New Roman" w:cs="Times New Roman" w:eastAsia="Times New Roman" w:hAnsi="Times New Roman"/>
          <w:sz w:val="18"/>
          <w:szCs w:val="18"/>
          <w:b w:val="1"/>
          <w:bCs w:val="1"/>
          <w:color w:val="auto"/>
        </w:rPr>
        <w:t>[NAME, TITLE, ADDRESS),</w:t>
      </w:r>
      <w:r>
        <w:rPr>
          <w:rFonts w:ascii="Times New Roman" w:cs="Times New Roman" w:eastAsia="Times New Roman" w:hAnsi="Times New Roman"/>
          <w:sz w:val="18"/>
          <w:szCs w:val="18"/>
          <w:color w:val="auto"/>
        </w:rPr>
        <w:t xml:space="preserve"> clearly evidencing a decision to revoke within the seven day revocation period.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1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Intending to be legally bound hereby, Executive and Company executed the foregoing Separation of Employment Agreement and General</w:t>
            </w:r>
          </w:p>
        </w:tc>
      </w:tr>
      <w:tr>
        <w:trPr>
          <w:trHeight w:val="193"/>
        </w:trPr>
        <w:tc>
          <w:tcPr>
            <w:tcW w:w="320" w:type="dxa"/>
            <w:vAlign w:val="bottom"/>
          </w:tcPr>
          <w:p>
            <w:pPr>
              <w:spacing w:after="0"/>
              <w:rPr>
                <w:sz w:val="16"/>
                <w:szCs w:val="16"/>
                <w:color w:val="auto"/>
              </w:rPr>
            </w:pPr>
          </w:p>
        </w:tc>
        <w:tc>
          <w:tcPr>
            <w:tcW w:w="96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8"/>
                <w:szCs w:val="18"/>
                <w:color w:val="auto"/>
              </w:rPr>
              <w:t>Release this</w:t>
            </w:r>
          </w:p>
        </w:tc>
        <w:tc>
          <w:tcPr>
            <w:tcW w:w="1200" w:type="dxa"/>
            <w:vAlign w:val="bottom"/>
            <w:tcBorders>
              <w:bottom w:val="single" w:sz="8" w:color="auto"/>
            </w:tcBorders>
            <w:gridSpan w:val="2"/>
          </w:tcPr>
          <w:p>
            <w:pPr>
              <w:spacing w:after="0"/>
              <w:rPr>
                <w:sz w:val="16"/>
                <w:szCs w:val="16"/>
                <w:color w:val="auto"/>
              </w:rPr>
            </w:pPr>
          </w:p>
        </w:tc>
        <w:tc>
          <w:tcPr>
            <w:tcW w:w="760" w:type="dxa"/>
            <w:vAlign w:val="bottom"/>
          </w:tcPr>
          <w:p>
            <w:pPr>
              <w:ind w:left="260"/>
              <w:spacing w:after="0" w:line="193" w:lineRule="exact"/>
              <w:rPr>
                <w:sz w:val="20"/>
                <w:szCs w:val="20"/>
                <w:color w:val="auto"/>
              </w:rPr>
            </w:pPr>
            <w:r>
              <w:rPr>
                <w:rFonts w:ascii="Times New Roman" w:cs="Times New Roman" w:eastAsia="Times New Roman" w:hAnsi="Times New Roman"/>
                <w:sz w:val="18"/>
                <w:szCs w:val="18"/>
                <w:color w:val="auto"/>
              </w:rPr>
              <w:t>day of</w:t>
            </w:r>
          </w:p>
        </w:tc>
        <w:tc>
          <w:tcPr>
            <w:tcW w:w="100" w:type="dxa"/>
            <w:vAlign w:val="bottom"/>
            <w:tcBorders>
              <w:bottom w:val="single" w:sz="8" w:color="auto"/>
            </w:tcBorders>
          </w:tcPr>
          <w:p>
            <w:pPr>
              <w:spacing w:after="0"/>
              <w:rPr>
                <w:sz w:val="16"/>
                <w:szCs w:val="16"/>
                <w:color w:val="auto"/>
              </w:rPr>
            </w:pPr>
          </w:p>
        </w:tc>
        <w:tc>
          <w:tcPr>
            <w:tcW w:w="3440" w:type="dxa"/>
            <w:vAlign w:val="bottom"/>
            <w:gridSpan w:val="2"/>
          </w:tcPr>
          <w:p>
            <w:pPr>
              <w:spacing w:after="0"/>
              <w:rPr>
                <w:sz w:val="16"/>
                <w:szCs w:val="16"/>
                <w:color w:val="auto"/>
              </w:rPr>
            </w:pPr>
          </w:p>
        </w:tc>
        <w:tc>
          <w:tcPr>
            <w:tcW w:w="4100" w:type="dxa"/>
            <w:vAlign w:val="bottom"/>
          </w:tcPr>
          <w:p>
            <w:pPr>
              <w:spacing w:after="0"/>
              <w:rPr>
                <w:sz w:val="16"/>
                <w:szCs w:val="16"/>
                <w:color w:val="auto"/>
              </w:rPr>
            </w:pPr>
          </w:p>
        </w:tc>
      </w:tr>
      <w:tr>
        <w:trPr>
          <w:trHeight w:val="410"/>
        </w:trPr>
        <w:tc>
          <w:tcPr>
            <w:tcW w:w="2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ZEVRA THERAPEUTICS, INC.</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Witness:</w:t>
            </w:r>
          </w:p>
        </w:tc>
        <w:tc>
          <w:tcPr>
            <w:tcW w:w="4100" w:type="dxa"/>
            <w:vAlign w:val="bottom"/>
          </w:tcPr>
          <w:p>
            <w:pPr>
              <w:jc w:val="right"/>
              <w:ind w:right="3910"/>
              <w:spacing w:after="0"/>
              <w:rPr>
                <w:sz w:val="20"/>
                <w:szCs w:val="20"/>
                <w:color w:val="auto"/>
              </w:rPr>
            </w:pPr>
            <w:r>
              <w:rPr>
                <w:rFonts w:ascii="Times New Roman" w:cs="Times New Roman" w:eastAsia="Times New Roman" w:hAnsi="Times New Roman"/>
                <w:sz w:val="18"/>
                <w:szCs w:val="18"/>
                <w:color w:val="auto"/>
                <w:w w:val="88"/>
              </w:rPr>
              <w:t>_</w:t>
            </w:r>
          </w:p>
        </w:tc>
      </w:tr>
      <w:tr>
        <w:trPr>
          <w:trHeight w:val="625"/>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_</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4100" w:type="dxa"/>
            <w:vAlign w:val="bottom"/>
          </w:tcPr>
          <w:p>
            <w:pPr>
              <w:spacing w:after="0"/>
              <w:rPr>
                <w:sz w:val="24"/>
                <w:szCs w:val="24"/>
                <w:color w:val="auto"/>
              </w:rPr>
            </w:pPr>
          </w:p>
        </w:tc>
      </w:tr>
      <w:tr>
        <w:trPr>
          <w:trHeight w:val="410"/>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Witness:</w:t>
            </w:r>
          </w:p>
        </w:tc>
        <w:tc>
          <w:tcPr>
            <w:tcW w:w="4100" w:type="dxa"/>
            <w:vAlign w:val="bottom"/>
          </w:tcPr>
          <w:p>
            <w:pPr>
              <w:jc w:val="right"/>
              <w:ind w:right="3910"/>
              <w:spacing w:after="0"/>
              <w:rPr>
                <w:sz w:val="20"/>
                <w:szCs w:val="20"/>
                <w:color w:val="auto"/>
              </w:rPr>
            </w:pPr>
            <w:r>
              <w:rPr>
                <w:rFonts w:ascii="Times New Roman" w:cs="Times New Roman" w:eastAsia="Times New Roman" w:hAnsi="Times New Roman"/>
                <w:sz w:val="18"/>
                <w:szCs w:val="18"/>
                <w:color w:val="auto"/>
                <w:w w:val="88"/>
              </w:rPr>
              <w:t>_</w:t>
            </w:r>
          </w:p>
        </w:tc>
      </w:tr>
      <w:tr>
        <w:trPr>
          <w:trHeight w:val="236"/>
        </w:trPr>
        <w:tc>
          <w:tcPr>
            <w:tcW w:w="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Title:</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80" w:type="dxa"/>
            <w:vAlign w:val="bottom"/>
            <w:tcBorders>
              <w:top w:val="single" w:sz="8" w:color="auto"/>
            </w:tcBorders>
          </w:tcPr>
          <w:p>
            <w:pPr>
              <w:spacing w:after="0"/>
              <w:rPr>
                <w:sz w:val="20"/>
                <w:szCs w:val="20"/>
                <w:color w:val="auto"/>
              </w:rPr>
            </w:pPr>
          </w:p>
        </w:tc>
        <w:tc>
          <w:tcPr>
            <w:tcW w:w="4100" w:type="dxa"/>
            <w:vAlign w:val="bottom"/>
          </w:tcPr>
          <w:p>
            <w:pPr>
              <w:spacing w:after="0"/>
              <w:rPr>
                <w:sz w:val="20"/>
                <w:szCs w:val="20"/>
                <w:color w:val="auto"/>
              </w:rPr>
            </w:pPr>
          </w:p>
        </w:tc>
      </w:tr>
    </w:tbl>
    <w:p>
      <w:pPr>
        <w:sectPr>
          <w:pgSz w:w="11900" w:h="16838" w:orient="portrait"/>
          <w:cols w:equalWidth="0" w:num="1">
            <w:col w:w="11240"/>
          </w:cols>
          <w:pgMar w:left="320" w:top="578" w:right="339" w:bottom="413" w:gutter="0" w:footer="0" w:header="0"/>
        </w:sectPr>
      </w:pPr>
    </w:p>
    <w:bookmarkStart w:id="184" w:name="page185"/>
    <w:bookmarkEnd w:id="18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KEMPHARM, INC.</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EXECUTIVE EMPLOYMENT AGREEMENT</w:t>
      </w:r>
    </w:p>
    <w:p>
      <w:pPr>
        <w:spacing w:after="0" w:line="22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This EXECUTIVE EMPLOYMENT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is made and entered into effective as of the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January 2023, by and between KEMPHARM,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JOSHUA SCHAFER ("Executive"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(each being a "Party" hereto and together constituting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WHEREAS, Company desires to employ Executive and, in connection therewith, to compensate Executive for Executive's personal services to the Company; and</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WHEREAS, Executive wishes to be employed by the Company and provide personal services and certain covenants to the Company in return for certain compensation and benefits.</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Now, THEREFORE, in consideration of the mutual promises and covenants contained herein, and for other good and valuable consideration, the receipt, adequacy and sufficiency of which is hereby acknowledged, the Parties hereto agree as follows:</w:t>
      </w:r>
    </w:p>
    <w:p>
      <w:pPr>
        <w:spacing w:after="0" w:line="162" w:lineRule="exact"/>
        <w:rPr>
          <w:sz w:val="20"/>
          <w:szCs w:val="20"/>
          <w:color w:val="auto"/>
        </w:rPr>
      </w:pPr>
    </w:p>
    <w:p>
      <w:pPr>
        <w:ind w:left="1240" w:hanging="319"/>
        <w:spacing w:after="0"/>
        <w:tabs>
          <w:tab w:leader="none" w:pos="12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p>
    <w:p>
      <w:pPr>
        <w:spacing w:after="0" w:line="223" w:lineRule="exact"/>
        <w:rPr>
          <w:sz w:val="20"/>
          <w:szCs w:val="20"/>
          <w:color w:val="auto"/>
        </w:rPr>
      </w:pPr>
    </w:p>
    <w:p>
      <w:pPr>
        <w:jc w:val="both"/>
        <w:ind w:left="500" w:hanging="174"/>
        <w:spacing w:after="0" w:line="264"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Subject to the terms set forth herein, Company agrees to employ Executive, and Executive hereby accepts such employment with Company as Chief Commercial Officer and Executive Vice President of Business Development, or in such other capacities as Company shall reasonably determine from time to time, upon the terms and conditions set forth in this Agreement.</w:t>
      </w:r>
    </w:p>
    <w:p>
      <w:pPr>
        <w:spacing w:after="0" w:line="177" w:lineRule="exact"/>
        <w:rPr>
          <w:sz w:val="20"/>
          <w:szCs w:val="20"/>
          <w:color w:val="auto"/>
        </w:rPr>
      </w:pPr>
    </w:p>
    <w:p>
      <w:pPr>
        <w:jc w:val="both"/>
        <w:ind w:left="500" w:hanging="174"/>
        <w:spacing w:after="0" w:line="264"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Effective Date and Term.</w:t>
      </w:r>
      <w:r>
        <w:rPr>
          <w:rFonts w:ascii="Times New Roman" w:cs="Times New Roman" w:eastAsia="Times New Roman" w:hAnsi="Times New Roman"/>
          <w:sz w:val="18"/>
          <w:szCs w:val="18"/>
          <w:color w:val="auto"/>
        </w:rPr>
        <w:t xml:space="preserve"> Company's employment of Executive under this Agreement shall commence effective as of January 6, 2023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and continue until the Date of Termination (defined in Section 4(A)) (hereinafter such period of time from the commencement </w:t>
      </w:r>
      <w:r>
        <w:rPr>
          <w:rFonts w:ascii="Times New Roman" w:cs="Times New Roman" w:eastAsia="Times New Roman" w:hAnsi="Times New Roman"/>
          <w:sz w:val="18"/>
          <w:szCs w:val="18"/>
          <w:b w:val="1"/>
          <w:bCs w:val="1"/>
          <w:color w:val="auto"/>
        </w:rPr>
        <w:t>until</w:t>
      </w:r>
      <w:r>
        <w:rPr>
          <w:rFonts w:ascii="Times New Roman" w:cs="Times New Roman" w:eastAsia="Times New Roman" w:hAnsi="Times New Roman"/>
          <w:sz w:val="18"/>
          <w:szCs w:val="18"/>
          <w:color w:val="auto"/>
        </w:rPr>
        <w:t xml:space="preserve"> termination of employment shall be referred to as the ' </w:t>
      </w:r>
      <w:r>
        <w:rPr>
          <w:rFonts w:ascii="Times New Roman" w:cs="Times New Roman" w:eastAsia="Times New Roman" w:hAnsi="Times New Roman"/>
          <w:sz w:val="18"/>
          <w:szCs w:val="18"/>
          <w:u w:val="single" w:color="auto"/>
          <w:color w:val="auto"/>
        </w:rPr>
        <w:t>Employment Term</w:t>
      </w:r>
      <w:r>
        <w:rPr>
          <w:rFonts w:ascii="Times New Roman" w:cs="Times New Roman" w:eastAsia="Times New Roman" w:hAnsi="Times New Roman"/>
          <w:sz w:val="18"/>
          <w:szCs w:val="18"/>
          <w:color w:val="auto"/>
        </w:rPr>
        <w:t xml:space="preserve"> ').</w:t>
      </w:r>
    </w:p>
    <w:p>
      <w:pPr>
        <w:spacing w:after="0" w:line="177" w:lineRule="exact"/>
        <w:rPr>
          <w:sz w:val="20"/>
          <w:szCs w:val="20"/>
          <w:color w:val="auto"/>
        </w:rPr>
      </w:pPr>
    </w:p>
    <w:p>
      <w:pPr>
        <w:jc w:val="both"/>
        <w:ind w:left="920" w:hanging="321"/>
        <w:spacing w:after="0" w:line="255" w:lineRule="auto"/>
        <w:tabs>
          <w:tab w:leader="none" w:pos="9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of Executive.</w:t>
      </w:r>
      <w:r>
        <w:rPr>
          <w:rFonts w:ascii="Times New Roman" w:cs="Times New Roman" w:eastAsia="Times New Roman" w:hAnsi="Times New Roman"/>
          <w:sz w:val="18"/>
          <w:szCs w:val="18"/>
          <w:color w:val="auto"/>
        </w:rPr>
        <w:t xml:space="preserve"> During the Employment Term, all of the following shall apply: Executive shall cany out, perform and comply with such reasonable and lawful orders, directions, and written rules and policies (including those rules and policies memorialized in meeting minutes) as are assigned or set by Company's Chief Executive Officer (the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xml:space="preserve"> from time to time. Executive shall report to, receive directions from and be reviewed by the CEO. Executive's duties shall include the duties and responsibilities commonly associated with a Chief Commercial Officer of a company similar to Company. Subject to the limitations of Section 4(E)(3)(iv), the CEO retains the right to modify Executive's responsibilities pursuant to the legitimate business needs of Company.</w:t>
      </w:r>
    </w:p>
    <w:p>
      <w:pPr>
        <w:spacing w:after="0" w:line="185" w:lineRule="exact"/>
        <w:rPr>
          <w:rFonts w:ascii="Times New Roman" w:cs="Times New Roman" w:eastAsia="Times New Roman" w:hAnsi="Times New Roman"/>
          <w:sz w:val="18"/>
          <w:szCs w:val="18"/>
          <w:color w:val="auto"/>
        </w:rPr>
      </w:pPr>
    </w:p>
    <w:p>
      <w:pPr>
        <w:jc w:val="both"/>
        <w:ind w:left="920" w:hanging="321"/>
        <w:spacing w:after="0" w:line="252" w:lineRule="auto"/>
        <w:tabs>
          <w:tab w:leader="none" w:pos="9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Duty of Loyalty</w:t>
      </w:r>
      <w:r>
        <w:rPr>
          <w:rFonts w:ascii="Times New Roman" w:cs="Times New Roman" w:eastAsia="Times New Roman" w:hAnsi="Times New Roman"/>
          <w:sz w:val="18"/>
          <w:szCs w:val="18"/>
          <w:color w:val="auto"/>
        </w:rPr>
        <w:t>. During the Employment Term, Executive shall not, without the prior written consent of the CEO, accept other employment or render or perform other services for compensation. Executive shall devote Executive's full business time and attention and Executive's best efforts to the faithful performance of Executive's duties as an executive officer and employee of Company. Executive's expenditure of reasonable amounts of time (i) devoted to serving on up to two (2) public boards, provided there is no conflict of interest; (ii) devoted to serving on up to two (2) private and/or non-profit boards; (iii) for teaching; and (iv) on behalf of charitable or professional organizations in a capacity other than a board member, shall not be deemed a breach of this Agreement, provided such activities do not interfere with the performance of Executive's duties and responsibilities hereunder, as determined in the CEO's reasonable sole discretion. Nothing in this Agreement shall preclude Executive's expenditure of reasonable amounts of time on personal business; provided such activities do not materially interfere with the performance of Executive's duties and responsibilities hereunder, as determined in the CEO's reasonable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218440</wp:posOffset>
            </wp:positionV>
            <wp:extent cx="713295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6" w:name="page187"/>
    <w:bookmarkEnd w:id="186"/>
    <w:p>
      <w:pPr>
        <w:jc w:val="both"/>
        <w:ind w:left="322" w:hanging="322"/>
        <w:spacing w:after="0" w:line="255" w:lineRule="auto"/>
        <w:tabs>
          <w:tab w:leader="none" w:pos="32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 of Performance.</w:t>
      </w:r>
      <w:r>
        <w:rPr>
          <w:rFonts w:ascii="Times New Roman" w:cs="Times New Roman" w:eastAsia="Times New Roman" w:hAnsi="Times New Roman"/>
          <w:sz w:val="18"/>
          <w:szCs w:val="18"/>
          <w:color w:val="auto"/>
        </w:rPr>
        <w:t xml:space="preserve"> Executive's principal place of employment during the Employment Term will be Celebration, Florida, or such other location as mutually agreed upon by Executive and the CEO. Notwithstanding the foregoing, the Parties expressly agree and acknowledge that the Executive shall initially work remotely from his home office or another remote location of his choosing. Further, notwithstanding the foregoing, Executive understands and agrees that Executive's presence may be required at Company headquarters or other Company worksites, or Executive may be required to travel for business, in each case, in accordance with Executive's duties and responsibilities under this Agreement, as business needs require or may change over time and as reasonably requested by the CEO.</w:t>
      </w:r>
    </w:p>
    <w:p>
      <w:pPr>
        <w:spacing w:after="0" w:line="185" w:lineRule="exact"/>
        <w:rPr>
          <w:sz w:val="20"/>
          <w:szCs w:val="20"/>
          <w:color w:val="auto"/>
        </w:rPr>
      </w:pPr>
    </w:p>
    <w:p>
      <w:pPr>
        <w:jc w:val="both"/>
        <w:ind w:left="322" w:hanging="322"/>
        <w:spacing w:after="0" w:line="264" w:lineRule="auto"/>
        <w:tabs>
          <w:tab w:leader="none" w:pos="32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 xml:space="preserve"> In consideration of the services to be rendered by Executive pursuant to this Agreement, as well as Executive's covenants set forth in this Agreement, Company shall pay to Executive the following compensation, which shall be the entire and exclusive compensation for all of Executive's services rendered and other obligations taken on Company's behalf:</w:t>
      </w:r>
    </w:p>
    <w:p>
      <w:pPr>
        <w:spacing w:after="0" w:line="176" w:lineRule="exact"/>
        <w:rPr>
          <w:rFonts w:ascii="Times New Roman" w:cs="Times New Roman" w:eastAsia="Times New Roman" w:hAnsi="Times New Roman"/>
          <w:sz w:val="18"/>
          <w:szCs w:val="18"/>
          <w:color w:val="auto"/>
        </w:rPr>
      </w:pPr>
    </w:p>
    <w:p>
      <w:pPr>
        <w:jc w:val="both"/>
        <w:ind w:left="922" w:hanging="317"/>
        <w:spacing w:after="0" w:line="254" w:lineRule="auto"/>
        <w:tabs>
          <w:tab w:leader="none" w:pos="92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Base Salary.</w:t>
      </w:r>
      <w:r>
        <w:rPr>
          <w:rFonts w:ascii="Times New Roman" w:cs="Times New Roman" w:eastAsia="Times New Roman" w:hAnsi="Times New Roman"/>
          <w:sz w:val="18"/>
          <w:szCs w:val="18"/>
          <w:color w:val="auto"/>
        </w:rPr>
        <w:t xml:space="preserve"> During the Employment Term, Company shall pay to Executive an annualized base salary of $460,000 (the </w:t>
      </w:r>
      <w:r>
        <w:rPr>
          <w:rFonts w:ascii="Times New Roman" w:cs="Times New Roman" w:eastAsia="Times New Roman" w:hAnsi="Times New Roman"/>
          <w:sz w:val="18"/>
          <w:szCs w:val="18"/>
          <w:u w:val="single" w:color="auto"/>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For calendar years in which Executive is employed for less than the full year, the Base Salary shall be prorated and accrue on a per diem basis for only those days on which Executive was employed during the Employment Term. The Base Salary will be paid by Company in equal installments according to Company's customary payroll practices, but in any event not less frequently than monthly, and shall be subject to all mandatory and voluntary payroll deductions. Executive's Base Salary shall be reviewed periodically by the Company and may be appropriately increased from time to time in the sole discretion of the Company and may only be decreased proportionately with any across-the-board decrease applicable to all senior executives of Company.</w:t>
      </w:r>
    </w:p>
    <w:p>
      <w:pPr>
        <w:spacing w:after="0" w:line="186" w:lineRule="exact"/>
        <w:rPr>
          <w:rFonts w:ascii="Times New Roman" w:cs="Times New Roman" w:eastAsia="Times New Roman" w:hAnsi="Times New Roman"/>
          <w:sz w:val="18"/>
          <w:szCs w:val="18"/>
          <w:color w:val="auto"/>
        </w:rPr>
      </w:pPr>
    </w:p>
    <w:p>
      <w:pPr>
        <w:jc w:val="both"/>
        <w:ind w:left="962" w:hanging="330"/>
        <w:spacing w:after="0" w:line="253" w:lineRule="auto"/>
        <w:tabs>
          <w:tab w:leader="none" w:pos="962"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xml:space="preserve"> During the Employment Term, Executive shall be entitled to participate in all short-term and long-term incentive programs established by Company, at such levels as the Company's Board of Directors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or the Compensation Committee of the Board of Directors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xml:space="preserve"> determines. Executive's annual short-term incentive opportunity target shall be no less than 40% of the Base Salary, as such percentage may be increased from time to time (the </w:t>
      </w:r>
      <w:r>
        <w:rPr>
          <w:rFonts w:ascii="Times New Roman" w:cs="Times New Roman" w:eastAsia="Times New Roman" w:hAnsi="Times New Roman"/>
          <w:sz w:val="18"/>
          <w:szCs w:val="18"/>
          <w:u w:val="single" w:color="auto"/>
          <w:color w:val="auto"/>
        </w:rPr>
        <w:t>"Target Annual Bonus")</w:t>
      </w:r>
      <w:r>
        <w:rPr>
          <w:rFonts w:ascii="Times New Roman" w:cs="Times New Roman" w:eastAsia="Times New Roman" w:hAnsi="Times New Roman"/>
          <w:sz w:val="18"/>
          <w:szCs w:val="18"/>
          <w:color w:val="auto"/>
        </w:rPr>
        <w:t>. The actual amount of such annual incentive compensation shall be determined in accordance with the applicable plans based on achievement of individual and Company performance objectives established in advance by the Board of Directors or the Compensation Committee, taking into account input from Executive, and such actual annual short term incentive compensation amount may be more or less than the target amount. No minimum incentive is guaranteed.</w:t>
      </w:r>
    </w:p>
    <w:p>
      <w:pPr>
        <w:spacing w:after="0" w:line="189" w:lineRule="exact"/>
        <w:rPr>
          <w:rFonts w:ascii="Times New Roman" w:cs="Times New Roman" w:eastAsia="Times New Roman" w:hAnsi="Times New Roman"/>
          <w:sz w:val="18"/>
          <w:szCs w:val="18"/>
          <w:color w:val="auto"/>
        </w:rPr>
      </w:pPr>
    </w:p>
    <w:p>
      <w:pPr>
        <w:jc w:val="both"/>
        <w:ind w:left="962" w:hanging="330"/>
        <w:spacing w:after="0" w:line="252" w:lineRule="auto"/>
        <w:tabs>
          <w:tab w:leader="none" w:pos="962"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Compensation.</w:t>
      </w:r>
      <w:r>
        <w:rPr>
          <w:rFonts w:ascii="Times New Roman" w:cs="Times New Roman" w:eastAsia="Times New Roman" w:hAnsi="Times New Roman"/>
          <w:sz w:val="18"/>
          <w:szCs w:val="18"/>
          <w:color w:val="auto"/>
        </w:rPr>
        <w:t xml:space="preserve"> Subject to the approval of the Board of Directors or Compensation Committee, Executive will be granted an option to purchase 300,000 shares of the Company's common stock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pursuant to and in accordance with the terms and conditions of an equity incentive plan maintained by the Company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xml:space="preserve"> and other documents issued in connection with the grant (the </w:t>
      </w:r>
      <w:r>
        <w:rPr>
          <w:rFonts w:ascii="Times New Roman" w:cs="Times New Roman" w:eastAsia="Times New Roman" w:hAnsi="Times New Roman"/>
          <w:sz w:val="18"/>
          <w:szCs w:val="18"/>
          <w:u w:val="single" w:color="auto"/>
          <w:color w:val="auto"/>
        </w:rPr>
        <w:t>"Option Documents").</w:t>
      </w:r>
      <w:r>
        <w:rPr>
          <w:rFonts w:ascii="Times New Roman" w:cs="Times New Roman" w:eastAsia="Times New Roman" w:hAnsi="Times New Roman"/>
          <w:sz w:val="18"/>
          <w:szCs w:val="18"/>
          <w:color w:val="auto"/>
        </w:rPr>
        <w:t xml:space="preserve"> The Option will have an exercise price equal to the closing price of the common stock as reported on the NASDAQ Global Market on the date of grant. The vesting commencement date of the Option will be the date upon which the Compensation Committee approves the initial Option (the </w:t>
      </w:r>
      <w:r>
        <w:rPr>
          <w:rFonts w:ascii="Times New Roman" w:cs="Times New Roman" w:eastAsia="Times New Roman" w:hAnsi="Times New Roman"/>
          <w:sz w:val="18"/>
          <w:szCs w:val="18"/>
          <w:u w:val="single" w:color="auto"/>
          <w:color w:val="auto"/>
        </w:rPr>
        <w:t>"Option Vesting Commencement Date")</w:t>
      </w:r>
      <w:r>
        <w:rPr>
          <w:rFonts w:ascii="Times New Roman" w:cs="Times New Roman" w:eastAsia="Times New Roman" w:hAnsi="Times New Roman"/>
          <w:sz w:val="18"/>
          <w:szCs w:val="18"/>
          <w:color w:val="auto"/>
        </w:rPr>
        <w:t>. The Option will vest in four (4) equal annual installments, beginning on the first anniversary of the Option Vesting Commencement Date, subject to Executive's continuous service to the Company through each such vesting date. The specific terms and conditions of the Option will be as set forth in the Plan and Option Documents and other applicable documents, which Executive may be required to sign, and the Option shall be subject to all of the terms and conditions of the Plan and the relevant Option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218440</wp:posOffset>
            </wp:positionV>
            <wp:extent cx="713295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682"/>
          </w:cols>
          <w:pgMar w:left="878" w:top="578" w:right="339" w:bottom="1440" w:gutter="0" w:footer="0" w:header="0"/>
        </w:sectPr>
      </w:pPr>
    </w:p>
    <w:bookmarkStart w:id="187" w:name="page188"/>
    <w:bookmarkEnd w:id="187"/>
    <w:p>
      <w:pPr>
        <w:jc w:val="both"/>
        <w:ind w:left="922" w:hanging="317"/>
        <w:spacing w:after="0" w:line="253" w:lineRule="auto"/>
        <w:tabs>
          <w:tab w:leader="none" w:pos="922"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 Welfare and Other Benefit Plans and Programs.</w:t>
      </w:r>
      <w:r>
        <w:rPr>
          <w:rFonts w:ascii="Times New Roman" w:cs="Times New Roman" w:eastAsia="Times New Roman" w:hAnsi="Times New Roman"/>
          <w:sz w:val="18"/>
          <w:szCs w:val="18"/>
          <w:color w:val="auto"/>
        </w:rPr>
        <w:t xml:space="preserve"> During the Employment Term, Executive shall be entitled to participate in the employee retirement and welfare benefit plans and programs made available to Company's other senior level executives as a group, as such retirement and welfare plans may be in effect from time to time and subject to the eligibility requirements of such plans, including but not limited to, life, health and disability plans, and a 40l(k) retirement plan and similar or other plans. During the Employment Term, Executive shall be eligible for vacation, sick leave and holidays in accordance with Company's vacation, sick and holiday and other pay for time not worked policies. Nothing in this Agreement or otherwise shall prevent Company from amending or terminating after the Effective Date any retirement, welfare or other employee benefit plans, programs, policies or perquisites from time to time as Company deems appropriate, and Executive's participation in any such plan, program, policy and perquisite shall be subject to the terms, provisions, rules and regulations thereof.</w:t>
      </w:r>
    </w:p>
    <w:p>
      <w:pPr>
        <w:spacing w:after="0" w:line="186" w:lineRule="exact"/>
        <w:rPr>
          <w:rFonts w:ascii="Times New Roman" w:cs="Times New Roman" w:eastAsia="Times New Roman" w:hAnsi="Times New Roman"/>
          <w:sz w:val="18"/>
          <w:szCs w:val="18"/>
          <w:color w:val="auto"/>
        </w:rPr>
      </w:pPr>
    </w:p>
    <w:p>
      <w:pPr>
        <w:jc w:val="both"/>
        <w:ind w:left="962" w:hanging="330"/>
        <w:spacing w:after="0" w:line="264" w:lineRule="auto"/>
        <w:tabs>
          <w:tab w:leader="none" w:pos="962"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Expenses.</w:t>
      </w:r>
      <w:r>
        <w:rPr>
          <w:rFonts w:ascii="Times New Roman" w:cs="Times New Roman" w:eastAsia="Times New Roman" w:hAnsi="Times New Roman"/>
          <w:sz w:val="18"/>
          <w:szCs w:val="18"/>
          <w:color w:val="auto"/>
        </w:rPr>
        <w:t xml:space="preserve"> During the Employment Term, Company shall reimburse Executive for all reasonable and necessary business expenses that Executive incurs while performing Executive's duties under this Agreement in accordance with Company's general policies of expense reimbursement in effect from time to time.</w:t>
      </w:r>
    </w:p>
    <w:p>
      <w:pPr>
        <w:spacing w:after="0" w:line="176" w:lineRule="exact"/>
        <w:rPr>
          <w:rFonts w:ascii="Times New Roman" w:cs="Times New Roman" w:eastAsia="Times New Roman" w:hAnsi="Times New Roman"/>
          <w:sz w:val="18"/>
          <w:szCs w:val="18"/>
          <w:color w:val="auto"/>
        </w:rPr>
      </w:pPr>
    </w:p>
    <w:p>
      <w:pPr>
        <w:jc w:val="both"/>
        <w:ind w:left="1022" w:hanging="323"/>
        <w:spacing w:after="0" w:line="251" w:lineRule="auto"/>
        <w:tabs>
          <w:tab w:leader="none" w:pos="1022" w:val="left"/>
        </w:tabs>
        <w:numPr>
          <w:ilvl w:val="3"/>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Signing/Retention Bonus.</w:t>
      </w:r>
      <w:r>
        <w:rPr>
          <w:rFonts w:ascii="Times New Roman" w:cs="Times New Roman" w:eastAsia="Times New Roman" w:hAnsi="Times New Roman"/>
          <w:sz w:val="18"/>
          <w:szCs w:val="18"/>
          <w:color w:val="auto"/>
        </w:rPr>
        <w:t xml:space="preserve"> Executive is entitled to a signing bonus in the amount of $100,000 (the </w:t>
      </w:r>
      <w:r>
        <w:rPr>
          <w:rFonts w:ascii="Times New Roman" w:cs="Times New Roman" w:eastAsia="Times New Roman" w:hAnsi="Times New Roman"/>
          <w:sz w:val="18"/>
          <w:szCs w:val="18"/>
          <w:u w:val="single" w:color="auto"/>
          <w:color w:val="auto"/>
        </w:rPr>
        <w:t>"Initial Bonus"),</w:t>
      </w:r>
      <w:r>
        <w:rPr>
          <w:rFonts w:ascii="Times New Roman" w:cs="Times New Roman" w:eastAsia="Times New Roman" w:hAnsi="Times New Roman"/>
          <w:sz w:val="18"/>
          <w:szCs w:val="18"/>
          <w:color w:val="auto"/>
        </w:rPr>
        <w:t xml:space="preserve"> subject to standard payroll withholding and deductions, advanced in a lump sum on the first regularly scheduled payroll date following the Effective Date provided Executive joins the Company and is an active employee on such payroll date. Executive will earn the Initial Bonus on a monthly basis, earning 1/6th of the Initial Bonus on the one-month anniversary date of the Effective Date each month over the six (6) month period following the Effective Date, by remaining employed by the Company on the anniversary date of each applicable month. In the event that Executive resigns from the Company without Good Reason (as defined below) or is terminated by the Company for Cause (as defined below) within six (6) months of the Effective Date, Executive shall be obligated to, and hereby agrees to, repay the net, after-tax amount of the Initial Bonus that has not yet been earned. In the event that Executive resigns from the Company for Good Reason or is terminated by the Company without Cause within six (6) months of the Effective Date, Executive will be permitted to retain that portion of the Initial Bonus that was not yet earned. To the extent permitted by applicable law, Executive expressly authorizes the Company to deduct any amount advanced that is subject to repayment from any amount otherwise owed to him by the Company, including without limitation compensation and expense reimbursement, and also agrees to repay any balance owed within thirty (30) days following his employment termination date. Executive also hereby agrees to execute any such separate authorization paperwork necessary to effect such deduction.</w:t>
      </w:r>
    </w:p>
    <w:p>
      <w:pPr>
        <w:spacing w:after="0" w:line="194" w:lineRule="exact"/>
        <w:rPr>
          <w:rFonts w:ascii="Times New Roman" w:cs="Times New Roman" w:eastAsia="Times New Roman" w:hAnsi="Times New Roman"/>
          <w:sz w:val="18"/>
          <w:szCs w:val="18"/>
          <w:color w:val="auto"/>
        </w:rPr>
      </w:pPr>
    </w:p>
    <w:p>
      <w:pPr>
        <w:jc w:val="both"/>
        <w:ind w:left="322" w:hanging="322"/>
        <w:spacing w:after="0" w:line="255" w:lineRule="auto"/>
        <w:tabs>
          <w:tab w:leader="none" w:pos="32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POLICIES AND PROCEDURES</w:t>
      </w:r>
      <w:r>
        <w:rPr>
          <w:rFonts w:ascii="Times New Roman" w:cs="Times New Roman" w:eastAsia="Times New Roman" w:hAnsi="Times New Roman"/>
          <w:sz w:val="18"/>
          <w:szCs w:val="18"/>
          <w:color w:val="auto"/>
        </w:rPr>
        <w:t>. Executive agrees to observe and comply with the reasonable and lawful policies and procedures of Company as adopted by the Board of Directors in writing or reflected in the formal minutes of the Board of Directors or committee thereof, respecting performance of Executive's duties and to carry out and to perform the reasonable and lawful orders and directions stated by Company to Executive, from time to time, either orally or in writing. Executive agrees that Executive will be subject to any compensation clawback, recoupment and anti-hedging policies that may be applicable to Executive as an executive of Company, as in effect from time to time and as approved by the Board of Directors or a duly authorized committee thereof.</w:t>
      </w:r>
    </w:p>
    <w:p>
      <w:pPr>
        <w:spacing w:after="0" w:line="185" w:lineRule="exact"/>
        <w:rPr>
          <w:rFonts w:ascii="Times New Roman" w:cs="Times New Roman" w:eastAsia="Times New Roman" w:hAnsi="Times New Roman"/>
          <w:sz w:val="18"/>
          <w:szCs w:val="18"/>
          <w:color w:val="auto"/>
        </w:rPr>
      </w:pPr>
    </w:p>
    <w:p>
      <w:pPr>
        <w:ind w:left="642" w:hanging="333"/>
        <w:spacing w:after="0"/>
        <w:tabs>
          <w:tab w:leader="none" w:pos="642"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 TTON.</w:t>
      </w:r>
    </w:p>
    <w:p>
      <w:pPr>
        <w:spacing w:after="0" w:line="222" w:lineRule="exact"/>
        <w:rPr>
          <w:rFonts w:ascii="Times New Roman" w:cs="Times New Roman" w:eastAsia="Times New Roman" w:hAnsi="Times New Roman"/>
          <w:sz w:val="18"/>
          <w:szCs w:val="18"/>
          <w:color w:val="auto"/>
        </w:rPr>
      </w:pPr>
    </w:p>
    <w:p>
      <w:pPr>
        <w:jc w:val="both"/>
        <w:ind w:left="922" w:hanging="317"/>
        <w:spacing w:after="0" w:line="264" w:lineRule="auto"/>
        <w:tabs>
          <w:tab w:leader="none" w:pos="922"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 and Date of Termination.</w:t>
      </w:r>
      <w:r>
        <w:rPr>
          <w:rFonts w:ascii="Times New Roman" w:cs="Times New Roman" w:eastAsia="Times New Roman" w:hAnsi="Times New Roman"/>
          <w:sz w:val="18"/>
          <w:szCs w:val="18"/>
          <w:color w:val="auto"/>
        </w:rPr>
        <w:t xml:space="preserve"> Each Party must give written notice to the other of the intent to terminate this Agreement and Executive's employment hereunder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xml:space="preserve">. The Notice of Termination must specify a date of termination of employment, which shall incorporate any period of notice required by this Section 4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209550</wp:posOffset>
            </wp:positionV>
            <wp:extent cx="713295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682"/>
          </w:cols>
          <w:pgMar w:left="878" w:top="578" w:right="339" w:bottom="1440" w:gutter="0" w:footer="0" w:header="0"/>
        </w:sectPr>
      </w:pPr>
    </w:p>
    <w:bookmarkStart w:id="188" w:name="page189"/>
    <w:bookmarkEnd w:id="188"/>
    <w:p>
      <w:pPr>
        <w:jc w:val="both"/>
        <w:ind w:left="620" w:hanging="330"/>
        <w:spacing w:after="0" w:line="253" w:lineRule="auto"/>
        <w:tabs>
          <w:tab w:leader="none" w:pos="6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Death or Total Disability.</w:t>
      </w:r>
      <w:r>
        <w:rPr>
          <w:rFonts w:ascii="Times New Roman" w:cs="Times New Roman" w:eastAsia="Times New Roman" w:hAnsi="Times New Roman"/>
          <w:sz w:val="18"/>
          <w:szCs w:val="18"/>
          <w:color w:val="auto"/>
        </w:rPr>
        <w:t xml:space="preserve"> Executive's employment under this Agreement shall terminate upon the date of Executive's death. Additionally, if, during the Employment Term, Executive suffers a Total Disability (as defined in Section 4(E)(3)(iii), then Company may terminate Executive's employment under this Agreement by giving Executive a Notice of Termination specifying the Date of Termination. Upon such termination due to death or Total Disability, Company shall pay to Executive or Executive's estate (i) any Base Salary that has fully accrued but not been paid as of the effective date of such termination, as well as any vested and accrued employment benefits subject to the terms of any applicable employment benefit arrangements and applicable law </w:t>
      </w:r>
      <w:r>
        <w:rPr>
          <w:rFonts w:ascii="Times New Roman" w:cs="Times New Roman" w:eastAsia="Times New Roman" w:hAnsi="Times New Roman"/>
          <w:sz w:val="18"/>
          <w:szCs w:val="18"/>
          <w:u w:val="single" w:color="auto"/>
          <w:color w:val="auto"/>
        </w:rPr>
        <w:t>("Accrued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xml:space="preserve"> and (ii) a prorated bonus for the year in which Executive's death or Disability occurs, which bonus shall be calculated and paid in the same manner as set forth below in Section 4(E)(1)(b). All other rights and benefits of Executive and Executive's dependents hereunder shall terminate upon such termination, except for any right to the continuation of benefits otherwise provided by law.</w:t>
      </w:r>
    </w:p>
    <w:p>
      <w:pPr>
        <w:spacing w:after="0" w:line="186" w:lineRule="exact"/>
        <w:rPr>
          <w:rFonts w:ascii="Times New Roman" w:cs="Times New Roman" w:eastAsia="Times New Roman" w:hAnsi="Times New Roman"/>
          <w:sz w:val="18"/>
          <w:szCs w:val="18"/>
          <w:color w:val="auto"/>
        </w:rPr>
      </w:pPr>
    </w:p>
    <w:p>
      <w:pPr>
        <w:jc w:val="both"/>
        <w:ind w:left="620" w:hanging="330"/>
        <w:spacing w:after="0" w:line="256" w:lineRule="auto"/>
        <w:tabs>
          <w:tab w:leader="none" w:pos="6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Company with Cause.</w:t>
      </w:r>
      <w:r>
        <w:rPr>
          <w:rFonts w:ascii="Times New Roman" w:cs="Times New Roman" w:eastAsia="Times New Roman" w:hAnsi="Times New Roman"/>
          <w:sz w:val="18"/>
          <w:szCs w:val="18"/>
          <w:color w:val="auto"/>
        </w:rPr>
        <w:t xml:space="preserve"> Company may terminate with Cause (as defined in Section 4(E)(3)(i)) Executive's employment hereunder at any time. In order to terminate Executive's employment hereunder with Cause, Company must give Notice of Termination to Executive specifying the Cause and the Date of Termination, which may be the same date as the date of the Notice of Termination. Upon termination with Cause, Company shall pay to Executive all Accrued Benefits. All other rights and benefits of Executive hereunder shall terminate upon such termination, except for any right to the continuation of benefits otherwise provided by law.</w:t>
      </w:r>
    </w:p>
    <w:p>
      <w:pPr>
        <w:spacing w:after="0" w:line="185" w:lineRule="exact"/>
        <w:rPr>
          <w:rFonts w:ascii="Times New Roman" w:cs="Times New Roman" w:eastAsia="Times New Roman" w:hAnsi="Times New Roman"/>
          <w:sz w:val="18"/>
          <w:szCs w:val="18"/>
          <w:color w:val="auto"/>
        </w:rPr>
      </w:pPr>
    </w:p>
    <w:p>
      <w:pPr>
        <w:jc w:val="both"/>
        <w:ind w:left="580" w:hanging="317"/>
        <w:spacing w:after="0" w:line="255" w:lineRule="auto"/>
        <w:tabs>
          <w:tab w:leader="none" w:pos="5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Executive without Good Reason or by Mutual Agreement.</w:t>
      </w:r>
      <w:r>
        <w:rPr>
          <w:rFonts w:ascii="Times New Roman" w:cs="Times New Roman" w:eastAsia="Times New Roman" w:hAnsi="Times New Roman"/>
          <w:sz w:val="18"/>
          <w:szCs w:val="18"/>
          <w:color w:val="auto"/>
        </w:rPr>
        <w:t xml:space="preserve"> Executive may terminate Executive's employment without Good Reason (as defined in Section 4(E)(3)(iv) at any time by giving Company Notice of Termination at least 30 days prior to the Date of Termination designated by Executive. In addition, this Agreement may be terminated at any time by written mutual agreement of the Parties with or without notice. Upon termination of Executive's employment by Executive without Good Reason or termination by mutual agreement of the parties, Company shall pay to Executive all Accrued Benefits. All other rights and benefits of Executive hereunder shall terminate upon such termination, except for any right to the continuation of benefits otherwise provided by law.</w:t>
      </w:r>
    </w:p>
    <w:p>
      <w:pPr>
        <w:spacing w:after="0" w:line="185" w:lineRule="exact"/>
        <w:rPr>
          <w:rFonts w:ascii="Times New Roman" w:cs="Times New Roman" w:eastAsia="Times New Roman" w:hAnsi="Times New Roman"/>
          <w:sz w:val="18"/>
          <w:szCs w:val="18"/>
          <w:color w:val="auto"/>
        </w:rPr>
      </w:pPr>
    </w:p>
    <w:p>
      <w:pPr>
        <w:jc w:val="both"/>
        <w:ind w:left="620" w:hanging="330"/>
        <w:spacing w:after="0" w:line="253" w:lineRule="auto"/>
        <w:tabs>
          <w:tab w:leader="none" w:pos="6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Without Cause by Company or For Good Reason by Executive.</w:t>
      </w:r>
      <w:r>
        <w:rPr>
          <w:rFonts w:ascii="Times New Roman" w:cs="Times New Roman" w:eastAsia="Times New Roman" w:hAnsi="Times New Roman"/>
          <w:sz w:val="18"/>
          <w:szCs w:val="18"/>
          <w:color w:val="auto"/>
        </w:rPr>
        <w:t xml:space="preserve"> Company may terminate Executive's employment at any time without Cause (as defined in Section 4(E)(3)(ii)) by giving Executive a Notice of Termination at least one day prior to the Date of Termination, and Executive may terminate Executive's employment for Good Reason by giving Company a Notice of Termination in accordance with Section 4(E)(3)(iv) below. Upon termination of Executive's employment without Cause by Company or for Good Reason by Executive, Company will pay Executive (i) all Accrued Benefits, (ii) the severance compensation payable set forth below in this Section 4(E), if Executive executes and does not revoke a Release (as defined in Section 4(E)(3)(v)) within 60 days following the Date of Termination. All other rights and benefits of Executive hereunder shall terminate upon such termination, except for any right to the continuation of benefits otherwise provided by law.</w:t>
      </w:r>
    </w:p>
    <w:p>
      <w:pPr>
        <w:spacing w:after="0" w:line="189" w:lineRule="exact"/>
        <w:rPr>
          <w:sz w:val="20"/>
          <w:szCs w:val="20"/>
          <w:color w:val="auto"/>
        </w:rPr>
      </w:pPr>
    </w:p>
    <w:p>
      <w:pPr>
        <w:jc w:val="both"/>
        <w:ind w:hanging="133"/>
        <w:spacing w:after="0" w:line="264" w:lineRule="auto"/>
        <w:rPr>
          <w:sz w:val="20"/>
          <w:szCs w:val="20"/>
          <w:color w:val="auto"/>
        </w:rPr>
      </w:pPr>
      <w:r>
        <w:rPr>
          <w:rFonts w:ascii="Times New Roman" w:cs="Times New Roman" w:eastAsia="Times New Roman" w:hAnsi="Times New Roman"/>
          <w:sz w:val="18"/>
          <w:szCs w:val="18"/>
          <w:color w:val="auto"/>
        </w:rPr>
        <w:t>1.In the event that Company terminates Executive's employment without Cause or Executive terminates Executive's employment for Good Reason, and Executive executes and does not revoke a Release, then Company shall pay to Executive as severance compensation, the following:</w:t>
      </w:r>
    </w:p>
    <w:p>
      <w:pPr>
        <w:spacing w:after="0" w:line="177" w:lineRule="exact"/>
        <w:rPr>
          <w:sz w:val="20"/>
          <w:szCs w:val="20"/>
          <w:color w:val="auto"/>
        </w:rPr>
      </w:pPr>
    </w:p>
    <w:p>
      <w:pPr>
        <w:jc w:val="both"/>
        <w:ind w:left="340" w:hanging="133"/>
        <w:spacing w:after="0" w:line="252" w:lineRule="auto"/>
        <w:rPr>
          <w:sz w:val="20"/>
          <w:szCs w:val="20"/>
          <w:color w:val="auto"/>
        </w:rPr>
      </w:pPr>
      <w:r>
        <w:rPr>
          <w:rFonts w:ascii="Times New Roman" w:cs="Times New Roman" w:eastAsia="Times New Roman" w:hAnsi="Times New Roman"/>
          <w:sz w:val="18"/>
          <w:szCs w:val="18"/>
          <w:color w:val="auto"/>
        </w:rPr>
        <w:t xml:space="preserve">a.Executive's Base Salary (at the rate payable at the time of such termination) for a period of twelve (12) months following the Date of Termination. Such severance compensation shall be paid by Company in equal installments according to Company's customary payroll practices, with the first payment made on the first regularly scheduled pay day immediately following the 60th day following the Date of Termination; provided, however, that if such termination of employment occurs upon or within one year following a Change in Control, then (i) the Company shall pay such severance in a lump sum on the first regularly scheduled pay ay immediately following the 60th day following the Date of Termination, but the amount will only be paid in a lump sum if the Change in Control constitutes a "change in control event" as defined under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and (ii) notwithstanding the preceding clause (i), if the Change in Control is not a "change in control event" as defined under Section 409A of the Code and penalty taxes may result under Section 409A of the Code if such severance compensation is paid in a </w:t>
      </w:r>
      <w:r>
        <w:rPr>
          <w:rFonts w:ascii="Times New Roman" w:cs="Times New Roman" w:eastAsia="Times New Roman" w:hAnsi="Times New Roman"/>
          <w:sz w:val="18"/>
          <w:szCs w:val="18"/>
          <w:b w:val="1"/>
          <w:bCs w:val="1"/>
          <w:color w:val="auto"/>
        </w:rPr>
        <w:t>lump</w:t>
      </w:r>
      <w:r>
        <w:rPr>
          <w:rFonts w:ascii="Times New Roman" w:cs="Times New Roman" w:eastAsia="Times New Roman" w:hAnsi="Times New Roman"/>
          <w:sz w:val="18"/>
          <w:szCs w:val="18"/>
          <w:color w:val="auto"/>
        </w:rPr>
        <w:t xml:space="preserve"> sum, then the severance compensation will be paid in equal installments according to Company's customary payroll practices, with the first payment made on the first regularly scheduled pay day immediately following the 60th day following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353695</wp:posOffset>
            </wp:positionV>
            <wp:extent cx="713295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340"/>
          </w:cols>
          <w:pgMar w:left="1220" w:top="578" w:right="339" w:bottom="1440" w:gutter="0" w:footer="0" w:header="0"/>
        </w:sectPr>
      </w:pPr>
    </w:p>
    <w:bookmarkStart w:id="189" w:name="page190"/>
    <w:bookmarkEnd w:id="189"/>
    <w:p>
      <w:pPr>
        <w:jc w:val="both"/>
        <w:ind w:left="120" w:hanging="133"/>
        <w:spacing w:after="0" w:line="217" w:lineRule="exact"/>
        <w:rPr>
          <w:sz w:val="20"/>
          <w:szCs w:val="20"/>
          <w:color w:val="auto"/>
        </w:rPr>
      </w:pPr>
      <w:r>
        <w:rPr>
          <w:rFonts w:ascii="Times New Roman" w:cs="Times New Roman" w:eastAsia="Times New Roman" w:hAnsi="Times New Roman"/>
          <w:sz w:val="18"/>
          <w:szCs w:val="18"/>
          <w:color w:val="auto"/>
        </w:rPr>
        <w:t>b.To the extent Executive has an annual incentive compensation award for the year of termination in which the Date of Termination occurs, Executive shall receive a pro rata Target Annual Bonus award payment for the year in which the Date of Termination occurs (measured at the target level, identified "goal" target or other similar target, without taking into account any incentive override for above goal performance, or any project-specific or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standard incentives), which shall be paid on the first regularly scheduled pay day immediately following the 60th day following the Date of Termination. The pro rata amount shall be determined as the Target Annual Bonus in effect for the year in which the Date of Termination occurs multiplied by a fraction, the numerator of which is the number of days in which Executive was employed by Company during the year in which the Date of Termination occurs, including the Date of Termination, and the denominator of which is 365.</w:t>
      </w:r>
    </w:p>
    <w:p>
      <w:pPr>
        <w:spacing w:after="0" w:line="203" w:lineRule="exact"/>
        <w:rPr>
          <w:sz w:val="20"/>
          <w:szCs w:val="20"/>
          <w:color w:val="auto"/>
        </w:rPr>
      </w:pPr>
    </w:p>
    <w:p>
      <w:pPr>
        <w:jc w:val="both"/>
        <w:ind w:left="120" w:hanging="133"/>
        <w:spacing w:after="0" w:line="251" w:lineRule="auto"/>
        <w:rPr>
          <w:sz w:val="20"/>
          <w:szCs w:val="20"/>
          <w:color w:val="auto"/>
        </w:rPr>
      </w:pPr>
      <w:r>
        <w:rPr>
          <w:rFonts w:ascii="Times New Roman" w:cs="Times New Roman" w:eastAsia="Times New Roman" w:hAnsi="Times New Roman"/>
          <w:sz w:val="18"/>
          <w:szCs w:val="18"/>
          <w:color w:val="auto"/>
        </w:rPr>
        <w:t xml:space="preserve">c.If Executive timely elects continued coverage under Section 4980B of the Code ('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xml:space="preserve"> Company will pay the COBRA premiums necessary to continue Executive's and his covered dependents' health insurance coverage in effect for Executive (and Executive's covered dependents) during the 12-month period following the Date of Termination; provided that such payments shall not continue beyond the first to occur of(x) the date Executive ceases to be eligible for COBRA continuation coverage for any reason, including plan termination, and (y) the date on which Executive is eligible for substantially similar coverage from a subsequent employer (such period from the termination date through the earlier of (x)-(y), the </w:t>
      </w:r>
      <w:r>
        <w:rPr>
          <w:rFonts w:ascii="Times New Roman" w:cs="Times New Roman" w:eastAsia="Times New Roman" w:hAnsi="Times New Roman"/>
          <w:sz w:val="18"/>
          <w:szCs w:val="18"/>
          <w:u w:val="single" w:color="auto"/>
          <w:color w:val="auto"/>
        </w:rPr>
        <w:t>"COBRA Payment Period").</w:t>
      </w:r>
      <w:r>
        <w:rPr>
          <w:rFonts w:ascii="Times New Roman" w:cs="Times New Roman" w:eastAsia="Times New Roman" w:hAnsi="Times New Roman"/>
          <w:sz w:val="18"/>
          <w:szCs w:val="18"/>
          <w:color w:val="auto"/>
        </w:rPr>
        <w:t xml:space="preserve">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for the remainder of the COBRA Payment Period, and the Executive shall not be obligated to use any monthly, taxable cash payment to pay COBRA premiums. In the event that the Executive is on COBRA continuation coverage and the Company is required by law to subsidize all or any portion of the monthly COBRA premium that the Executive is required to pay, the Executive shall not be entitled to reimbursement of the monthly COBRA premium (except as required by law) or the taxable monthly payment of the COBRA premium amount to the extent of the amount of the required subsidy. Nothing in this Agreement shall deprive Executive of his rights under COBRA or ERISA for benefits under plans and policies arising under his employment by the Company.</w:t>
      </w:r>
    </w:p>
    <w:p>
      <w:pPr>
        <w:spacing w:after="0" w:line="191" w:lineRule="exact"/>
        <w:rPr>
          <w:sz w:val="20"/>
          <w:szCs w:val="20"/>
          <w:color w:val="auto"/>
        </w:rPr>
      </w:pPr>
    </w:p>
    <w:p>
      <w:pPr>
        <w:jc w:val="both"/>
        <w:ind w:left="120" w:hanging="133"/>
        <w:spacing w:after="0" w:line="264" w:lineRule="auto"/>
        <w:rPr>
          <w:sz w:val="20"/>
          <w:szCs w:val="20"/>
          <w:color w:val="auto"/>
        </w:rPr>
      </w:pPr>
      <w:r>
        <w:rPr>
          <w:rFonts w:ascii="Times New Roman" w:cs="Times New Roman" w:eastAsia="Times New Roman" w:hAnsi="Times New Roman"/>
          <w:sz w:val="18"/>
          <w:szCs w:val="18"/>
          <w:color w:val="auto"/>
        </w:rPr>
        <w:t>d.The vesting of each outstanding equity award granted to Executive will accelerate so that such awards will be fully vested as of the Date of Termination. If any equity awards vest based on the attainment of performance goals, the performance goals will be deemed to have met as of the Date of Termination, unless such greater amount of vesting is provided for in the applicable award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209550</wp:posOffset>
            </wp:positionV>
            <wp:extent cx="713295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20"/>
          </w:cols>
          <w:pgMar w:left="1440" w:top="578" w:right="339" w:bottom="1440" w:gutter="0" w:footer="0" w:header="0"/>
        </w:sectPr>
      </w:pPr>
    </w:p>
    <w:bookmarkStart w:id="190" w:name="page191"/>
    <w:bookmarkEnd w:id="190"/>
    <w:p>
      <w:pPr>
        <w:jc w:val="both"/>
        <w:ind w:hanging="133"/>
        <w:spacing w:after="0" w:line="217" w:lineRule="exact"/>
        <w:rPr>
          <w:sz w:val="20"/>
          <w:szCs w:val="20"/>
          <w:color w:val="auto"/>
        </w:rPr>
      </w:pPr>
      <w:r>
        <w:rPr>
          <w:rFonts w:ascii="Times New Roman" w:cs="Times New Roman" w:eastAsia="Times New Roman" w:hAnsi="Times New Roman"/>
          <w:sz w:val="18"/>
          <w:szCs w:val="18"/>
          <w:color w:val="auto"/>
        </w:rPr>
        <w:t>2.Payment of the severance compensation shall be subject to all mandatory and voluntary payroll deductions. In the event that Executive materially breaches any of Executive's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employment covenants or obligations set forth in this Agreement that the Board of Directors reasonably determines is not cured (to the extent the breach is curable as determined by the Board of Directors) within 15 days following written notice from Company, then the payment of severance compensation pursuant to this section shall terminate immediately and permanently. During the period that Executive is paid the foregoing severance compensation, Executive shall not further accrue any other benefits under any benefit plans of which Executive was a participant while employed by Company, except as otherwise required by applicable federal or state law, by the express terms of this Agreement, or by the express terms of such benefit plans; provided, however, that if Executive becomes entitled to and receives the payments described in Section 4(E)(l) of this Agreement, Executive hereby waives Executive's right to receive payments under any severance plan or similar program applicable to employees of Company.</w:t>
      </w:r>
    </w:p>
    <w:p>
      <w:pPr>
        <w:spacing w:after="0" w:line="202" w:lineRule="exact"/>
        <w:rPr>
          <w:sz w:val="20"/>
          <w:szCs w:val="20"/>
          <w:color w:val="auto"/>
        </w:rPr>
      </w:pPr>
    </w:p>
    <w:p>
      <w:pPr>
        <w:ind w:left="1280" w:hanging="332"/>
        <w:spacing w:after="0"/>
        <w:tabs>
          <w:tab w:leader="none" w:pos="12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w:t>
      </w:r>
    </w:p>
    <w:p>
      <w:pPr>
        <w:spacing w:after="0" w:line="222" w:lineRule="exact"/>
        <w:rPr>
          <w:rFonts w:ascii="Times New Roman" w:cs="Times New Roman" w:eastAsia="Times New Roman" w:hAnsi="Times New Roman"/>
          <w:sz w:val="18"/>
          <w:szCs w:val="18"/>
          <w:color w:val="auto"/>
        </w:rPr>
      </w:pPr>
    </w:p>
    <w:p>
      <w:pPr>
        <w:jc w:val="both"/>
        <w:ind w:left="1960" w:hanging="326"/>
        <w:spacing w:after="0" w:line="251" w:lineRule="auto"/>
        <w:tabs>
          <w:tab w:leader="none" w:pos="19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Executive's employment will be deemed to have been terminated by Company </w:t>
      </w:r>
      <w:r>
        <w:rPr>
          <w:rFonts w:ascii="Times New Roman" w:cs="Times New Roman" w:eastAsia="Times New Roman" w:hAnsi="Times New Roman"/>
          <w:sz w:val="18"/>
          <w:szCs w:val="18"/>
          <w:u w:val="single" w:color="auto"/>
          <w:color w:val="auto"/>
        </w:rPr>
        <w:t>"with Cause"</w:t>
      </w:r>
      <w:r>
        <w:rPr>
          <w:rFonts w:ascii="Times New Roman" w:cs="Times New Roman" w:eastAsia="Times New Roman" w:hAnsi="Times New Roman"/>
          <w:sz w:val="18"/>
          <w:szCs w:val="18"/>
          <w:color w:val="auto"/>
        </w:rPr>
        <w:t xml:space="preserve"> if the termination arises from a determination by Company in its sole discretion that (a) Executive was negligent or incompetent in the performance of his duties and responsibilities as an employee and executive officer of Company or under this Agreement or failed to perform such duties in a manner satisfactory to the Company; or (b) except as otherwise provided in Section 1(D), Executive's continued failure to devote his full business time and attention and his best efforts to the faithful performance of his material duties and responsibilities (other than a failure resulting from Executive becoming disabled); or (c) Executive materially breached of any covenant or condition under of this Agreement or any other agreement between Company and Executive; or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 Executive is convicted of committing an act constituting fraud, embezzlement, misappropriation, personal dishonesty against Company, or immoral or disreputable conduct; or (e) Executive is convicted of engaging in conduct which constitutes a felony under applicable law; or (f) Executive violated a Company policy or engaged in an act of misconduct; or (g) Executive refused to follow or implement a clear and reasonable directive of Company; or (h) Executive failed to pass to the satisfaction of Company a preliminary background check or failed to submit proof of legal eligibility to work in the United States; or (i) breach of fiduciary duty; provided, however, Executive shall have 15 days following Company's provision of the Notice of Termination specifying a condition under clause (a), (b), (c), (f) or (g) constituting Cause to cure such condition (to the extent the condition is curable as reasonably determined by the Company), before which time a termination with Cause cannot be effective unless such condition remains uncured as reasonably determined by the Company.</w:t>
      </w:r>
    </w:p>
    <w:p>
      <w:pPr>
        <w:spacing w:after="0" w:line="188" w:lineRule="exact"/>
        <w:rPr>
          <w:rFonts w:ascii="Times New Roman" w:cs="Times New Roman" w:eastAsia="Times New Roman" w:hAnsi="Times New Roman"/>
          <w:sz w:val="18"/>
          <w:szCs w:val="18"/>
          <w:color w:val="auto"/>
        </w:rPr>
      </w:pPr>
    </w:p>
    <w:p>
      <w:pPr>
        <w:jc w:val="both"/>
        <w:ind w:left="1920" w:hanging="327"/>
        <w:spacing w:after="0" w:line="264" w:lineRule="auto"/>
        <w:tabs>
          <w:tab w:leader="none" w:pos="19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Executive's employment shall be deemed to have been terminated by Company </w:t>
      </w:r>
      <w:r>
        <w:rPr>
          <w:rFonts w:ascii="Times New Roman" w:cs="Times New Roman" w:eastAsia="Times New Roman" w:hAnsi="Times New Roman"/>
          <w:sz w:val="18"/>
          <w:szCs w:val="18"/>
          <w:u w:val="single" w:color="auto"/>
          <w:color w:val="auto"/>
        </w:rPr>
        <w:t>"without Cause"</w:t>
      </w:r>
      <w:r>
        <w:rPr>
          <w:rFonts w:ascii="Times New Roman" w:cs="Times New Roman" w:eastAsia="Times New Roman" w:hAnsi="Times New Roman"/>
          <w:sz w:val="18"/>
          <w:szCs w:val="18"/>
          <w:color w:val="auto"/>
        </w:rPr>
        <w:t xml:space="preserve"> if such termination is not with "Cause," and such termination is not the result of Executive's death or Executive suffering a Total Disability.</w:t>
      </w:r>
    </w:p>
    <w:p>
      <w:pPr>
        <w:spacing w:after="0" w:line="176" w:lineRule="exact"/>
        <w:rPr>
          <w:rFonts w:ascii="Times New Roman" w:cs="Times New Roman" w:eastAsia="Times New Roman" w:hAnsi="Times New Roman"/>
          <w:sz w:val="18"/>
          <w:szCs w:val="18"/>
          <w:color w:val="auto"/>
        </w:rPr>
      </w:pPr>
    </w:p>
    <w:p>
      <w:pPr>
        <w:jc w:val="both"/>
        <w:ind w:left="1860" w:hanging="320"/>
        <w:spacing w:after="0" w:line="259" w:lineRule="auto"/>
        <w:tabs>
          <w:tab w:leader="none" w:pos="18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shall be deemed to have suffered a </w:t>
      </w:r>
      <w:r>
        <w:rPr>
          <w:rFonts w:ascii="Times New Roman" w:cs="Times New Roman" w:eastAsia="Times New Roman" w:hAnsi="Times New Roman"/>
          <w:sz w:val="18"/>
          <w:szCs w:val="18"/>
          <w:u w:val="single" w:color="auto"/>
          <w:color w:val="auto"/>
        </w:rPr>
        <w:t>"Total Disability"</w:t>
      </w:r>
      <w:r>
        <w:rPr>
          <w:rFonts w:ascii="Times New Roman" w:cs="Times New Roman" w:eastAsia="Times New Roman" w:hAnsi="Times New Roman"/>
          <w:sz w:val="18"/>
          <w:szCs w:val="18"/>
          <w:color w:val="auto"/>
        </w:rPr>
        <w:t xml:space="preserve"> if (a) Executive is granted long-term disability benefits under Company's long-term disability plan or (b) Executive becomes physically or mentally disabled so that Executive is unable to perform the essential functions of Executive's job, with or without reasonable accommodation in accordance with the Americans with Disabilities Act and its amendments, for a period of 180 consecutive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212090</wp:posOffset>
            </wp:positionV>
            <wp:extent cx="713295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340"/>
          </w:cols>
          <w:pgMar w:left="1220" w:top="578" w:right="339" w:bottom="1440" w:gutter="0" w:footer="0" w:header="0"/>
        </w:sectPr>
      </w:pPr>
    </w:p>
    <w:bookmarkStart w:id="191" w:name="page192"/>
    <w:bookmarkEnd w:id="191"/>
    <w:p>
      <w:pPr>
        <w:ind w:left="1640" w:hanging="320"/>
        <w:spacing w:after="0" w:line="280" w:lineRule="auto"/>
        <w:tabs>
          <w:tab w:leader="none" w:pos="164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shall be deemed to have terminated Executive's employment for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if Executive terminates Executive's employment on account of the occurrence of one or more of the following without Executive's consent:</w:t>
      </w:r>
    </w:p>
    <w:p>
      <w:pPr>
        <w:spacing w:after="0" w:line="161" w:lineRule="exact"/>
        <w:rPr>
          <w:rFonts w:ascii="Times New Roman" w:cs="Times New Roman" w:eastAsia="Times New Roman" w:hAnsi="Times New Roman"/>
          <w:sz w:val="18"/>
          <w:szCs w:val="18"/>
          <w:color w:val="auto"/>
        </w:rPr>
      </w:pPr>
    </w:p>
    <w:p>
      <w:pPr>
        <w:jc w:val="both"/>
        <w:ind w:left="2360" w:hanging="328"/>
        <w:spacing w:after="0" w:line="254" w:lineRule="auto"/>
        <w:tabs>
          <w:tab w:leader="none" w:pos="2360"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by Company of Executive's authority, duties or responsibilities which is not the result of Executive's acts or omissions which constitute "Cause" as set forth in clauses (a) through (e) of subsection 4(£)(3)(i), and provided further that neither the conversion of Company to a subsidiary, division or unit of an acquiring entity in connection with a Change in Control (as defined in the Plan), or Executive's reporting relationships following a Change in Control, nor a change in title, will be deemed a "material diminution" in and of itself or material adverse alteration in, Executive's position, title, duties, or responsibilities;</w:t>
      </w:r>
    </w:p>
    <w:p>
      <w:pPr>
        <w:spacing w:after="0" w:line="186" w:lineRule="exact"/>
        <w:rPr>
          <w:rFonts w:ascii="Times New Roman" w:cs="Times New Roman" w:eastAsia="Times New Roman" w:hAnsi="Times New Roman"/>
          <w:sz w:val="18"/>
          <w:szCs w:val="18"/>
          <w:color w:val="auto"/>
        </w:rPr>
      </w:pPr>
    </w:p>
    <w:p>
      <w:pPr>
        <w:jc w:val="both"/>
        <w:ind w:left="2340" w:hanging="322"/>
        <w:spacing w:after="0" w:line="259" w:lineRule="auto"/>
        <w:tabs>
          <w:tab w:leader="none" w:pos="2340"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geographic location at which Executive must perform services under this Agreement (which, for purposes of this Agreement, means the requirement that Executive work from at a location more than fifty (50) miles from the location at which Executive performs services immediately prior to the relocation);</w:t>
      </w:r>
    </w:p>
    <w:p>
      <w:pPr>
        <w:spacing w:after="0" w:line="181" w:lineRule="exact"/>
        <w:rPr>
          <w:rFonts w:ascii="Times New Roman" w:cs="Times New Roman" w:eastAsia="Times New Roman" w:hAnsi="Times New Roman"/>
          <w:sz w:val="18"/>
          <w:szCs w:val="18"/>
          <w:color w:val="auto"/>
        </w:rPr>
      </w:pPr>
    </w:p>
    <w:p>
      <w:pPr>
        <w:jc w:val="both"/>
        <w:ind w:left="2360" w:hanging="328"/>
        <w:spacing w:after="0" w:line="259" w:lineRule="auto"/>
        <w:tabs>
          <w:tab w:leader="none" w:pos="2360"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Executive's Base Salary which is (y) not the result of Executive's acts or omissions which constitute "Cause" as set forth in clauses (a) through (e) of subsection 4(E)(3)(i), and (z) not in connection with either an across-the-board reduction in salaries or a temporary reduction due to financial exigency; or</w:t>
      </w:r>
    </w:p>
    <w:p>
      <w:pPr>
        <w:spacing w:after="0" w:line="181" w:lineRule="exact"/>
        <w:rPr>
          <w:rFonts w:ascii="Times New Roman" w:cs="Times New Roman" w:eastAsia="Times New Roman" w:hAnsi="Times New Roman"/>
          <w:sz w:val="18"/>
          <w:szCs w:val="18"/>
          <w:color w:val="auto"/>
        </w:rPr>
      </w:pPr>
    </w:p>
    <w:p>
      <w:pPr>
        <w:jc w:val="both"/>
        <w:ind w:left="2340" w:hanging="322"/>
        <w:spacing w:after="0" w:line="252" w:lineRule="auto"/>
        <w:tabs>
          <w:tab w:leader="none" w:pos="2340"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inaction that constitutes a material breach by Company of this Agreement, including the failure of Company to pay any amounts due under Section 2 or the failure of Company to obtain from its successors the express assumption and agreement required under Section 16(A). Executive must provide Notice of Termination for Good Reason to Company within 60 days after the event constituting Good Reason. Company shall have a period of 30 days in which it may correct the act or failure to act that constitutes the grounds for Good Reason as set forth in Executive's Notice of Termination. If Company does not correct the act or failure to act, then, in order for the termination to be considered a Good Reason termination, Executive must terminate Executive's employment for Good Reason by giving Notice of Termination with a Date of Termination designated by Executive within 30 days after the period for curing the violation or condition has ended.</w:t>
      </w:r>
    </w:p>
    <w:p>
      <w:pPr>
        <w:spacing w:after="0" w:line="191" w:lineRule="exact"/>
        <w:rPr>
          <w:rFonts w:ascii="Times New Roman" w:cs="Times New Roman" w:eastAsia="Times New Roman" w:hAnsi="Times New Roman"/>
          <w:sz w:val="18"/>
          <w:szCs w:val="18"/>
          <w:color w:val="auto"/>
        </w:rPr>
      </w:pPr>
    </w:p>
    <w:p>
      <w:pPr>
        <w:ind w:left="1700" w:hanging="327"/>
        <w:spacing w:after="0" w:line="280" w:lineRule="auto"/>
        <w:tabs>
          <w:tab w:leader="none" w:pos="170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shall mean a release of claims approved by Company, which shall be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subject to revision based on advice from Company counsel to comply with changes in applicable law.</w:t>
      </w:r>
    </w:p>
    <w:p>
      <w:pPr>
        <w:spacing w:after="0" w:line="161" w:lineRule="exact"/>
        <w:rPr>
          <w:rFonts w:ascii="Times New Roman" w:cs="Times New Roman" w:eastAsia="Times New Roman" w:hAnsi="Times New Roman"/>
          <w:sz w:val="18"/>
          <w:szCs w:val="18"/>
          <w:color w:val="auto"/>
        </w:rPr>
      </w:pPr>
    </w:p>
    <w:p>
      <w:pPr>
        <w:jc w:val="both"/>
        <w:ind w:left="1060" w:hanging="332"/>
        <w:spacing w:after="0" w:line="259" w:lineRule="auto"/>
        <w:tabs>
          <w:tab w:leader="none" w:pos="10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Company terminates Executive's employment with Cause, Executive voluntarily terminates Executive's employment with Company other than for Good Reason, or such employment is terminated by mutual agreement or as the result of Executive's death or Total Disability, Executive shall not be entitled to payment of any severance compensation under this Agreement and Executive shall not be entitled to receive severance benefits under any Company 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212090</wp:posOffset>
            </wp:positionV>
            <wp:extent cx="713295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20"/>
          </w:cols>
          <w:pgMar w:left="1440" w:top="578" w:right="339" w:bottom="1440" w:gutter="0" w:footer="0" w:header="0"/>
        </w:sectPr>
      </w:pPr>
    </w:p>
    <w:bookmarkStart w:id="192" w:name="page193"/>
    <w:bookmarkEnd w:id="192"/>
    <w:p>
      <w:pPr>
        <w:jc w:val="both"/>
        <w:ind w:left="653" w:hanging="317"/>
        <w:spacing w:after="0" w:line="253" w:lineRule="auto"/>
        <w:tabs>
          <w:tab w:leader="none" w:pos="653"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after Notice of Termination.</w:t>
      </w:r>
      <w:r>
        <w:rPr>
          <w:rFonts w:ascii="Times New Roman" w:cs="Times New Roman" w:eastAsia="Times New Roman" w:hAnsi="Times New Roman"/>
          <w:sz w:val="18"/>
          <w:szCs w:val="18"/>
          <w:color w:val="auto"/>
        </w:rPr>
        <w:t xml:space="preserve"> Following any Notice of Termination by either Company or Executive, Executive, if requested by Company, shall reasonably cooperate with Company in all matters relating to the winding up of Executive's pending work on behalf of Company and the orderly transfer of any such pending work to other employees of Company as may be reasonably designated by Company following the Notice of Termination. Executive shall not receive any additional compensation during the Employment Term, other than Executive's Base Salary, for any services that Executive renders as provided in this Section 4(F). For each day that Executive performs services under this Section 4(F) after the Employment Term, Executive shall be reimbursed for his reasonable out-of-pocket expenses and, after the final payment by Company of any and all severance compensation due to Executive under Section 4(E), Company shall pay Executive a per diem cash amount at Executive's Base Salary rate on the Date of Termination.</w:t>
      </w:r>
    </w:p>
    <w:p>
      <w:pPr>
        <w:spacing w:after="0" w:line="189" w:lineRule="exact"/>
        <w:rPr>
          <w:rFonts w:ascii="Times New Roman" w:cs="Times New Roman" w:eastAsia="Times New Roman" w:hAnsi="Times New Roman"/>
          <w:sz w:val="18"/>
          <w:szCs w:val="18"/>
          <w:color w:val="auto"/>
        </w:rPr>
      </w:pPr>
    </w:p>
    <w:p>
      <w:pPr>
        <w:jc w:val="both"/>
        <w:ind w:left="613" w:hanging="317"/>
        <w:spacing w:after="0" w:line="252" w:lineRule="auto"/>
        <w:tabs>
          <w:tab w:leader="none" w:pos="613"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Surrender of Records and Property.</w:t>
      </w:r>
      <w:r>
        <w:rPr>
          <w:rFonts w:ascii="Times New Roman" w:cs="Times New Roman" w:eastAsia="Times New Roman" w:hAnsi="Times New Roman"/>
          <w:sz w:val="18"/>
          <w:szCs w:val="18"/>
          <w:color w:val="auto"/>
        </w:rPr>
        <w:t xml:space="preserve"> Upon termination of employment, Executive shall promptly turn-over or deliver to Company at Company's expense all property of Company in Executive's possession, custody, or control, including without limitation thereto: records (paper and electronic), files (paper and electronic), documents (paper and electronic), electronic mail (e-mail) on Company accounts, letters, financial information, memorandum, notes, notebooks, contracts, project manuals, specifications, reports, data, tables, calculations, data, electronic information, and computer disks, in all cases whether or not such property constitutes Confidential Information (as defined below), and all copies thereof; all keys to motor vehicles, offices or other property of Company; and all computers, cellular phones and other property of Company. If any of the foregoing property of Company is electronically stored on a computer or other storage medium owned by Executive or a friend, family member or agent of Executive, such information shall be copied onto a computer disk to be delivered to Company together with a written statement of Executive that the information has been deleted from such person's computer or other storage medium.</w:t>
      </w:r>
    </w:p>
    <w:p>
      <w:pPr>
        <w:spacing w:after="0" w:line="191" w:lineRule="exact"/>
        <w:rPr>
          <w:rFonts w:ascii="Times New Roman" w:cs="Times New Roman" w:eastAsia="Times New Roman" w:hAnsi="Times New Roman"/>
          <w:sz w:val="18"/>
          <w:szCs w:val="18"/>
          <w:color w:val="auto"/>
        </w:rPr>
      </w:pPr>
    </w:p>
    <w:p>
      <w:pPr>
        <w:ind w:left="333" w:hanging="333"/>
        <w:spacing w:after="0"/>
        <w:tabs>
          <w:tab w:leader="none" w:pos="33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280G OF THE CODE.</w:t>
      </w:r>
    </w:p>
    <w:p>
      <w:pPr>
        <w:spacing w:after="0" w:line="222" w:lineRule="exact"/>
        <w:rPr>
          <w:rFonts w:ascii="Times New Roman" w:cs="Times New Roman" w:eastAsia="Times New Roman" w:hAnsi="Times New Roman"/>
          <w:sz w:val="18"/>
          <w:szCs w:val="18"/>
          <w:color w:val="auto"/>
        </w:rPr>
      </w:pPr>
    </w:p>
    <w:p>
      <w:pPr>
        <w:jc w:val="both"/>
        <w:ind w:left="933" w:hanging="328"/>
        <w:spacing w:after="0" w:line="252" w:lineRule="auto"/>
        <w:tabs>
          <w:tab w:leader="none" w:pos="933"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 etc</w:t>
      </w:r>
      <w:r>
        <w:rPr>
          <w:rFonts w:ascii="Times New Roman" w:cs="Times New Roman" w:eastAsia="Times New Roman" w:hAnsi="Times New Roman"/>
          <w:sz w:val="18"/>
          <w:szCs w:val="18"/>
          <w:color w:val="auto"/>
        </w:rPr>
        <w:t>. At any time when Company is a corporation described in Section 280G(b)(5)(A)(ii)(I) of the Code, if a nationally recognized United States public accounting firm selected (and paid for) by Company (the "</w:t>
      </w:r>
      <w:r>
        <w:rPr>
          <w:rFonts w:ascii="Times New Roman" w:cs="Times New Roman" w:eastAsia="Times New Roman" w:hAnsi="Times New Roman"/>
          <w:sz w:val="18"/>
          <w:szCs w:val="18"/>
          <w:u w:val="single" w:color="auto"/>
          <w:color w:val="auto"/>
        </w:rPr>
        <w:t>Accountant"</w:t>
      </w:r>
      <w:r>
        <w:rPr>
          <w:rFonts w:ascii="Times New Roman" w:cs="Times New Roman" w:eastAsia="Times New Roman" w:hAnsi="Times New Roman"/>
          <w:sz w:val="18"/>
          <w:szCs w:val="18"/>
          <w:color w:val="auto"/>
        </w:rPr>
        <w:t xml:space="preserve">) determines that any payment or benefit (including any accelerated vesting of equity awards) made or provided, or to be made or provided, by Company (or any successor thereto or affiliate thereof) to or for the benefit of Executive, whether pursuant to the terms of this Agreement, any other agreement, plan, program or arrangement of or with Company (or any successor thereto or affiliate thereof) or otherwise in connection with, or arising out of, a change in ownership or an effective control of Company or of a substantial portion of assets (any such payment or benefit, a </w:t>
      </w:r>
      <w:r>
        <w:rPr>
          <w:rFonts w:ascii="Times New Roman" w:cs="Times New Roman" w:eastAsia="Times New Roman" w:hAnsi="Times New Roman"/>
          <w:sz w:val="18"/>
          <w:szCs w:val="18"/>
          <w:u w:val="single" w:color="auto"/>
          <w:color w:val="auto"/>
        </w:rPr>
        <w:t>"Parachute Payment"),</w:t>
      </w:r>
      <w:r>
        <w:rPr>
          <w:rFonts w:ascii="Times New Roman" w:cs="Times New Roman" w:eastAsia="Times New Roman" w:hAnsi="Times New Roman"/>
          <w:sz w:val="18"/>
          <w:szCs w:val="18"/>
          <w:color w:val="auto"/>
        </w:rPr>
        <w:t xml:space="preserve"> will be subject to the excise tax imposed by Section 4999 of the Code or any comparable tax imposed by any replacement or successor provision of United States tax law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if Executive waives Executive's right to receive all or a portion of the Parachute Payments unless such Parachute Payments are approved by the shareholders pursuant to Treas. Reg. Section I .280G-l, Q&amp;A-7, Company shall in good faith seek to obtain approval of payment of such waived Parachute Payments in accordance with the shareholder approval requirements described in Treas. Reg. Section 1.280G-1, Q&amp;A-7.</w:t>
      </w:r>
    </w:p>
    <w:p>
      <w:pPr>
        <w:spacing w:after="0" w:line="186" w:lineRule="exact"/>
        <w:rPr>
          <w:rFonts w:ascii="Times New Roman" w:cs="Times New Roman" w:eastAsia="Times New Roman" w:hAnsi="Times New Roman"/>
          <w:sz w:val="18"/>
          <w:szCs w:val="18"/>
          <w:color w:val="auto"/>
        </w:rPr>
      </w:pPr>
    </w:p>
    <w:p>
      <w:pPr>
        <w:jc w:val="both"/>
        <w:ind w:left="933" w:hanging="314"/>
        <w:spacing w:after="0" w:line="252" w:lineRule="auto"/>
        <w:tabs>
          <w:tab w:leader="none" w:pos="933"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Better Off</w:t>
      </w:r>
      <w:r>
        <w:rPr>
          <w:rFonts w:ascii="Times New Roman" w:cs="Times New Roman" w:eastAsia="Times New Roman" w:hAnsi="Times New Roman"/>
          <w:sz w:val="18"/>
          <w:szCs w:val="18"/>
          <w:color w:val="auto"/>
        </w:rPr>
        <w:t xml:space="preserve"> If, following the date when Company ceases to be corporation described in Section 280G(b)(5)(A)(ii)(I) of the Code, it is determined by the Accountant that Executive shall become entitled to a Parachute Payment, which Parachute Payment shall be subject to the Excise Tax, then Company shall cause to be determined, before any amounts of any Parachute Payment is paid to Executive, which of the following two alternative forms of payment would result in Executive, on an after-tax basis, retaining the greater amount of Parachute Payments, notwithstanding that all or a portion of the Parachute Payments may be subject to the Excise Tax: (a) payment in full of all Parachute Payments or (b) payment of only a part of the Parachute Payments so that Executive receives the largest payment possible without the imposition of the Excise Tax (a </w:t>
      </w:r>
      <w:r>
        <w:rPr>
          <w:rFonts w:ascii="Times New Roman" w:cs="Times New Roman" w:eastAsia="Times New Roman" w:hAnsi="Times New Roman"/>
          <w:sz w:val="18"/>
          <w:szCs w:val="18"/>
          <w:u w:val="single" w:color="auto"/>
          <w:color w:val="auto"/>
        </w:rPr>
        <w:t>"Reduced -Payment")</w:t>
      </w:r>
      <w:r>
        <w:rPr>
          <w:rFonts w:ascii="Times New Roman" w:cs="Times New Roman" w:eastAsia="Times New Roman" w:hAnsi="Times New Roman"/>
          <w:sz w:val="18"/>
          <w:szCs w:val="18"/>
          <w:color w:val="auto"/>
        </w:rPr>
        <w:t>. For purposes of this Section S(B), the Accountant shall take into account all applicable federal, state and local income and employment taxes and the Excise Tax (all computed at Executive's actual marginal tax rate). If a Reduced Payment is made, (i) Executive shall have no rights to any additional payments and/or benefits constituting the Parachute Payments, and (ii) reduction in payments and/or benefits shall occur in the manner that results in the greatest economic benefit to Executive as determined in Section 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217170</wp:posOffset>
            </wp:positionV>
            <wp:extent cx="713295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373"/>
          </w:cols>
          <w:pgMar w:left="1187" w:top="578" w:right="339" w:bottom="1440" w:gutter="0" w:footer="0" w:header="0"/>
        </w:sectPr>
      </w:pPr>
    </w:p>
    <w:bookmarkStart w:id="193" w:name="page194"/>
    <w:bookmarkEnd w:id="193"/>
    <w:p>
      <w:pPr>
        <w:jc w:val="both"/>
        <w:ind w:left="653" w:hanging="330"/>
        <w:spacing w:after="0" w:line="254" w:lineRule="auto"/>
        <w:tabs>
          <w:tab w:leader="none" w:pos="653"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or Determination.</w:t>
      </w:r>
      <w:r>
        <w:rPr>
          <w:rFonts w:ascii="Times New Roman" w:cs="Times New Roman" w:eastAsia="Times New Roman" w:hAnsi="Times New Roman"/>
          <w:sz w:val="18"/>
          <w:szCs w:val="18"/>
          <w:color w:val="auto"/>
        </w:rPr>
        <w:t xml:space="preserve"> One or more determinations (each a </w:t>
      </w:r>
      <w:r>
        <w:rPr>
          <w:rFonts w:ascii="Times New Roman" w:cs="Times New Roman" w:eastAsia="Times New Roman" w:hAnsi="Times New Roman"/>
          <w:sz w:val="18"/>
          <w:szCs w:val="18"/>
          <w:u w:val="single" w:color="auto"/>
          <w:color w:val="auto"/>
        </w:rPr>
        <w:t>"Tax Determination")</w:t>
      </w:r>
      <w:r>
        <w:rPr>
          <w:rFonts w:ascii="Times New Roman" w:cs="Times New Roman" w:eastAsia="Times New Roman" w:hAnsi="Times New Roman"/>
          <w:sz w:val="18"/>
          <w:szCs w:val="18"/>
          <w:color w:val="auto"/>
        </w:rPr>
        <w:t xml:space="preserve"> as to whether any of the Parachute Payments will be subject to the Excise Tax shall be made by the Accountant (with all costs related thereto paid by Company). For purposes of determining whether any of the Parachute Payments will be subject to the Excise Tax: (i) all of the Parachute Payments shall be treated as "parachute payments" (within the meaning of Section 280G of the Code) unless and to the extent that in the written advice of the Accountant, certain Payments should not constitute parachute payments, and (ii) all "excess parachute payments" (within the meaning of Section 280G of the Code) shall be treated as subject to the Excise Tax unless and only to the extent that the Accountant advises Company that such excess parachute payments are not subject to the Excise Tax.</w:t>
      </w:r>
    </w:p>
    <w:p>
      <w:pPr>
        <w:spacing w:after="0" w:line="186" w:lineRule="exact"/>
        <w:rPr>
          <w:rFonts w:ascii="Times New Roman" w:cs="Times New Roman" w:eastAsia="Times New Roman" w:hAnsi="Times New Roman"/>
          <w:sz w:val="18"/>
          <w:szCs w:val="18"/>
          <w:color w:val="auto"/>
        </w:rPr>
      </w:pPr>
    </w:p>
    <w:p>
      <w:pPr>
        <w:ind w:left="333" w:hanging="333"/>
        <w:spacing w:after="0"/>
        <w:tabs>
          <w:tab w:leader="none" w:pos="33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p>
    <w:p>
      <w:pPr>
        <w:spacing w:after="0" w:line="222" w:lineRule="exact"/>
        <w:rPr>
          <w:rFonts w:ascii="Times New Roman" w:cs="Times New Roman" w:eastAsia="Times New Roman" w:hAnsi="Times New Roman"/>
          <w:sz w:val="18"/>
          <w:szCs w:val="18"/>
          <w:color w:val="auto"/>
        </w:rPr>
      </w:pPr>
    </w:p>
    <w:p>
      <w:pPr>
        <w:jc w:val="both"/>
        <w:ind w:left="613" w:hanging="317"/>
        <w:spacing w:after="0" w:line="220" w:lineRule="exact"/>
        <w:tabs>
          <w:tab w:leader="none" w:pos="613"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 Product.</w:t>
      </w:r>
      <w:r>
        <w:rPr>
          <w:rFonts w:ascii="Times New Roman" w:cs="Times New Roman" w:eastAsia="Times New Roman" w:hAnsi="Times New Roman"/>
          <w:sz w:val="18"/>
          <w:szCs w:val="18"/>
          <w:color w:val="auto"/>
        </w:rPr>
        <w:t xml:space="preserve"> During the Employment Term, Executive will be expected to perform duties which may lead to and include the discovery, creation, development, or expression of inventions, discoveries, developments, modifications, procedures, ideas, innovations, systems, programs,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how, literary properties, chemical or biological data, computer software, improvements, processes, methods, formulas, systems, creative works and techniques (collectively, hereinafter </w:t>
      </w:r>
      <w:r>
        <w:rPr>
          <w:rFonts w:ascii="Times New Roman" w:cs="Times New Roman" w:eastAsia="Times New Roman" w:hAnsi="Times New Roman"/>
          <w:sz w:val="18"/>
          <w:szCs w:val="18"/>
          <w:u w:val="single" w:color="auto"/>
          <w:color w:val="auto"/>
        </w:rPr>
        <w:t>"Work Product'').</w:t>
      </w:r>
    </w:p>
    <w:p>
      <w:pPr>
        <w:spacing w:after="0" w:line="198" w:lineRule="exact"/>
        <w:rPr>
          <w:rFonts w:ascii="Times New Roman" w:cs="Times New Roman" w:eastAsia="Times New Roman" w:hAnsi="Times New Roman"/>
          <w:sz w:val="18"/>
          <w:szCs w:val="18"/>
          <w:color w:val="auto"/>
        </w:rPr>
      </w:pPr>
    </w:p>
    <w:p>
      <w:pPr>
        <w:jc w:val="both"/>
        <w:ind w:left="653" w:hanging="330"/>
        <w:spacing w:after="0" w:line="255" w:lineRule="auto"/>
        <w:tabs>
          <w:tab w:leader="none" w:pos="653"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Executive hereby assigns and transfers to Company, and agrees that Company shall be the sole owner of all Work Product conceived, developed or made by Executive (alone or with others), whether during working hours or at any other time, in whole or in part during Executive's employment with Company (including prior to, during and after the Employment Term), whether at the request or upon the suggestion of Company or otherwise, which are useful in, or directly or indirectly related to Company's business or any contemplated business of Company or which relate to, or are conceived, developed, or made in the course of, Executive's employment or which are developed or made from, or by reason of knowledge gained from, such employment.</w:t>
      </w:r>
    </w:p>
    <w:p>
      <w:pPr>
        <w:spacing w:after="0" w:line="185" w:lineRule="exact"/>
        <w:rPr>
          <w:rFonts w:ascii="Times New Roman" w:cs="Times New Roman" w:eastAsia="Times New Roman" w:hAnsi="Times New Roman"/>
          <w:sz w:val="18"/>
          <w:szCs w:val="18"/>
          <w:color w:val="auto"/>
        </w:rPr>
      </w:pPr>
    </w:p>
    <w:p>
      <w:pPr>
        <w:jc w:val="both"/>
        <w:ind w:left="653" w:hanging="330"/>
        <w:spacing w:after="0" w:line="259" w:lineRule="auto"/>
        <w:tabs>
          <w:tab w:leader="none" w:pos="653"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 for Hire.</w:t>
      </w:r>
      <w:r>
        <w:rPr>
          <w:rFonts w:ascii="Times New Roman" w:cs="Times New Roman" w:eastAsia="Times New Roman" w:hAnsi="Times New Roman"/>
          <w:sz w:val="18"/>
          <w:szCs w:val="18"/>
          <w:color w:val="auto"/>
        </w:rPr>
        <w:t xml:space="preserve"> Executive hereby agrees that all work or other material containing or reflecting any Work Product shall be deemed a work made for hire under the U.S. Copyright Act. To the extent any such Work Product is determined that it is not a work made for hire, Executive hereby assigns to Company all of Executive's right, title and interest, including all rights of copyright, patent, trade secret and other intellectual property rights, in, to and under the Work Product.</w:t>
      </w:r>
    </w:p>
    <w:p>
      <w:pPr>
        <w:spacing w:after="0" w:line="181" w:lineRule="exact"/>
        <w:rPr>
          <w:sz w:val="20"/>
          <w:szCs w:val="20"/>
          <w:color w:val="auto"/>
        </w:rPr>
      </w:pPr>
    </w:p>
    <w:p>
      <w:pPr>
        <w:jc w:val="both"/>
        <w:ind w:left="613" w:hanging="317"/>
        <w:spacing w:after="0" w:line="251" w:lineRule="auto"/>
        <w:tabs>
          <w:tab w:leader="none" w:pos="61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 xml:space="preserve"> Executive agrees to disclose promptly all Work Product conceived or made by Executive (alone or with others) to which Company is entitled to as provided herein, and agrees not to disclose such Work Product to others except as required by law or as is reasonably necessary or appropriate in connection with the performance of Executive's duties as an employee and officer of Company, without the express written consent of Company. Executive further agrees that during the Employment Term and at any time thereafter, Executive will, upon request by Company, provide all assistance reasonably required to protect, perfect and use the Work Product, including execution of proper assignments to Company of any and all such Work Product to which Company is entitled, execution of all papers and performance all other lawful acts which Company may deem necessary or advisable for the preparation, prosecution, procurement and maintenance of trademarks, copyrights and or patent applications, and execution of any and all proper documents as shall be required or necessary to vest title in Company to such Work Product. It is understood that all expenses in connection with such trademarks, copyrights or patents, and all applications related thereto, shall be borne by Company, however Company is under no obligation to protect such Work Product, except at its own discretion and to such extent as Company shall deem desirable. Executive shall not receive any additional compensation during the Employment Term, other than Executive's Base Salary, for any services that Executive renders as herein provided. For each day that Executive performs services under this Section 6(0) after the Employment Term, Executive shall be reimbursed for his reasonable out-of-pocket expenses and, after the final payment by Company of any and all severance compensation due to Executive under Section 4(E), Company shall pay Executive a per diem cash amount at Executive's Base Salary rate on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218440</wp:posOffset>
            </wp:positionV>
            <wp:extent cx="713295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373"/>
          </w:cols>
          <w:pgMar w:left="1187" w:top="578" w:right="339" w:bottom="1440" w:gutter="0" w:footer="0" w:header="0"/>
        </w:sectPr>
      </w:pPr>
    </w:p>
    <w:bookmarkStart w:id="194" w:name="page195"/>
    <w:bookmarkEnd w:id="194"/>
    <w:p>
      <w:pPr>
        <w:ind w:left="460" w:hanging="333"/>
        <w:spacing w:after="0"/>
        <w:tabs>
          <w:tab w:leader="none" w:pos="4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p>
    <w:p>
      <w:pPr>
        <w:spacing w:after="0" w:line="223" w:lineRule="exact"/>
        <w:rPr>
          <w:sz w:val="20"/>
          <w:szCs w:val="20"/>
          <w:color w:val="auto"/>
        </w:rPr>
      </w:pPr>
    </w:p>
    <w:p>
      <w:pPr>
        <w:jc w:val="both"/>
        <w:ind w:hanging="174"/>
        <w:spacing w:after="0" w:line="251"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The term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means all information related to Company's business, which exists or is developed at any time while Executive is an employee, officer and/or director of Company (including prior to, during and alter the Employment Term), including without limitation: (i) strategic and development plans, financial information, equity investors, business plans, co-developer identities, business relationships, business records, project records, market reports, information relating to processes and techniques, technology, research, data, development, trade secrets, know-how, discoveries, ideas, concepts, specifications, diagrams, inventions, technical and statistical data, designs, drawings, models, flow charts, engineering, products, invention disclosures, patent applications, chemical and molecular structures, synthetic pathways, biological data, safety data, clinical data, developmental data, development route, manufacturing processes, synthetic techniques, analytical data, Work Product, and any and all other proprietary and sensitive information, disclosed or learned, whether oral, written, graphic or machine-readable, whether or not marked confidential or proprietary, whether or not patentable, whether or not copyrightable, including the manner and results in which any such Confidential Information may be combined with other information or synthesized or used by Company, which could prove beneficial in enabling a competitor to compete with Company; or (ii) information that satisfies the definition of a "trade secret" as that term is defined in the Florida Uniform Trade Secrets Act, FL Code Chpt. 688, as amended from time to time; provided, however, that information that is in the public domain (other than as a result of a breach by Executive of this Section 7), approved for release by Company, or lawfully obtained from a third party who is not known by Executive (after Executive's reasonable inquiry) to be bound by a confidentiality agreement with Company is not Confidential Information.</w:t>
      </w:r>
    </w:p>
    <w:p>
      <w:pPr>
        <w:spacing w:after="0" w:line="193" w:lineRule="exact"/>
        <w:rPr>
          <w:sz w:val="20"/>
          <w:szCs w:val="20"/>
          <w:color w:val="auto"/>
        </w:rPr>
      </w:pPr>
    </w:p>
    <w:p>
      <w:pPr>
        <w:jc w:val="both"/>
        <w:ind w:hanging="174"/>
        <w:spacing w:after="0" w:line="256"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 xml:space="preserve">. Executive acknowledges and agrees that: (1) Executive's position with Company is one of high trust and confidence, (2) the Confidential Information constitutes a valuable, special and unique asset which Company uses to obtain a competitive advantage over its competitors, </w:t>
      </w:r>
      <w:r>
        <w:rPr>
          <w:rFonts w:ascii="Times New Roman" w:cs="Times New Roman" w:eastAsia="Times New Roman" w:hAnsi="Times New Roman"/>
          <w:sz w:val="18"/>
          <w:szCs w:val="18"/>
          <w:i w:val="1"/>
          <w:iCs w:val="1"/>
          <w:color w:val="auto"/>
        </w:rPr>
        <w:t>(3)</w:t>
      </w:r>
      <w:r>
        <w:rPr>
          <w:rFonts w:ascii="Times New Roman" w:cs="Times New Roman" w:eastAsia="Times New Roman" w:hAnsi="Times New Roman"/>
          <w:sz w:val="18"/>
          <w:szCs w:val="18"/>
          <w:color w:val="auto"/>
        </w:rPr>
        <w:t xml:space="preserve"> Executive's protection of such Confidential Information against unauthorized use or disclosure is critically important to Company in maintaining its competitive advantage, (4) all Confidential Information is the property of Company, and (5) Executive shall acquire no right, title or interest in, to or under any such Confidential Information.</w:t>
      </w:r>
    </w:p>
    <w:p>
      <w:pPr>
        <w:spacing w:after="0" w:line="186" w:lineRule="exact"/>
        <w:rPr>
          <w:sz w:val="20"/>
          <w:szCs w:val="20"/>
          <w:color w:val="auto"/>
        </w:rPr>
      </w:pPr>
    </w:p>
    <w:p>
      <w:pPr>
        <w:jc w:val="both"/>
        <w:ind w:left="40" w:hanging="214"/>
        <w:spacing w:after="0" w:line="25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 xml:space="preserve"> Executive promises that Executive will never (before, during or after the Employment Term): (I) disclose any Confidential Information to any person other than (i) an officer or director of Company; or (ii) any other person who is bound by nondisclosure restrictive covenants to Company and to whom disclosure of such Confidential Information is reasonably necessary or appropriate in connection with performance by Executive of Executive's duties as an employee and officer of Company; or (2) use any Confidential Information except to the extent it is reasonably necessary or appropriate in connection with performance by Executive of Executive's duties as an employee and officer of Company. Executive promises to take all reasonable precautions to prevent the inadvertent or accidental disclosure or misuse of any Confidential Information. In the event Executive receives a request to disclose all or any part of the Confidential Information under the terms of a subpoena or order issued by a court or governmental body, Executive promises, to the extent permissible by law, to (a) notify Company immediately of the existence, terms and circumstances surrounding such request, (b) consult with Company on the advisability of taking legally available steps to resist or narrow such request, (c) if disclosure is required, furnish only such portion of the Confidential Information as Executive is legally compelled to disclose; and (e) exercise Executive's best efforts to obtain an order or other reliable assurance that confidential treatment </w:t>
      </w:r>
      <w:r>
        <w:rPr>
          <w:rFonts w:ascii="Times New Roman" w:cs="Times New Roman" w:eastAsia="Times New Roman" w:hAnsi="Times New Roman"/>
          <w:sz w:val="18"/>
          <w:szCs w:val="18"/>
          <w:b w:val="1"/>
          <w:bCs w:val="1"/>
          <w:color w:val="auto"/>
        </w:rPr>
        <w:t>will</w:t>
      </w:r>
      <w:r>
        <w:rPr>
          <w:rFonts w:ascii="Times New Roman" w:cs="Times New Roman" w:eastAsia="Times New Roman" w:hAnsi="Times New Roman"/>
          <w:sz w:val="18"/>
          <w:szCs w:val="18"/>
          <w:color w:val="auto"/>
        </w:rPr>
        <w:t xml:space="preserve"> be accorded to the disclosed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215900</wp:posOffset>
            </wp:positionV>
            <wp:extent cx="713295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00"/>
          </w:cols>
          <w:pgMar w:left="1060" w:top="578" w:right="339" w:bottom="1440" w:gutter="0" w:footer="0" w:header="0"/>
        </w:sectPr>
      </w:pPr>
    </w:p>
    <w:bookmarkStart w:id="195" w:name="page196"/>
    <w:bookmarkEnd w:id="195"/>
    <w:p>
      <w:pPr>
        <w:ind w:left="642" w:hanging="333"/>
        <w:spacing w:after="0"/>
        <w:tabs>
          <w:tab w:leader="none" w:pos="642"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p>
    <w:p>
      <w:pPr>
        <w:spacing w:after="0" w:line="222" w:lineRule="exact"/>
        <w:rPr>
          <w:rFonts w:ascii="Times New Roman" w:cs="Times New Roman" w:eastAsia="Times New Roman" w:hAnsi="Times New Roman"/>
          <w:sz w:val="18"/>
          <w:szCs w:val="18"/>
          <w:color w:val="auto"/>
        </w:rPr>
      </w:pPr>
    </w:p>
    <w:p>
      <w:pPr>
        <w:jc w:val="both"/>
        <w:ind w:left="1242" w:hanging="328"/>
        <w:spacing w:after="0" w:line="264" w:lineRule="auto"/>
        <w:tabs>
          <w:tab w:leader="none" w:pos="1242"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xml:space="preserve"> As used in this Agreement, the term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xml:space="preserve"> means throughout the Employment Term and continuing until the end of the twelve (12) month period following the date on which Executive's employment with Company is terminated for any reason (whether voluntary or involuntary).</w:t>
      </w:r>
    </w:p>
    <w:p>
      <w:pPr>
        <w:spacing w:after="0" w:line="176" w:lineRule="exact"/>
        <w:rPr>
          <w:rFonts w:ascii="Times New Roman" w:cs="Times New Roman" w:eastAsia="Times New Roman" w:hAnsi="Times New Roman"/>
          <w:sz w:val="18"/>
          <w:szCs w:val="18"/>
          <w:color w:val="auto"/>
        </w:rPr>
      </w:pPr>
    </w:p>
    <w:p>
      <w:pPr>
        <w:jc w:val="both"/>
        <w:ind w:left="1242" w:hanging="314"/>
        <w:spacing w:after="0" w:line="251" w:lineRule="auto"/>
        <w:tabs>
          <w:tab w:leader="none" w:pos="1242"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 on Competition.</w:t>
      </w:r>
      <w:r>
        <w:rPr>
          <w:rFonts w:ascii="Times New Roman" w:cs="Times New Roman" w:eastAsia="Times New Roman" w:hAnsi="Times New Roman"/>
          <w:sz w:val="18"/>
          <w:szCs w:val="18"/>
          <w:color w:val="auto"/>
        </w:rPr>
        <w:t xml:space="preserve"> In order to protect Company's legitimate business interests pursuant to Fla. Stat. Section 542.335, Executive hereby covenants and agrees that, until the expiration of the Restricted Period, except for any activity identified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Executive will not serve as an officer, director, employee, independent contractor, consultant or agent of, or have any ownership interest in, any business entity which engages in any activities anywhere in the world that are materially similar to or competitive with Company's pharmaceutical prodrug development and Commercialization (as defined below) activities in the fields of (i) opioid products for the treatment of pain,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stimulant products for the treatment of ADHD, (iii) therapeutics to treat idiopathic hypersomnia, (iv) therapeutics to treat stimulant use disorder, (v) therapeutics to treat Tourette's syndrome, and/or (vi) such other products which Company is actively and demonstrably developing and/or Commercializing at the time Executive's employment is terminated. If a court of competent jurisdiction finds this non-competition provision invalid or unenforceable due to unreasonableness in time, geographic scope, or scope of Company's business, then Executive agrees that such court shall interpret and enforce this provision to the maximum extent that such court deems reasonable. For purposes of this Agreement, "Commercialize" or "Commercialization" means the sales and marketing phase with regard to a specific drug candidate in a specific country or region following the regulatory approval of said dmg candidate in the applicable country or region.</w:t>
      </w:r>
    </w:p>
    <w:p>
      <w:pPr>
        <w:spacing w:after="0" w:line="195" w:lineRule="exact"/>
        <w:rPr>
          <w:rFonts w:ascii="Times New Roman" w:cs="Times New Roman" w:eastAsia="Times New Roman" w:hAnsi="Times New Roman"/>
          <w:sz w:val="18"/>
          <w:szCs w:val="18"/>
          <w:color w:val="auto"/>
        </w:rPr>
      </w:pPr>
    </w:p>
    <w:p>
      <w:pPr>
        <w:jc w:val="both"/>
        <w:ind w:left="1242" w:hanging="314"/>
        <w:spacing w:after="0" w:line="259" w:lineRule="auto"/>
        <w:tabs>
          <w:tab w:leader="none" w:pos="1242"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xml:space="preserve"> Executive's ownership of less than 5% of the stock of a company that is competitive with the activities of Company as described in Section 8(8) and listed on a national securities exchange shall not be deemed to violate the prohibitions of Section 8(8). Also, Executive shall not be considered to have violated Section 8(8) with respect to the purchasing entity if there is a Change in Control and Executive becomes an employee, officer, director or shareholder of the purchasing entity.</w:t>
      </w:r>
    </w:p>
    <w:p>
      <w:pPr>
        <w:spacing w:after="0" w:line="181" w:lineRule="exact"/>
        <w:rPr>
          <w:rFonts w:ascii="Times New Roman" w:cs="Times New Roman" w:eastAsia="Times New Roman" w:hAnsi="Times New Roman"/>
          <w:sz w:val="18"/>
          <w:szCs w:val="18"/>
          <w:color w:val="auto"/>
        </w:rPr>
      </w:pPr>
    </w:p>
    <w:p>
      <w:pPr>
        <w:jc w:val="both"/>
        <w:ind w:left="322" w:hanging="322"/>
        <w:spacing w:after="0" w:line="253" w:lineRule="auto"/>
        <w:tabs>
          <w:tab w:leader="none" w:pos="32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EMPLOYEES.</w:t>
      </w:r>
      <w:r>
        <w:rPr>
          <w:rFonts w:ascii="Times New Roman" w:cs="Times New Roman" w:eastAsia="Times New Roman" w:hAnsi="Times New Roman"/>
          <w:sz w:val="18"/>
          <w:szCs w:val="18"/>
          <w:color w:val="auto"/>
        </w:rPr>
        <w:t xml:space="preserve"> In order to protect Company's legitimate business interests pursuant to Fla. Stat. Section 542.335, until the expiration of the Restricted Period, Executive shall not, directly or indirectly, either on Executive's own account or for any other person or entity: (a) employ, solicit, induce, advise, or otherwise convince, interfere with Company's employment of, or offer employment to, any employee of Company; (b) employ or otherwise interfere with Company's engagement with, or offer employment to, any consultant of Company; or (c) induce or attempt to induce any such employee or consultant to breach their employment agreement or relationship or consulting agreement or relationship with Company; provided, however, that Executive shall not be in breach of this provision if any such employee or consultant, without inducement or solicitation by Executive, applies for employment at Executive's subsequent employer in response to a general advertisement soliciting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217170</wp:posOffset>
            </wp:positionV>
            <wp:extent cx="713295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682"/>
          </w:cols>
          <w:pgMar w:left="878" w:top="578" w:right="339" w:bottom="1440" w:gutter="0" w:footer="0" w:header="0"/>
        </w:sectPr>
      </w:pPr>
    </w:p>
    <w:bookmarkStart w:id="196" w:name="page197"/>
    <w:bookmarkEnd w:id="196"/>
    <w:p>
      <w:pPr>
        <w:jc w:val="both"/>
        <w:ind w:left="316" w:hanging="316"/>
        <w:spacing w:after="0" w:line="251" w:lineRule="auto"/>
        <w:tabs>
          <w:tab w:leader="none" w:pos="31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REASONABLENESS OF RESTRICTION: REMEDIES.</w:t>
      </w:r>
      <w:r>
        <w:rPr>
          <w:rFonts w:ascii="Times New Roman" w:cs="Times New Roman" w:eastAsia="Times New Roman" w:hAnsi="Times New Roman"/>
          <w:sz w:val="18"/>
          <w:szCs w:val="18"/>
          <w:color w:val="auto"/>
        </w:rPr>
        <w:t xml:space="preserve"> Executive has carefully read and considered the restrictive covenants set forth in Sections 7 - 9 hereof, and understands Executive's obligations thereunder, the limitations such obligations will impose upon Executive after termination of Executive's employment with Company, and that the Restricted Period extends for twelve (12) months after the termination of Executive's employment. Executive has had full opportunity to review with Executive's personal attorney this Agreement, including Sections 7 - 9, before executing the Agreement. Executive agrees that, as a result of Executive's position with Company, the length of the Restricted Period and each restriction set forth in Sections 7, 8 and 9 herein are (l) fair and reasonable, (2) reasonably required for the protection of the legitimate business interests and goodwill established by Company, and (3) not overly broad or unduly burdensome to Executive. Executive acknowledges that Executive's compliance with Executive's obligations and restrictive covenants set forth in this Agreement is necessary to protect the business and goodwill of Company. Executive agrees that Executive's breach of Executive's obligations and/or restrictive covenants under this Agreement may irreparably and continually damage Company, for which money damages may not be adequate. Consequently, Executive agrees that in the event that Executive breaches or threatens to breach any of the covenants or agreements contained herein, Company shall be entitled to: (a) seek injunctive relief to prevent or halt Executive from breaching this Agreement; and (b) money damages as determined appropriate by a court of competent jurisdiction. Executive hereby agrees that injunctive relief may be granted by a court of competent jurisdiction without the necessity of Company to post bond, or if required to post bond, Executive agrees that the lowest amount permitted shall be adequate. Nothing in this Agreement shall be construed to prohibit Company from pursuing any other remedy available or from seeking to enforce any restrictive covenants to a lesser extent than set forth herein. The Parties agree that all remedies shall be cumulative. Each party is responsible for its own costs and expenses, including attorneys' fees.</w:t>
      </w:r>
    </w:p>
    <w:p>
      <w:pPr>
        <w:spacing w:after="0" w:line="189" w:lineRule="exact"/>
        <w:rPr>
          <w:rFonts w:ascii="Times New Roman" w:cs="Times New Roman" w:eastAsia="Times New Roman" w:hAnsi="Times New Roman"/>
          <w:sz w:val="18"/>
          <w:szCs w:val="18"/>
          <w:color w:val="auto"/>
        </w:rPr>
      </w:pPr>
    </w:p>
    <w:p>
      <w:pPr>
        <w:jc w:val="both"/>
        <w:ind w:left="316" w:hanging="316"/>
        <w:spacing w:after="0" w:line="220" w:lineRule="exact"/>
        <w:tabs>
          <w:tab w:leader="none" w:pos="31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PRIOR RESTRICTIONS.</w:t>
      </w:r>
      <w:r>
        <w:rPr>
          <w:rFonts w:ascii="Times New Roman" w:cs="Times New Roman" w:eastAsia="Times New Roman" w:hAnsi="Times New Roman"/>
          <w:sz w:val="18"/>
          <w:szCs w:val="18"/>
          <w:color w:val="auto"/>
        </w:rPr>
        <w:t xml:space="preserve"> Executive hereby represents and warrants to Company that the execution, delivery, and performance by Executive of Executive's duties under this Agreement do not violate any provision of any agreement or restrictive covenant which Executive has with any former employer or any other entity. Executive further agrees to honor and inform Company of any and all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employment obligations Executive has to any former employer or any other entity with which Executive has or had a business relationship.</w:t>
      </w:r>
    </w:p>
    <w:p>
      <w:pPr>
        <w:spacing w:after="0" w:line="198" w:lineRule="exact"/>
        <w:rPr>
          <w:rFonts w:ascii="Times New Roman" w:cs="Times New Roman" w:eastAsia="Times New Roman" w:hAnsi="Times New Roman"/>
          <w:sz w:val="18"/>
          <w:szCs w:val="18"/>
          <w:color w:val="auto"/>
        </w:rPr>
      </w:pPr>
    </w:p>
    <w:p>
      <w:pPr>
        <w:jc w:val="both"/>
        <w:ind w:left="316" w:hanging="316"/>
        <w:spacing w:after="0" w:line="255" w:lineRule="auto"/>
        <w:tabs>
          <w:tab w:leader="none" w:pos="31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or communication required or permitted to be given hereunder may be delivered by hand, deposited with an overnight courier, sent by confirmed email, confirmed facsimile, or mailed by registered or certified mail, return receipt requested, postage prepaid, in the case of Company, addressed to Company's principal office marked attention to Company's president, and in the case of Executive, addressed to Executive's personal address as appearing in Company's payroll records, and in each case to such other mail address, e-mail address, or facsimile number as may hereafter be furnished in writing by either Party to the other Party. Such notice will be deemed to have been given as of the date it is hand delivered, emailed, faxed or three days after deposit in the U.S. mail.</w:t>
      </w:r>
    </w:p>
    <w:p>
      <w:pPr>
        <w:spacing w:after="0" w:line="185" w:lineRule="exact"/>
        <w:rPr>
          <w:rFonts w:ascii="Times New Roman" w:cs="Times New Roman" w:eastAsia="Times New Roman" w:hAnsi="Times New Roman"/>
          <w:sz w:val="18"/>
          <w:szCs w:val="18"/>
          <w:color w:val="auto"/>
        </w:rPr>
      </w:pPr>
    </w:p>
    <w:p>
      <w:pPr>
        <w:jc w:val="both"/>
        <w:ind w:left="316" w:hanging="316"/>
        <w:spacing w:after="0" w:line="255" w:lineRule="auto"/>
        <w:tabs>
          <w:tab w:leader="none" w:pos="31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LIKENESS.</w:t>
      </w:r>
      <w:r>
        <w:rPr>
          <w:rFonts w:ascii="Times New Roman" w:cs="Times New Roman" w:eastAsia="Times New Roman" w:hAnsi="Times New Roman"/>
          <w:sz w:val="18"/>
          <w:szCs w:val="18"/>
          <w:color w:val="auto"/>
        </w:rPr>
        <w:t xml:space="preserve"> Executive hereby grants to Company a license to use, without further compensation or approval from Executive, Executive's name, image, portrait, voice, likeness and all other rights of publicity, or any derivative or modification thereto that Company may create, in any and all mediums, now known or hereafter developed, provided that such use is in relation to Company's business and consistent with professional business standards, and does not disparage or denigrate Executive. Provided, however, if written notice is provided to Company by Executive following termination of Executive's employment requesting that Company cease using Executive's likeness, Company has 30 days to cease using Executive's likeness in the manner set forth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214630</wp:posOffset>
            </wp:positionV>
            <wp:extent cx="713295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776"/>
          </w:cols>
          <w:pgMar w:left="784" w:top="578"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18"/>
          <w:szCs w:val="18"/>
          <w:u w:val="single" w:color="auto"/>
          <w:color w:val="auto"/>
        </w:rPr>
        <w:t>SECTION 409A.</w:t>
      </w:r>
    </w:p>
    <w:p>
      <w:pPr>
        <w:spacing w:after="0" w:line="223" w:lineRule="exact"/>
        <w:rPr>
          <w:sz w:val="20"/>
          <w:szCs w:val="20"/>
          <w:color w:val="auto"/>
        </w:rPr>
      </w:pPr>
    </w:p>
    <w:p>
      <w:pPr>
        <w:jc w:val="both"/>
        <w:ind w:left="1580" w:hanging="328"/>
        <w:spacing w:after="0" w:line="252" w:lineRule="auto"/>
        <w:tabs>
          <w:tab w:leader="none" w:pos="15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intended to comply with Section 409A of the Code and its corresponding regulations, or an exemption, and payments may only be made under this Agreement upon an event and in a manner permitted by Section 409A of the Code, to the extent applicable. Severance benefits under the Agreement are intended to be exempt from Section 409A of the Code under the "short-term deferral" exception, to the maximum extent applicable, and then under the "separation pay" exception, to the maximum extent applicable. Not withstanding anything in this Agreement to the contrary, if required by Section 409A of the Code, if Executive is considered a "specified employee" for purposes of Section 409A and if payment of any amounts under this Agreement is required to be delayed for a period of six months after separation from service pursuant to Section 409A of the Code, payment of such amounts shall be delayed as required by Section 409A of the Code, and the accumulated amounts shall be paid in a lump sum payment within 10 days after the end of the six month period. If Executive dies during the postponement period prior to the payment of benefits, the amounts withheld on account of Section 409A of the Code shall be paid to the personal representative of Executive's estate within 60 days after the day of Executive's death. The Parties agree that this Section 14 shall not be construed in a manner so as to accelerate any payments due under this Agreement.</w:t>
      </w:r>
    </w:p>
    <w:p>
      <w:pPr>
        <w:spacing w:after="0" w:line="186" w:lineRule="exact"/>
        <w:rPr>
          <w:rFonts w:ascii="Times New Roman" w:cs="Times New Roman" w:eastAsia="Times New Roman" w:hAnsi="Times New Roman"/>
          <w:sz w:val="18"/>
          <w:szCs w:val="18"/>
          <w:color w:val="auto"/>
        </w:rPr>
      </w:pPr>
    </w:p>
    <w:p>
      <w:pPr>
        <w:jc w:val="both"/>
        <w:ind w:left="1580" w:hanging="314"/>
        <w:spacing w:after="0" w:line="255" w:lineRule="auto"/>
        <w:tabs>
          <w:tab w:leader="none" w:pos="15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to be made upon a termination of employment under this Agreement may only be made upon a "separation from service" under Section 409A of the Code. For purposes of Section 409A of the Code, each payment hereunder shall be treated as a separate payment and the right to a series of installment payments under this Agreement shall be treated as a right to a series of separate payments. In no event may Executive, directly or indirectly, designate the calendar year of a payment. All reimbursements and in-kind benefits provided under the Agreement shall be made or provided in accordance with the requirements of Section 409A of the Code.</w:t>
      </w:r>
    </w:p>
    <w:p>
      <w:pPr>
        <w:spacing w:after="0" w:line="185" w:lineRule="exact"/>
        <w:rPr>
          <w:rFonts w:ascii="Times New Roman" w:cs="Times New Roman" w:eastAsia="Times New Roman" w:hAnsi="Times New Roman"/>
          <w:sz w:val="18"/>
          <w:szCs w:val="18"/>
          <w:color w:val="auto"/>
        </w:rPr>
      </w:pPr>
    </w:p>
    <w:p>
      <w:pPr>
        <w:jc w:val="both"/>
        <w:ind w:left="560" w:hanging="316"/>
        <w:spacing w:after="0" w:line="253" w:lineRule="auto"/>
        <w:tabs>
          <w:tab w:leader="none" w:pos="5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LIABILITY INSURANCE.</w:t>
      </w:r>
      <w:r>
        <w:rPr>
          <w:rFonts w:ascii="Times New Roman" w:cs="Times New Roman" w:eastAsia="Times New Roman" w:hAnsi="Times New Roman"/>
          <w:sz w:val="18"/>
          <w:szCs w:val="18"/>
          <w:color w:val="auto"/>
        </w:rPr>
        <w:t xml:space="preserve"> Company shall indemnify and hold Executive harmless to the fullest extent permitted by the laws of Company's state of organization or incorporation in effect at the time against and in respect of any and all actions, suits, proceedings, claims, demands, judgments, costs, expenses (including advancement of reasonable attorney's fees), losses, and damages resulting from Executive's performance of Executive's duties and obligations with Company. Executive will be entitled to be covered, both during and, while potential liability exists, by any insurance policies the Employer may elect to maintain generally for the benefit of officers and directors of the Employer against all costs, charges and expenses incurred in connection with any action, suit or proceeding to which Executive may be made a party by reason of being an officer or director of Company in the same amount and to the same extent as Company covers its other officers and directors. These obligations shall survive the termination of Executive's employment with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18"/>
          <w:szCs w:val="18"/>
          <w:u w:val="single" w:color="auto"/>
          <w:color w:val="auto"/>
        </w:rPr>
        <w:t>GENERAL PROVISIONS.</w:t>
      </w:r>
    </w:p>
    <w:p>
      <w:pPr>
        <w:spacing w:after="0" w:line="223" w:lineRule="exact"/>
        <w:rPr>
          <w:sz w:val="20"/>
          <w:szCs w:val="20"/>
          <w:color w:val="auto"/>
        </w:rPr>
      </w:pPr>
    </w:p>
    <w:p>
      <w:pPr>
        <w:jc w:val="both"/>
        <w:ind w:left="520" w:hanging="174"/>
        <w:spacing w:after="0" w:line="253"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The rights and obligations under this Agreement shall survive the termination of Executive's services to Company in any capacity and shall inure to the benefit and shall be binding upon Executive's heirs and personal representatives. Executive's duties and obligations are personal in nature and Executive may not assign or delegate any duties under this Agreement without Company's prior written approval. Company shall require any successor (whether direct or indirect, by purchase, merger, consolidation, reorganization or otherwise) to all or substantially all of the business or assets of Company, within 15 days of such succession, expressly to assume and agree to perform this Agreement in the same manner and to the same extent as Company would be required to perform if no such succession had taken place and Executive acknowledges that in such event the obligations of Executive hereunder will continue to apply in favor of the successor. As used in this Agreement, "Company" shall mean Company and any such successor which assumes and agrees to perform the duties and obligations of Company under this Agreement by operation of law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215265</wp:posOffset>
            </wp:positionV>
            <wp:extent cx="713295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20"/>
          </w:cols>
          <w:pgMar w:left="540" w:top="578" w:right="339" w:bottom="1440" w:gutter="0" w:footer="0" w:header="0"/>
        </w:sectPr>
      </w:pPr>
    </w:p>
    <w:bookmarkStart w:id="198" w:name="page199"/>
    <w:bookmarkEnd w:id="198"/>
    <w:p>
      <w:pPr>
        <w:jc w:val="both"/>
        <w:ind w:left="400" w:hanging="330"/>
        <w:spacing w:after="0" w:line="259" w:lineRule="auto"/>
        <w:tabs>
          <w:tab w:leader="none" w:pos="4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Certain Terms.</w:t>
      </w:r>
      <w:r>
        <w:rPr>
          <w:rFonts w:ascii="Times New Roman" w:cs="Times New Roman" w:eastAsia="Times New Roman" w:hAnsi="Times New Roman"/>
          <w:sz w:val="18"/>
          <w:szCs w:val="18"/>
          <w:color w:val="auto"/>
        </w:rPr>
        <w:t xml:space="preserve"> The terms, conditions and covenants set forth in this Agreement which specifically relate to periods, activities or obligations upon or subsequent to the termination of Executive's employment, including, without limitation, the restrictive covenants contained in Sections 7 - 9, shall survive the termination of this Agreement and Company's employment of Executive hereunder, and the Parties shall remain bound by such terms, conditions and covenants.</w:t>
      </w:r>
    </w:p>
    <w:p>
      <w:pPr>
        <w:spacing w:after="0" w:line="181" w:lineRule="exact"/>
        <w:rPr>
          <w:rFonts w:ascii="Times New Roman" w:cs="Times New Roman" w:eastAsia="Times New Roman" w:hAnsi="Times New Roman"/>
          <w:sz w:val="18"/>
          <w:szCs w:val="18"/>
          <w:color w:val="auto"/>
        </w:rPr>
      </w:pPr>
    </w:p>
    <w:p>
      <w:pPr>
        <w:jc w:val="both"/>
        <w:ind w:left="400" w:hanging="330"/>
        <w:spacing w:after="0" w:line="252" w:lineRule="auto"/>
        <w:tabs>
          <w:tab w:leader="none" w:pos="40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xml:space="preserve"> This Agreement shall be governed by and construed and enforced in accordance with the procedural and substantive laws of the State of Florida, without regard to its conflicts of laws provisions. The litigation of any disputes arising out of this Agreement shall take place in the appropriate federal or state court located in Osceola County, Florida. The parties, to the extent they can legally do so, hereby consent to service of process, and to be sued in the State of Florida and consent to the exclusive jurisdiction of the courts of the State of Florida and the United States District Court for the Middle District of Florida, as well as to the jurisdiction of all courts to which an appeal may be taken from such courts, for the purpose of any suit, action or other proceeding arising out of any of their obligations hereunder or with respect to the transactions contemplated hereby, and expressly waive any and all objections they may have to venue in such com1s. Notwithstanding the foregoing, should Executive refuse to comply with an order or judgment of such court, then Company may enforce this Agreement and the order or judgment of such court in any jurisdiction it deems appropriate.</w:t>
      </w:r>
    </w:p>
    <w:p>
      <w:pPr>
        <w:spacing w:after="0" w:line="191" w:lineRule="exact"/>
        <w:rPr>
          <w:rFonts w:ascii="Times New Roman" w:cs="Times New Roman" w:eastAsia="Times New Roman" w:hAnsi="Times New Roman"/>
          <w:sz w:val="18"/>
          <w:szCs w:val="18"/>
          <w:color w:val="auto"/>
        </w:rPr>
      </w:pPr>
    </w:p>
    <w:p>
      <w:pPr>
        <w:ind w:left="360" w:hanging="317"/>
        <w:spacing w:after="0" w:line="280" w:lineRule="auto"/>
        <w:tabs>
          <w:tab w:leader="none" w:pos="3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Reform.</w:t>
      </w:r>
      <w:r>
        <w:rPr>
          <w:rFonts w:ascii="Times New Roman" w:cs="Times New Roman" w:eastAsia="Times New Roman" w:hAnsi="Times New Roman"/>
          <w:sz w:val="18"/>
          <w:szCs w:val="18"/>
          <w:color w:val="auto"/>
        </w:rPr>
        <w:t xml:space="preserve"> If any provision of this Agreement is determined to be void, invalid or unenforceable, the remainder shall be unaffected and shall be enforceable as if the void, invalid or unenforceable part was not a provision of the Agreement.</w:t>
      </w:r>
    </w:p>
    <w:p>
      <w:pPr>
        <w:spacing w:after="0" w:line="161" w:lineRule="exact"/>
        <w:rPr>
          <w:rFonts w:ascii="Times New Roman" w:cs="Times New Roman" w:eastAsia="Times New Roman" w:hAnsi="Times New Roman"/>
          <w:sz w:val="18"/>
          <w:szCs w:val="18"/>
          <w:color w:val="auto"/>
        </w:rPr>
      </w:pPr>
    </w:p>
    <w:p>
      <w:pPr>
        <w:jc w:val="both"/>
        <w:ind w:left="400" w:hanging="330"/>
        <w:spacing w:after="0" w:line="264" w:lineRule="auto"/>
        <w:tabs>
          <w:tab w:leader="none" w:pos="4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and its attached exhibits, which by this reference are hereby incorporated into and made a part of this Agreement as if set forth herein verbatim, contain the entire understanding of the parties to this Agreement and supersede and replace all former agreements or understandings, oral or written, between Company and Executive regarding the subject matter hereof.</w:t>
      </w:r>
    </w:p>
    <w:p>
      <w:pPr>
        <w:spacing w:after="0" w:line="176" w:lineRule="exact"/>
        <w:rPr>
          <w:rFonts w:ascii="Times New Roman" w:cs="Times New Roman" w:eastAsia="Times New Roman" w:hAnsi="Times New Roman"/>
          <w:sz w:val="18"/>
          <w:szCs w:val="18"/>
          <w:color w:val="auto"/>
        </w:rPr>
      </w:pPr>
    </w:p>
    <w:p>
      <w:pPr>
        <w:jc w:val="both"/>
        <w:ind w:left="400" w:hanging="317"/>
        <w:spacing w:after="0" w:line="255" w:lineRule="auto"/>
        <w:tabs>
          <w:tab w:leader="none" w:pos="4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xml:space="preserve"> This Agreement may not be amended except by a written instrument signed by both Parties which specifically refers to the particular provision or provisions being amended. No provision of this Agreement may be waived except in a written instrument that specifically refers to the particular provision or provisions being waived and is signed by the Party against whom the waiver is being asserted. No waiver by any Party of any right, power or privilege hereunder shall constitute a waiver of any other right, power or privilege hereunder, and no waiver by any party of any breach of a provision hereunder shall constitute a waiver of any other breach of that or any other provision of this Agreement.</w:t>
      </w:r>
    </w:p>
    <w:p>
      <w:pPr>
        <w:spacing w:after="0" w:line="185" w:lineRule="exact"/>
        <w:rPr>
          <w:rFonts w:ascii="Times New Roman" w:cs="Times New Roman" w:eastAsia="Times New Roman" w:hAnsi="Times New Roman"/>
          <w:sz w:val="18"/>
          <w:szCs w:val="18"/>
          <w:color w:val="auto"/>
        </w:rPr>
      </w:pPr>
    </w:p>
    <w:p>
      <w:pPr>
        <w:jc w:val="both"/>
        <w:ind w:left="360" w:hanging="317"/>
        <w:spacing w:after="0" w:line="259" w:lineRule="auto"/>
        <w:tabs>
          <w:tab w:leader="none" w:pos="3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Withholding.</w:t>
      </w:r>
      <w:r>
        <w:rPr>
          <w:rFonts w:ascii="Times New Roman" w:cs="Times New Roman" w:eastAsia="Times New Roman" w:hAnsi="Times New Roman"/>
          <w:sz w:val="18"/>
          <w:szCs w:val="18"/>
          <w:color w:val="auto"/>
        </w:rPr>
        <w:t xml:space="preserve"> All compensation and benefits payable to Executive under this Agreement shall be subject to all income and other employment tax withholding and reporting required by federal, state or local law with respect to compensation, benefits and reimbursable expenses paid by a corporation to an employee. Executive shall be responsible for all taxes applicable to amounts payable under this Agreement.</w:t>
      </w:r>
    </w:p>
    <w:p>
      <w:pPr>
        <w:spacing w:after="0" w:line="181" w:lineRule="exact"/>
        <w:rPr>
          <w:rFonts w:ascii="Times New Roman" w:cs="Times New Roman" w:eastAsia="Times New Roman" w:hAnsi="Times New Roman"/>
          <w:sz w:val="18"/>
          <w:szCs w:val="18"/>
          <w:color w:val="auto"/>
        </w:rPr>
      </w:pPr>
    </w:p>
    <w:p>
      <w:pPr>
        <w:jc w:val="both"/>
        <w:ind w:left="360" w:hanging="317"/>
        <w:spacing w:after="0" w:line="217" w:lineRule="exact"/>
        <w:tabs>
          <w:tab w:leader="none" w:pos="3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Assistance in Litigation.</w:t>
      </w:r>
      <w:r>
        <w:rPr>
          <w:rFonts w:ascii="Times New Roman" w:cs="Times New Roman" w:eastAsia="Times New Roman" w:hAnsi="Times New Roman"/>
          <w:sz w:val="18"/>
          <w:szCs w:val="18"/>
          <w:color w:val="auto"/>
        </w:rPr>
        <w:t xml:space="preserve"> Executive shall reasonably cooperate with Company in the defense or prosecution of any claims or actions now in existence or that may be brought in the future against or on behalf of Company that relate to events or occurrences that transpired while Executive was employed by Company. Executive's cooperation in connection with such claims or actions shall include being available to meet with counsel to prepare for discovery or trial and to act as a witness on behalf of Company at mutually convenient times. Executive also shall cooperate fully with Company in connection with any investigation or review by any federal, state or local regulatory authority as any such investigation or review relates, to events or occurrences that transpired while Executive was employed by Company. Notwithstanding anything to the contrary in this Section l 7(H), unless otherwise mutually agreed between Executive and Company in writing and, for each day that Executive performs services under this Section l 6(H) Executive shall be reimbursed for his reasonable out-of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pocket expenses and, after the final payment by Company of any and all severance compensation due to Executive under Section 4(E), Company shall pay Executive a per diem cash amount at Executive's Base Salary rate on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222885</wp:posOffset>
            </wp:positionV>
            <wp:extent cx="713295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20"/>
          </w:cols>
          <w:pgMar w:left="1440" w:top="578" w:right="339" w:bottom="1440" w:gutter="0" w:footer="0" w:header="0"/>
        </w:sectPr>
      </w:pPr>
    </w:p>
    <w:bookmarkStart w:id="199" w:name="page200"/>
    <w:bookmarkEnd w:id="199"/>
    <w:p>
      <w:pPr>
        <w:jc w:val="both"/>
        <w:ind w:left="440" w:hanging="316"/>
        <w:spacing w:after="0" w:line="255" w:lineRule="auto"/>
        <w:tabs>
          <w:tab w:leader="none" w:pos="4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Beneficiaries: References.</w:t>
      </w:r>
      <w:r>
        <w:rPr>
          <w:rFonts w:ascii="Times New Roman" w:cs="Times New Roman" w:eastAsia="Times New Roman" w:hAnsi="Times New Roman"/>
          <w:sz w:val="18"/>
          <w:szCs w:val="18"/>
          <w:color w:val="auto"/>
        </w:rPr>
        <w:t xml:space="preserve"> Executive shall be entitled to select (and change to the extent permitted under any applicable law) a beneficiary or beneficiaries to receive any compensation or benefit payable hereunder following Executive's death, and may change such election, in either case by giving Company written notice thereof. In the event of Executive's death or a judicial determination of Executive's incompetence, reference in this Agreement to Executive shall be deemed, where appropriate, to refer to Executive's beneficiary, estate or other legal representative. Any reference to any gender in this Agreement shall include, where appropriate, the other gender.</w:t>
      </w:r>
    </w:p>
    <w:p>
      <w:pPr>
        <w:spacing w:after="0" w:line="185" w:lineRule="exact"/>
        <w:rPr>
          <w:rFonts w:ascii="Times New Roman" w:cs="Times New Roman" w:eastAsia="Times New Roman" w:hAnsi="Times New Roman"/>
          <w:sz w:val="18"/>
          <w:szCs w:val="18"/>
          <w:color w:val="auto"/>
        </w:rPr>
      </w:pPr>
    </w:p>
    <w:p>
      <w:pPr>
        <w:jc w:val="both"/>
        <w:ind w:left="420" w:hanging="323"/>
        <w:spacing w:after="0" w:line="252" w:lineRule="auto"/>
        <w:tabs>
          <w:tab w:leader="none" w:pos="4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Agreement.</w:t>
      </w:r>
      <w:r>
        <w:rPr>
          <w:rFonts w:ascii="Times New Roman" w:cs="Times New Roman" w:eastAsia="Times New Roman" w:hAnsi="Times New Roman"/>
          <w:sz w:val="18"/>
          <w:szCs w:val="18"/>
          <w:color w:val="auto"/>
        </w:rPr>
        <w:t xml:space="preserve"> Each Party to this Agreement has read and fully understands the terms and provisions hereof, has had an opportunity to review this Agreement with legal counsel, has executed this Agreement based upon such party's own judgment and advice of counsel, and knowingly, voluntarily and without duress, agrees to all of the terms set forth in this Agreement. The Parties have participated jointly in the negotiation and drafting of this Agreement. If an ambiguity or question of intent or interpretation arises, this Agreement will be construed as if drafted jointly by the Parties and no presumption or burden of proof will arise favoring or disfavoring any party because of authorship of any provision of this Agreement. Except as expressly set forth in this Agreement, neither the Parties nor their affiliates, advisors and/or their attorneys have made any representation or warranty, express or implied, at law or in equity with respect of the subject matter contained herein. Without limiting the generality of the previous sentence, Company, its affiliates, advisors and/or attorneys have made no representation or warranty to Executive concerning the state or federal tax consequences to Executive regarding the transactions contemplated by this Agreement.</w:t>
      </w:r>
    </w:p>
    <w:p>
      <w:pPr>
        <w:spacing w:after="0" w:line="191" w:lineRule="exact"/>
        <w:rPr>
          <w:rFonts w:ascii="Times New Roman" w:cs="Times New Roman" w:eastAsia="Times New Roman" w:hAnsi="Times New Roman"/>
          <w:sz w:val="18"/>
          <w:szCs w:val="18"/>
          <w:color w:val="auto"/>
        </w:rPr>
      </w:pPr>
    </w:p>
    <w:p>
      <w:pPr>
        <w:ind w:left="360" w:right="20" w:hanging="317"/>
        <w:spacing w:after="0" w:line="280" w:lineRule="auto"/>
        <w:tabs>
          <w:tab w:leader="none" w:pos="3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w:t>
      </w:r>
      <w:r>
        <w:rPr>
          <w:rFonts w:ascii="Times New Roman" w:cs="Times New Roman" w:eastAsia="Times New Roman" w:hAnsi="Times New Roman"/>
          <w:sz w:val="18"/>
          <w:szCs w:val="18"/>
          <w:color w:val="auto"/>
        </w:rPr>
        <w:t>. Headings to sections and paragraphs of this Agreement are for reference only, and do not form a part of this Agreement, or effect the interpretation of this Agreement.</w:t>
      </w:r>
    </w:p>
    <w:p>
      <w:pPr>
        <w:spacing w:after="0" w:line="161" w:lineRule="exact"/>
        <w:rPr>
          <w:rFonts w:ascii="Times New Roman" w:cs="Times New Roman" w:eastAsia="Times New Roman" w:hAnsi="Times New Roman"/>
          <w:sz w:val="18"/>
          <w:szCs w:val="18"/>
          <w:color w:val="auto"/>
        </w:rPr>
      </w:pPr>
    </w:p>
    <w:p>
      <w:pPr>
        <w:jc w:val="both"/>
        <w:ind w:left="400" w:hanging="330"/>
        <w:spacing w:after="0" w:line="264" w:lineRule="auto"/>
        <w:tabs>
          <w:tab w:leader="none" w:pos="4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including by transmission of facsimile or PDF copies of signature pages, each of which shall for all purposes are deemed to be an original and all of which shall constitute on instrument. All signatures of the patties transmitted by facsimile or PDF shall be deemed to be their original signatures for all purposes.</w:t>
      </w:r>
    </w:p>
    <w:p>
      <w:pPr>
        <w:spacing w:after="0" w:line="17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238760</wp:posOffset>
            </wp:positionV>
            <wp:extent cx="713295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20"/>
          </w:cols>
          <w:pgMar w:left="1440" w:top="578"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EMPLOYMENT AGREEMENT</w:t>
      </w:r>
    </w:p>
    <w:p>
      <w:pPr>
        <w:spacing w:after="0" w:line="20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 xml:space="preserve">IN WITNESS WHEREOF, Company has caused this Agreement to be duly executed and delivered by its duly authorized officer, and Executive has duly executed and delivered this Agreement, as of the date first written on 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this Agreement.</w:t>
      </w:r>
    </w:p>
    <w:p>
      <w:pPr>
        <w:spacing w:after="0" w:line="373" w:lineRule="exact"/>
        <w:rPr>
          <w:sz w:val="20"/>
          <w:szCs w:val="20"/>
          <w:color w:val="auto"/>
        </w:rPr>
      </w:pPr>
    </w:p>
    <w:p>
      <w:pPr>
        <w:spacing w:after="0"/>
        <w:tabs>
          <w:tab w:leader="none" w:pos="7220" w:val="left"/>
        </w:tabs>
        <w:rPr>
          <w:sz w:val="20"/>
          <w:szCs w:val="20"/>
          <w:color w:val="auto"/>
        </w:rPr>
      </w:pPr>
      <w:r>
        <w:rPr>
          <w:rFonts w:ascii="Times New Roman" w:cs="Times New Roman" w:eastAsia="Times New Roman" w:hAnsi="Times New Roman"/>
          <w:sz w:val="18"/>
          <w:szCs w:val="18"/>
          <w:b w:val="1"/>
          <w:bCs w:val="1"/>
          <w:color w:val="auto"/>
        </w:rPr>
        <w:t xml:space="preserve">KEMPHARM, </w:t>
      </w:r>
      <w:r>
        <w:rPr>
          <w:rFonts w:ascii="Times New Roman" w:cs="Times New Roman" w:eastAsia="Times New Roman" w:hAnsi="Times New Roman"/>
          <w:sz w:val="18"/>
          <w:szCs w:val="18"/>
          <w:color w:val="auto"/>
        </w:rPr>
        <w:t>INC.</w:t>
      </w:r>
      <w:r>
        <w:rPr>
          <w:rFonts w:ascii="Times New Roman" w:cs="Times New Roman" w:eastAsia="Times New Roman" w:hAnsi="Times New Roman"/>
          <w:sz w:val="18"/>
          <w:szCs w:val="18"/>
          <w:b w:val="1"/>
          <w:bCs w:val="1"/>
          <w:color w:val="auto"/>
        </w:rPr>
        <w:t xml:space="preserve"> ("COMPANY"):</w:t>
      </w:r>
      <w:r>
        <w:rPr>
          <w:sz w:val="20"/>
          <w:szCs w:val="20"/>
          <w:color w:val="auto"/>
        </w:rPr>
        <w:tab/>
      </w:r>
      <w:r>
        <w:rPr>
          <w:rFonts w:ascii="Times New Roman" w:cs="Times New Roman" w:eastAsia="Times New Roman" w:hAnsi="Times New Roman"/>
          <w:sz w:val="17"/>
          <w:szCs w:val="17"/>
          <w:b w:val="1"/>
          <w:bCs w:val="1"/>
          <w:color w:val="auto"/>
        </w:rPr>
        <w:t>JOSHUA SCHAFER: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1196975</wp:posOffset>
            </wp:positionV>
            <wp:extent cx="713295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-5715</wp:posOffset>
            </wp:positionV>
            <wp:extent cx="14871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3">
                      <a:extLst>
                        <a:ext uri="{28A0092B-C50C-407E-A947-70E740481C1C}"/>
                      </a:extLst>
                    </a:blip>
                    <a:srcRect/>
                    <a:stretch>
                      <a:fillRect/>
                    </a:stretch>
                  </pic:blipFill>
                  <pic:spPr bwMode="auto">
                    <a:xfrm>
                      <a:off x="0" y="0"/>
                      <a:ext cx="1487170" cy="8255"/>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-5715</wp:posOffset>
            </wp:positionV>
            <wp:extent cx="14668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4">
                      <a:extLst>
                        <a:ext uri="{28A0092B-C50C-407E-A947-70E740481C1C}"/>
                      </a:extLst>
                    </a:blip>
                    <a:srcRect/>
                    <a:stretch>
                      <a:fillRect/>
                    </a:stretch>
                  </pic:blipFill>
                  <pic:spPr bwMode="auto">
                    <a:xfrm>
                      <a:off x="0" y="0"/>
                      <a:ext cx="14668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130175</wp:posOffset>
            </wp:positionV>
            <wp:extent cx="3981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5">
                      <a:extLst>
                        <a:ext uri="{28A0092B-C50C-407E-A947-70E740481C1C}"/>
                      </a:extLst>
                    </a:blip>
                    <a:srcRect/>
                    <a:stretch>
                      <a:fillRect/>
                    </a:stretch>
                  </pic:blipFill>
                  <pic:spPr bwMode="auto">
                    <a:xfrm>
                      <a:off x="0" y="0"/>
                      <a:ext cx="398145" cy="825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80" w:type="dxa"/>
            <w:vAlign w:val="bottom"/>
            <w:gridSpan w:val="4"/>
          </w:tcPr>
          <w:p>
            <w:pPr>
              <w:jc w:val="center"/>
              <w:ind w:right="3560"/>
              <w:spacing w:after="0"/>
              <w:rPr>
                <w:sz w:val="20"/>
                <w:szCs w:val="20"/>
                <w:color w:val="auto"/>
              </w:rPr>
            </w:pPr>
            <w:r>
              <w:rPr>
                <w:rFonts w:ascii="Times New Roman" w:cs="Times New Roman" w:eastAsia="Times New Roman" w:hAnsi="Times New Roman"/>
                <w:sz w:val="18"/>
                <w:szCs w:val="18"/>
                <w:color w:val="auto"/>
                <w:w w:val="98"/>
              </w:rPr>
              <w:t>EXHIBIT A</w:t>
            </w: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0"/>
        </w:trPr>
        <w:tc>
          <w:tcPr>
            <w:tcW w:w="2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780" w:type="dxa"/>
            <w:vAlign w:val="bottom"/>
            <w:gridSpan w:val="5"/>
          </w:tcPr>
          <w:p>
            <w:pPr>
              <w:jc w:val="center"/>
              <w:ind w:right="1660"/>
              <w:spacing w:after="0"/>
              <w:rPr>
                <w:sz w:val="20"/>
                <w:szCs w:val="20"/>
                <w:color w:val="auto"/>
              </w:rPr>
            </w:pPr>
            <w:r>
              <w:rPr>
                <w:rFonts w:ascii="Times New Roman" w:cs="Times New Roman" w:eastAsia="Times New Roman" w:hAnsi="Times New Roman"/>
                <w:sz w:val="18"/>
                <w:szCs w:val="18"/>
                <w:color w:val="auto"/>
                <w:w w:val="97"/>
              </w:rPr>
              <w:t>RELEASE OF CLATMS</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0"/>
        </w:trPr>
        <w:tc>
          <w:tcPr>
            <w:tcW w:w="2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780" w:type="dxa"/>
            <w:vAlign w:val="bottom"/>
            <w:gridSpan w:val="5"/>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9"/>
              </w:rPr>
              <w:t>Separation of Employment Agreement and General Release</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89"/>
        </w:trPr>
        <w:tc>
          <w:tcPr>
            <w:tcW w:w="984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w w:val="99"/>
              </w:rPr>
              <w:t>THIS SEPARATION OF EMPLOYMENT AGREEMENT AND GENERAL RELEASE (the "Agreement") is made as of this_ day of</w:t>
            </w: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,by</w:t>
            </w:r>
          </w:p>
        </w:tc>
      </w:tr>
      <w:tr>
        <w:trPr>
          <w:trHeight w:val="195"/>
        </w:trPr>
        <w:tc>
          <w:tcPr>
            <w:tcW w:w="692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auto"/>
              </w:rPr>
              <w:t>and between Joshua Schafer ("Executive") and KemPharm, Inc. (the "Company").</w:t>
            </w:r>
          </w:p>
        </w:tc>
        <w:tc>
          <w:tcPr>
            <w:tcW w:w="1000" w:type="dxa"/>
            <w:vAlign w:val="bottom"/>
            <w:tcBorders>
              <w:top w:val="single" w:sz="8" w:color="auto"/>
            </w:tcBorders>
          </w:tcPr>
          <w:p>
            <w:pPr>
              <w:spacing w:after="0"/>
              <w:rPr>
                <w:sz w:val="16"/>
                <w:szCs w:val="16"/>
                <w:color w:val="auto"/>
              </w:rPr>
            </w:pPr>
          </w:p>
        </w:tc>
        <w:tc>
          <w:tcPr>
            <w:tcW w:w="19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20"/>
        </w:trPr>
        <w:tc>
          <w:tcPr>
            <w:tcW w:w="20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51"/>
        </w:trPr>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WHEREAS, Executive is employed by Company as Chief Commercial Officer;</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19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 xml:space="preserve">WHEREAS, Executive and Company entered into an Executive Employment Agreement, dated January _. 2023,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xml:space="preserve"> which provides for certain benefits in the event that Executive's employment is terminated on account of a reason set forth in the Employment Agreement;</w:t>
      </w:r>
    </w:p>
    <w:p>
      <w:pPr>
        <w:spacing w:after="0" w:line="162" w:lineRule="exact"/>
        <w:rPr>
          <w:sz w:val="20"/>
          <w:szCs w:val="20"/>
          <w:color w:val="auto"/>
        </w:rPr>
      </w:pPr>
    </w:p>
    <w:p>
      <w:pPr>
        <w:spacing w:after="0"/>
        <w:tabs>
          <w:tab w:leader="none" w:pos="6540" w:val="left"/>
        </w:tabs>
        <w:rPr>
          <w:sz w:val="20"/>
          <w:szCs w:val="20"/>
          <w:color w:val="auto"/>
        </w:rPr>
      </w:pPr>
      <w:r>
        <w:rPr>
          <w:rFonts w:ascii="Times New Roman" w:cs="Times New Roman" w:eastAsia="Times New Roman" w:hAnsi="Times New Roman"/>
          <w:sz w:val="18"/>
          <w:szCs w:val="18"/>
          <w:color w:val="auto"/>
        </w:rPr>
        <w:t>WHEREAS, Executive's employment with Company will terminate effective</w:t>
      </w:r>
      <w:r>
        <w:rPr>
          <w:sz w:val="20"/>
          <w:szCs w:val="20"/>
          <w:color w:val="auto"/>
        </w:rPr>
        <w:tab/>
      </w: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xml:space="p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-8255</wp:posOffset>
            </wp:positionV>
            <wp:extent cx="5969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6">
                      <a:extLst>
                        <a:ext uri="{28A0092B-C50C-407E-A947-70E740481C1C}"/>
                      </a:extLst>
                    </a:blip>
                    <a:srcRect/>
                    <a:stretch>
                      <a:fillRect/>
                    </a:stretch>
                  </pic:blipFill>
                  <pic:spPr bwMode="auto">
                    <a:xfrm>
                      <a:off x="0" y="0"/>
                      <a:ext cx="596900" cy="8255"/>
                    </a:xfrm>
                    <a:prstGeom prst="rect">
                      <a:avLst/>
                    </a:prstGeom>
                    <a:noFill/>
                  </pic:spPr>
                </pic:pic>
              </a:graphicData>
            </a:graphic>
          </wp:anchor>
        </w:drawing>
      </w:r>
    </w:p>
    <w:p>
      <w:pPr>
        <w:spacing w:after="0" w:line="20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WHEREAS, in connection with the termination of Executive's employment, the parties have agreed to a separation package and the resolution of any and all disputes between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IT IS HEREBY AGREED by and between Executive and Company as follows:</w:t>
      </w:r>
    </w:p>
    <w:p>
      <w:pPr>
        <w:spacing w:after="0" w:line="27" w:lineRule="exact"/>
        <w:rPr>
          <w:sz w:val="20"/>
          <w:szCs w:val="20"/>
          <w:color w:val="auto"/>
        </w:rPr>
      </w:pPr>
    </w:p>
    <w:p>
      <w:pPr>
        <w:jc w:val="both"/>
        <w:ind w:left="880" w:hanging="322"/>
        <w:spacing w:after="0" w:line="249" w:lineRule="auto"/>
        <w:tabs>
          <w:tab w:leader="none" w:pos="8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for and in consideration of the commitments of Company as set forth in paragraph 6 of this Agreement, and intending to be legally bound, does hereby REMISE, RELEASE AND FOREVER DISCHARGE Company, its stockholders, its present and past affiliates, subsidiaries and parents, their respective officers, directors, investors, employees, and agents, and their respective predecessors, successors and assigns, heirs, executors, and administrators (collectively,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xml:space="preserve"> subject to the exceptions of Section 2 of the Agreement, from all causes of action, suits, debts. claims and demands whatsoever in law or in equity, which Executive ever had, now has, or hereafter may have, whether known or unknown, or which Executive's heirs, executors, or administrators may have, by reason of any matter, cause or thing whatsoever, from the beginning of time to the date of this Agreement, to the extent arising from or relating in any way to Executive's employment relationship with Company, the terms and conditions of that employment relationship, and/or the termination of that employment relationship, including, but not limited to, (i) any claims for monetary damages arising under the Age Discrimination in Employment Act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xml:space="preserve"> the Older Workers Benefit Protection Act </w:t>
      </w:r>
      <w:r>
        <w:rPr>
          <w:rFonts w:ascii="Times New Roman" w:cs="Times New Roman" w:eastAsia="Times New Roman" w:hAnsi="Times New Roman"/>
          <w:sz w:val="18"/>
          <w:szCs w:val="18"/>
          <w:u w:val="single" w:color="auto"/>
          <w:color w:val="auto"/>
        </w:rPr>
        <w:t>("OWBPA</w:t>
      </w:r>
      <w:r>
        <w:rPr>
          <w:rFonts w:ascii="Times New Roman" w:cs="Times New Roman" w:eastAsia="Times New Roman" w:hAnsi="Times New Roman"/>
          <w:sz w:val="18"/>
          <w:szCs w:val="18"/>
          <w:color w:val="auto"/>
        </w:rPr>
        <w:t>''), Title VII of The Civil Rights Act of 1964, the Americans with Disabilities Act; (ii) any and all claims arising under the Family and Medical Leave Act of 1993, the Employee Retirement Income Security Act of 1974, as amended; (iii) any and all claims arising under any applicable state and local fair employment practice laws and wage and hour laws; (iv) any other claims under any federal, state or local common law, statutory, or regulatory provision, now or hereafter recognized; and (v) any claims for attorneys' fees and costs.</w:t>
      </w:r>
    </w:p>
    <w:p>
      <w:pPr>
        <w:spacing w:after="0" w:line="199" w:lineRule="exact"/>
        <w:rPr>
          <w:rFonts w:ascii="Times New Roman" w:cs="Times New Roman" w:eastAsia="Times New Roman" w:hAnsi="Times New Roman"/>
          <w:sz w:val="18"/>
          <w:szCs w:val="18"/>
          <w:color w:val="auto"/>
        </w:rPr>
      </w:pPr>
    </w:p>
    <w:p>
      <w:pPr>
        <w:jc w:val="both"/>
        <w:ind w:left="880" w:hanging="322"/>
        <w:spacing w:after="0" w:line="255" w:lineRule="auto"/>
        <w:tabs>
          <w:tab w:leader="none" w:pos="8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shall in no event apply to (i) enforcement by Executive of Executive's rights under this Agreement, (ii) Executive's rights as a stockholder in Company or any of its affiliates, (iii) Executive's rights to indemnifications under any separate contract or insurance policy, (iv) Executive's right to seek unemployment insurance benefits, (v) Executive's tight to seek workers' compensation benefits, (vi) any rights Executive has to indemnification for service as an officer of Company, or (vii) any claims that, as a matter of applicable law, are not waivable. This Agreement is effective without regard to the legal nature of the claims raised and without regard to whether any such claims are based upon tort, equity, implied or express contract or discrimination of any sort.</w:t>
      </w:r>
    </w:p>
    <w:p>
      <w:pPr>
        <w:spacing w:after="0" w:line="185" w:lineRule="exact"/>
        <w:rPr>
          <w:rFonts w:ascii="Times New Roman" w:cs="Times New Roman" w:eastAsia="Times New Roman" w:hAnsi="Times New Roman"/>
          <w:sz w:val="18"/>
          <w:szCs w:val="18"/>
          <w:color w:val="auto"/>
        </w:rPr>
      </w:pPr>
    </w:p>
    <w:p>
      <w:pPr>
        <w:jc w:val="both"/>
        <w:ind w:left="8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and Company agree that nothing in this Agreement prevents or prohibits Executive from (i) making any disclosure of relevant and necessary information or documents in connection with any charge, action, investigation, or proceeding relating to this Agreement, or as required by law or legal process; (ii) participating, cooperating, or testifying in any charge, action, investigation, or proceeding with, or providing information to, any self-regulatory organization, governmental agency or legislative body, and/or pursuant to the Sarbanes-Oxley Act, (iii) filing, testifying, participating in or otherwise assisting in a proceeding relating to an alleged violation of any federal, state or municipal law relating to fraud, or any rule or regulation of the Securities and Exchange Commission or any self-regulatory organization or (iv) challenging the knowing and voluntary nature of the release of ADEA claims pursuant to the OWBPA. To the extent permitted by law, upon receipt of any subpoena, court order or other legal process compelling the disclosure of any such information or documents, Executive agrees to give prompt written notice to Company so as to permit Company to protect its interests in confidentiality to the fullest extent possible. To the fullest extent provided by law, Executive acknowledges and agrees, however, Executive is waiving any right to recover monetary damages in connection with any such charge, action, investigation or proceeding. To the extent Executive receives any monetary relief in connection with any such charge, action, investigation or proceeding, Company will be entitled to an offset for the benefits made pursuant to this Agreement, to the fullest extent provided by law.</w:t>
      </w:r>
    </w:p>
    <w:p>
      <w:pPr>
        <w:spacing w:after="0" w:line="196" w:lineRule="exact"/>
        <w:rPr>
          <w:sz w:val="20"/>
          <w:szCs w:val="20"/>
          <w:color w:val="auto"/>
        </w:rPr>
      </w:pPr>
    </w:p>
    <w:p>
      <w:pPr>
        <w:jc w:val="both"/>
        <w:ind w:left="880"/>
        <w:spacing w:after="0" w:line="217" w:lineRule="exact"/>
        <w:rPr>
          <w:sz w:val="20"/>
          <w:szCs w:val="20"/>
          <w:color w:val="auto"/>
        </w:rPr>
      </w:pPr>
      <w:r>
        <w:rPr>
          <w:rFonts w:ascii="Times New Roman" w:cs="Times New Roman" w:eastAsia="Times New Roman" w:hAnsi="Times New Roman"/>
          <w:sz w:val="18"/>
          <w:szCs w:val="18"/>
          <w:color w:val="auto"/>
        </w:rPr>
        <w:t xml:space="preserve">Executive and Company further agree that the Equal Employment Opportunity Commission </w:t>
      </w:r>
      <w:r>
        <w:rPr>
          <w:rFonts w:ascii="Times New Roman" w:cs="Times New Roman" w:eastAsia="Times New Roman" w:hAnsi="Times New Roman"/>
          <w:sz w:val="18"/>
          <w:szCs w:val="18"/>
          <w:u w:val="single" w:color="auto"/>
          <w:color w:val="auto"/>
        </w:rPr>
        <w:t>("EEOC")</w:t>
      </w:r>
      <w:r>
        <w:rPr>
          <w:rFonts w:ascii="Times New Roman" w:cs="Times New Roman" w:eastAsia="Times New Roman" w:hAnsi="Times New Roman"/>
          <w:sz w:val="18"/>
          <w:szCs w:val="18"/>
          <w:color w:val="auto"/>
        </w:rPr>
        <w:t xml:space="preserve"> and comparable state or local agencies have the authority to carry out their statutory duties by investigating charges, issuing determinations, and filing lawsuits in Federal or state court in their own name, or taking any action authorized by the EEOC or comparable state or local agencies. Executive retains the right to participate in any such action and to seek any appropriate non-monetary relief. Executive retains the right to communicate with the EEOC and comparable state or local agencies and such communication can be initiated by Executive or in response to the government and such right is not limited by any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disparagement claims. Executive and Company agree that communication with employees plays a critical role in the EEOC's enforcement process because employees inform the agency of employer practices that might violate the law. For this reason, the right to communicate with the EEOC is a right that is protected by federal law and this Agreement does not prohibit or interfere with those tights. Notwithstanding the foregoing, Executive agrees to waive Executive's right to recover monetary damages in any charge, complaint or lawsuit filed by Executive or by anyone else on Executive's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224155</wp:posOffset>
            </wp:positionV>
            <wp:extent cx="713295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202" w:name="page203"/>
    <w:bookmarkEnd w:id="202"/>
    <w:p>
      <w:pPr>
        <w:ind w:left="322" w:hanging="322"/>
        <w:spacing w:after="0" w:line="280" w:lineRule="auto"/>
        <w:tabs>
          <w:tab w:leader="none" w:pos="32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Executive's agreement to comply with the covenants described in Section 6-10 of the Employment Agreement, Company agrees as set forth in paragraph 6 herein.</w:t>
      </w:r>
    </w:p>
    <w:p>
      <w:pPr>
        <w:spacing w:after="0" w:line="161" w:lineRule="exact"/>
        <w:rPr>
          <w:rFonts w:ascii="Times New Roman" w:cs="Times New Roman" w:eastAsia="Times New Roman" w:hAnsi="Times New Roman"/>
          <w:sz w:val="18"/>
          <w:szCs w:val="18"/>
          <w:color w:val="auto"/>
        </w:rPr>
      </w:pPr>
    </w:p>
    <w:p>
      <w:pPr>
        <w:jc w:val="both"/>
        <w:ind w:left="322" w:hanging="322"/>
        <w:spacing w:after="0" w:line="264" w:lineRule="auto"/>
        <w:tabs>
          <w:tab w:leader="none" w:pos="32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further agrees and recognizes that Executive has permanently and irrevocably severed Executive's employment relationship with Company, that Executive shall not seek employment with Company or any affiliated entity at any time in the future, and that neither Company nor any affiliate has any obligation to employ Executive in the future.</w:t>
      </w:r>
    </w:p>
    <w:p>
      <w:pPr>
        <w:spacing w:after="0" w:line="176" w:lineRule="exact"/>
        <w:rPr>
          <w:rFonts w:ascii="Times New Roman" w:cs="Times New Roman" w:eastAsia="Times New Roman" w:hAnsi="Times New Roman"/>
          <w:sz w:val="18"/>
          <w:szCs w:val="18"/>
          <w:color w:val="auto"/>
        </w:rPr>
      </w:pPr>
    </w:p>
    <w:p>
      <w:pPr>
        <w:jc w:val="both"/>
        <w:ind w:left="322" w:hanging="322"/>
        <w:spacing w:after="0" w:line="264" w:lineRule="auto"/>
        <w:tabs>
          <w:tab w:leader="none" w:pos="32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Executive will not disparage or subvert Company or the Releasees, or make any statement reflecting negatively on Company or the Releasees, including, but not limited to, any matters relating to the operation or management of Company, Executive's employment and the termination of Executive's employment, irrespective of the truthfulness or falsity of such statement.</w:t>
      </w:r>
    </w:p>
    <w:p>
      <w:pPr>
        <w:spacing w:after="0" w:line="176" w:lineRule="exact"/>
        <w:rPr>
          <w:rFonts w:ascii="Times New Roman" w:cs="Times New Roman" w:eastAsia="Times New Roman" w:hAnsi="Times New Roman"/>
          <w:sz w:val="18"/>
          <w:szCs w:val="18"/>
          <w:color w:val="auto"/>
        </w:rPr>
      </w:pPr>
    </w:p>
    <w:p>
      <w:pPr>
        <w:jc w:val="both"/>
        <w:ind w:left="322" w:hanging="322"/>
        <w:spacing w:after="0" w:line="259" w:lineRule="auto"/>
        <w:tabs>
          <w:tab w:leader="none" w:pos="32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Executive's agreement as set forth herein, Company agrees to pay and provide Executive with the severance benefits described in Section 4(E)(l) of Executive's Employment Agreement. Executive agrees that Executive is not entitled to any payments, benefits, severance payments or other compensation beyond that expressly provided in Section 4(E)(l) of Executive's Employment Agreement and the Accrued Benefits (as defined in Section 4(B) of the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212090</wp:posOffset>
            </wp:positionV>
            <wp:extent cx="713295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682"/>
          </w:cols>
          <w:pgMar w:left="878" w:top="793" w:right="339" w:bottom="1440" w:gutter="0" w:footer="0" w:header="0"/>
        </w:sectPr>
      </w:pPr>
    </w:p>
    <w:bookmarkStart w:id="203" w:name="page204"/>
    <w:bookmarkEnd w:id="203"/>
    <w:p>
      <w:pPr>
        <w:jc w:val="both"/>
        <w:ind w:left="416" w:hanging="322"/>
        <w:spacing w:after="0" w:line="259" w:lineRule="auto"/>
        <w:tabs>
          <w:tab w:leader="none" w:pos="416"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understands and agrees that the payments, benefits and agreements provided in this Agreement are being provided to Executive in consideration for Executive's acceptance and execution of: and in reliance upon Executive's representations in, this Agreement. Executive acknowledges that if Executive had not executed this Agreement containing a release of all claims against Company and the Releasees, Executive would only have been entitled to the payments provided in Company's standard severance pay plan for employees.</w:t>
      </w:r>
    </w:p>
    <w:p>
      <w:pPr>
        <w:spacing w:after="0" w:line="181" w:lineRule="exact"/>
        <w:rPr>
          <w:rFonts w:ascii="Times New Roman" w:cs="Times New Roman" w:eastAsia="Times New Roman" w:hAnsi="Times New Roman"/>
          <w:sz w:val="18"/>
          <w:szCs w:val="18"/>
          <w:color w:val="auto"/>
        </w:rPr>
      </w:pPr>
    </w:p>
    <w:p>
      <w:pPr>
        <w:jc w:val="both"/>
        <w:ind w:left="416" w:hanging="322"/>
        <w:spacing w:after="0" w:line="253" w:lineRule="auto"/>
        <w:tabs>
          <w:tab w:leader="none" w:pos="416"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acknowledges and agrees that Company previously has satisfied any and all obligations owed to Executive under any employment agreement or offer letter Executive has with Company or a Releasee and, further, that this Agreement supersedes any and all prior agreements or understandings, whether written or oral, between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 xml:space="preserve"> parties, excluding only Executive's and Company's post-termination obligations under Executive's Employment Agreement, Executive's rights under any outstanding equity grants in accordance with the terms of the applicable grant agreements, any obligations relating to the securities of Company or any of its affiliates and Company's obligations under Section 4(E)(l) of Executive's Employment Agreement and to pay or provide the Accrued Benefits (as defined in Section 4(B) of the Employment Agreement), all of which shall remain in full force and effect to the extent not inconsistent with this Agreement, and further, that, except as set forth expressly herein, no promises or representations have been made to Executive in connection with the termination of Executive's Employment Agreement or the terms of this Agreement.</w:t>
      </w:r>
    </w:p>
    <w:p>
      <w:pPr>
        <w:spacing w:after="0" w:line="186" w:lineRule="exact"/>
        <w:rPr>
          <w:rFonts w:ascii="Times New Roman" w:cs="Times New Roman" w:eastAsia="Times New Roman" w:hAnsi="Times New Roman"/>
          <w:sz w:val="18"/>
          <w:szCs w:val="18"/>
          <w:color w:val="auto"/>
        </w:rPr>
      </w:pPr>
    </w:p>
    <w:p>
      <w:pPr>
        <w:jc w:val="both"/>
        <w:ind w:left="416" w:hanging="322"/>
        <w:spacing w:after="0" w:line="256" w:lineRule="auto"/>
        <w:tabs>
          <w:tab w:leader="none" w:pos="416"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be necessary to obtain approval or authorization to fulfill Executive's or its obligations hereunder or as required by applicable law and subject to the exceptions of Section 2 of the Agreement. (a) Executive agrees not to disclose the terms of this Agreement to anyone, except Executive's spouse, attorney and, as necessary, tax/financial advisor, and (b) Company agrees that the terms of this Agreement will not be disclosed. Tt is expressly understood that any violation of the confidentiality obligation imposed hereunder constitutes a material breach of this Agreement.</w:t>
      </w:r>
    </w:p>
    <w:p>
      <w:pPr>
        <w:spacing w:after="0" w:line="185" w:lineRule="exact"/>
        <w:rPr>
          <w:rFonts w:ascii="Times New Roman" w:cs="Times New Roman" w:eastAsia="Times New Roman" w:hAnsi="Times New Roman"/>
          <w:sz w:val="18"/>
          <w:szCs w:val="18"/>
          <w:color w:val="auto"/>
        </w:rPr>
      </w:pPr>
    </w:p>
    <w:p>
      <w:pPr>
        <w:jc w:val="both"/>
        <w:ind w:left="316" w:hanging="316"/>
        <w:spacing w:after="0" w:line="252" w:lineRule="auto"/>
        <w:tabs>
          <w:tab w:leader="none" w:pos="316"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represents that Executive does not presently have in Executive's possession any records and business documents, whether on computer or hard copy, and other materials (including but not limited to computer disks and tapes, computer programs and software, office keys, correspondence, files, customer lists, technical information, customer information, pricing information, business strategies and plans, sales records and all copies thereof) (collectively, the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xml:space="preserve"> provided by Company and/or its predecessors, parents, subsidiaries or affiliates or obtained as a result of Executive's employment with Company and/or its predecessors, parents, subsidiaries or affiliates, or created by Executive while employed by or rendering services to Company and/or its predecessors, parents, subsidiaries or affiliates. Executive acknowledges that all such Corporate Records are the property of Company. In addition, Executive shall promptly return in good condition any and all Company owned equipment or property, including, but not limited to, automobiles, personal data assistants, facsimile machines, copy machines, pagers, credit cards, cellular telephone equipment, business cards, laptops and computers. As of the Termination Date, Company will make arrangements to remove, terminate or transfer any and all business communication lines including network access, cellular phone, fax line and other business numbers.</w:t>
      </w:r>
    </w:p>
    <w:p>
      <w:pPr>
        <w:spacing w:after="0" w:line="189" w:lineRule="exact"/>
        <w:rPr>
          <w:rFonts w:ascii="Times New Roman" w:cs="Times New Roman" w:eastAsia="Times New Roman" w:hAnsi="Times New Roman"/>
          <w:sz w:val="18"/>
          <w:szCs w:val="18"/>
          <w:color w:val="auto"/>
        </w:rPr>
      </w:pPr>
    </w:p>
    <w:p>
      <w:pPr>
        <w:jc w:val="both"/>
        <w:ind w:left="316" w:hanging="316"/>
        <w:spacing w:after="0" w:line="256" w:lineRule="auto"/>
        <w:tabs>
          <w:tab w:leader="none" w:pos="31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exceptions of Section 2 of the Agreement, Executive expressly waives all rights afforded by any statute which expressly limits the effect of a release with respect to unknown claims. Executive acknowledges the significance of this release of unknown claims and the waiver of statutory protection against a release of unknown claims which provides that a general release does not extend to claims which the creditor does not know or suspect to exist in Executive's favor at the time of executing the release, which if known by it must have materially affected its settlement with the debtor.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215265</wp:posOffset>
            </wp:positionV>
            <wp:extent cx="713295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776"/>
          </w:cols>
          <w:pgMar w:left="784" w:top="793" w:right="339" w:bottom="1440" w:gutter="0" w:footer="0" w:header="0"/>
        </w:sectPr>
      </w:pPr>
    </w:p>
    <w:bookmarkStart w:id="204" w:name="page205"/>
    <w:bookmarkEnd w:id="204"/>
    <w:p>
      <w:pPr>
        <w:jc w:val="both"/>
        <w:ind w:left="560" w:hanging="316"/>
        <w:spacing w:after="0" w:line="264" w:lineRule="auto"/>
        <w:tabs>
          <w:tab w:leader="none" w:pos="5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and acknowledge that the agreements by Company described herein, and the settlement and termination of any asserted or unasserted claims against the Releasees, are not and shall not be construed to be an admission of any violation of any federal, state or local statute or regulation, or of any duty owed by any of the Releasees to Executive.</w:t>
      </w:r>
    </w:p>
    <w:p>
      <w:pPr>
        <w:spacing w:after="0" w:line="176" w:lineRule="exact"/>
        <w:rPr>
          <w:rFonts w:ascii="Times New Roman" w:cs="Times New Roman" w:eastAsia="Times New Roman" w:hAnsi="Times New Roman"/>
          <w:sz w:val="18"/>
          <w:szCs w:val="18"/>
          <w:color w:val="auto"/>
        </w:rPr>
      </w:pPr>
    </w:p>
    <w:p>
      <w:pPr>
        <w:jc w:val="both"/>
        <w:ind w:left="560" w:hanging="316"/>
        <w:spacing w:after="0" w:line="259" w:lineRule="auto"/>
        <w:tabs>
          <w:tab w:leader="none" w:pos="5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and recognizes that should Executive breach any of the obligations or covenants set forth in this Agreement, Company will have no further obligation to provide Executive with the consideration set forth herein, and will have the right to seek repayment of all consideration paid up to the time of any such breach. Further, Executive acknowledges in the event of a breach of this Agreement, Releasees may seek any and all appropriate relief for any such breach, including equitable relief and/or money damages.</w:t>
      </w:r>
    </w:p>
    <w:p>
      <w:pPr>
        <w:spacing w:after="0" w:line="181" w:lineRule="exact"/>
        <w:rPr>
          <w:rFonts w:ascii="Times New Roman" w:cs="Times New Roman" w:eastAsia="Times New Roman" w:hAnsi="Times New Roman"/>
          <w:sz w:val="18"/>
          <w:szCs w:val="18"/>
          <w:color w:val="auto"/>
        </w:rPr>
      </w:pPr>
    </w:p>
    <w:p>
      <w:pPr>
        <w:ind w:left="560" w:hanging="316"/>
        <w:spacing w:after="0" w:line="280" w:lineRule="auto"/>
        <w:tabs>
          <w:tab w:leader="none" w:pos="5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obligations of the parties hereunder shall be construed, interpreted and enforced in accordance with the laws of the State of Florida.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15.Executive certifies and acknowledges as follows:</w:t>
      </w:r>
    </w:p>
    <w:p>
      <w:pPr>
        <w:spacing w:after="0" w:line="223" w:lineRule="exact"/>
        <w:rPr>
          <w:sz w:val="20"/>
          <w:szCs w:val="20"/>
          <w:color w:val="auto"/>
        </w:rPr>
      </w:pPr>
    </w:p>
    <w:p>
      <w:pPr>
        <w:jc w:val="both"/>
        <w:ind w:left="1320" w:hanging="323"/>
        <w:spacing w:after="0" w:line="264" w:lineRule="auto"/>
        <w:tabs>
          <w:tab w:leader="none" w:pos="13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Executive has read the terms of this Agreement, and that Executive understands its terms and effects, including the fact that Executive has agreed to RELEASE AND FOREVER DISCHARGE Company and each of the Releasees from any legal action arising out of Executive's employment relationship with Company and the termination of that employment relationship;</w:t>
      </w:r>
    </w:p>
    <w:p>
      <w:pPr>
        <w:spacing w:after="0" w:line="176" w:lineRule="exact"/>
        <w:rPr>
          <w:rFonts w:ascii="Times New Roman" w:cs="Times New Roman" w:eastAsia="Times New Roman" w:hAnsi="Times New Roman"/>
          <w:sz w:val="18"/>
          <w:szCs w:val="18"/>
          <w:color w:val="auto"/>
        </w:rPr>
      </w:pPr>
    </w:p>
    <w:p>
      <w:pPr>
        <w:jc w:val="both"/>
        <w:ind w:left="1300" w:hanging="317"/>
        <w:spacing w:after="0" w:line="264" w:lineRule="auto"/>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Executive has signed this Agreement voluntarily and knowingly in exchange for the consideration described herein, which Executive acknowledges is adequate and satisfactory to Executive and which Executive acknowledges is in addition to any other benefits to which Executive is otherwise entitled;</w:t>
      </w:r>
    </w:p>
    <w:p>
      <w:pPr>
        <w:spacing w:after="0" w:line="176" w:lineRule="exact"/>
        <w:rPr>
          <w:rFonts w:ascii="Times New Roman" w:cs="Times New Roman" w:eastAsia="Times New Roman" w:hAnsi="Times New Roman"/>
          <w:sz w:val="18"/>
          <w:szCs w:val="18"/>
          <w:color w:val="auto"/>
        </w:rPr>
      </w:pPr>
    </w:p>
    <w:p>
      <w:pPr>
        <w:ind w:left="1320" w:hanging="323"/>
        <w:spacing w:after="0"/>
        <w:tabs>
          <w:tab w:leader="none" w:pos="13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Executive has been and is hereby advised in writing to consult with an attorney prior to signing this Agreement;</w:t>
      </w:r>
    </w:p>
    <w:p>
      <w:pPr>
        <w:spacing w:after="0" w:line="222" w:lineRule="exact"/>
        <w:rPr>
          <w:rFonts w:ascii="Times New Roman" w:cs="Times New Roman" w:eastAsia="Times New Roman" w:hAnsi="Times New Roman"/>
          <w:sz w:val="18"/>
          <w:szCs w:val="18"/>
          <w:color w:val="auto"/>
        </w:rPr>
      </w:pPr>
    </w:p>
    <w:p>
      <w:pPr>
        <w:ind w:left="1300" w:hanging="317"/>
        <w:spacing w:after="0"/>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Executive does not waive rights or claims that may arise after the date this Agreement is executed;</w:t>
      </w:r>
    </w:p>
    <w:p>
      <w:pPr>
        <w:spacing w:after="0" w:line="182" w:lineRule="exact"/>
        <w:rPr>
          <w:rFonts w:ascii="Times New Roman" w:cs="Times New Roman" w:eastAsia="Times New Roman" w:hAnsi="Times New Roman"/>
          <w:sz w:val="18"/>
          <w:szCs w:val="18"/>
          <w:color w:val="auto"/>
        </w:rPr>
      </w:pPr>
    </w:p>
    <w:p>
      <w:pPr>
        <w:jc w:val="both"/>
        <w:ind w:left="1320" w:hanging="323"/>
        <w:spacing w:after="0" w:line="245" w:lineRule="exact"/>
        <w:tabs>
          <w:tab w:leader="none" w:pos="132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Company has provided Executive with a period of </w:t>
      </w:r>
      <w:r>
        <w:rPr>
          <w:rFonts w:ascii="Times New Roman" w:cs="Times New Roman" w:eastAsia="Times New Roman" w:hAnsi="Times New Roman"/>
          <w:sz w:val="17"/>
          <w:szCs w:val="17"/>
          <w:b w:val="1"/>
          <w:bCs w:val="1"/>
          <w:color w:val="auto"/>
        </w:rPr>
        <w:t>[twenty-one (21)]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[forty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five (45)]</w:t>
      </w:r>
      <w:r>
        <w:rPr>
          <w:rFonts w:ascii="Times New Roman" w:cs="Times New Roman" w:eastAsia="Times New Roman" w:hAnsi="Times New Roman"/>
          <w:sz w:val="17"/>
          <w:szCs w:val="17"/>
          <w:color w:val="auto"/>
        </w:rPr>
        <w:t xml:space="preserve"> days within which to consider this Agreement, and that Executive has signed on the date indicated below after concluding that this Separation of Employment Agreement</w:t>
      </w:r>
    </w:p>
    <w:p>
      <w:pPr>
        <w:ind w:left="1320"/>
        <w:spacing w:after="0"/>
        <w:tabs>
          <w:tab w:leader="none" w:pos="6180" w:val="left"/>
          <w:tab w:leader="none" w:pos="8380" w:val="left"/>
        </w:tabs>
        <w:rPr>
          <w:sz w:val="20"/>
          <w:szCs w:val="20"/>
          <w:color w:val="auto"/>
        </w:rPr>
      </w:pPr>
      <w:r>
        <w:rPr>
          <w:rFonts w:ascii="Times New Roman" w:cs="Times New Roman" w:eastAsia="Times New Roman" w:hAnsi="Times New Roman"/>
          <w:sz w:val="18"/>
          <w:szCs w:val="18"/>
          <w:color w:val="auto"/>
        </w:rPr>
        <w:t>and General Release is satisfactory to</w:t>
      </w:r>
      <w:r>
        <w:rPr>
          <w:sz w:val="20"/>
          <w:szCs w:val="20"/>
          <w:color w:val="auto"/>
        </w:rPr>
        <w:tab/>
      </w:r>
      <w:r>
        <w:rPr>
          <w:rFonts w:ascii="Times New Roman" w:cs="Times New Roman" w:eastAsia="Times New Roman" w:hAnsi="Times New Roman"/>
          <w:sz w:val="18"/>
          <w:szCs w:val="18"/>
          <w:color w:val="auto"/>
        </w:rPr>
        <w:t>Executive;</w:t>
      </w:r>
      <w:r>
        <w:rPr>
          <w:sz w:val="20"/>
          <w:szCs w:val="20"/>
          <w:color w:val="auto"/>
        </w:rPr>
        <w:tab/>
      </w:r>
      <w:r>
        <w:rPr>
          <w:rFonts w:ascii="Times New Roman" w:cs="Times New Roman" w:eastAsia="Times New Roman" w:hAnsi="Times New Roman"/>
          <w:sz w:val="18"/>
          <w:szCs w:val="18"/>
          <w:color w:val="auto"/>
        </w:rPr>
        <w:t>and</w:t>
      </w:r>
    </w:p>
    <w:p>
      <w:pPr>
        <w:spacing w:after="0" w:line="8" w:lineRule="exact"/>
        <w:rPr>
          <w:sz w:val="20"/>
          <w:szCs w:val="20"/>
          <w:color w:val="auto"/>
        </w:rPr>
      </w:pPr>
    </w:p>
    <w:p>
      <w:pPr>
        <w:jc w:val="both"/>
        <w:ind w:left="13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 The applicable time period will depend on whether the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 of a reduction in force (45 days) or not (21 days).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In addition, </w:t>
      </w:r>
      <w:r>
        <w:rPr>
          <w:rFonts w:ascii="Times New Roman" w:cs="Times New Roman" w:eastAsia="Times New Roman" w:hAnsi="Times New Roman"/>
          <w:sz w:val="18"/>
          <w:szCs w:val="18"/>
          <w:i w:val="1"/>
          <w:iCs w:val="1"/>
          <w:color w:val="auto"/>
        </w:rPr>
        <w:t>if</w:t>
      </w:r>
      <w:r>
        <w:rPr>
          <w:rFonts w:ascii="Times New Roman" w:cs="Times New Roman" w:eastAsia="Times New Roman" w:hAnsi="Times New Roman"/>
          <w:sz w:val="18"/>
          <w:szCs w:val="18"/>
          <w:b w:val="1"/>
          <w:bCs w:val="1"/>
          <w:i w:val="1"/>
          <w:iCs w:val="1"/>
          <w:color w:val="auto"/>
        </w:rPr>
        <w:t xml:space="preserve"> the termination is in connection with a reduction in force, certain disclosures will need to be made to Executive to comply with the requirements of the ADEA </w:t>
      </w:r>
      <w:r>
        <w:rPr>
          <w:rFonts w:ascii="Times New Roman" w:cs="Times New Roman" w:eastAsia="Times New Roman" w:hAnsi="Times New Roman"/>
          <w:sz w:val="18"/>
          <w:szCs w:val="18"/>
          <w:i w:val="1"/>
          <w:iCs w:val="1"/>
          <w:color w:val="auto"/>
        </w:rPr>
        <w:t>if</w:t>
      </w:r>
      <w:r>
        <w:rPr>
          <w:rFonts w:ascii="Times New Roman" w:cs="Times New Roman" w:eastAsia="Times New Roman" w:hAnsi="Times New Roman"/>
          <w:sz w:val="18"/>
          <w:szCs w:val="18"/>
          <w:b w:val="1"/>
          <w:bCs w:val="1"/>
          <w:i w:val="1"/>
          <w:iCs w:val="1"/>
          <w:color w:val="auto"/>
        </w:rPr>
        <w:t xml:space="preserve"> Executive </w:t>
      </w:r>
      <w:r>
        <w:rPr>
          <w:rFonts w:ascii="Times New Roman" w:cs="Times New Roman" w:eastAsia="Times New Roman" w:hAnsi="Times New Roman"/>
          <w:sz w:val="18"/>
          <w:szCs w:val="18"/>
          <w:i w:val="1"/>
          <w:iCs w:val="1"/>
          <w:color w:val="auto"/>
        </w:rPr>
        <w:t>is</w:t>
      </w:r>
      <w:r>
        <w:rPr>
          <w:rFonts w:ascii="Times New Roman" w:cs="Times New Roman" w:eastAsia="Times New Roman" w:hAnsi="Times New Roman"/>
          <w:sz w:val="18"/>
          <w:szCs w:val="18"/>
          <w:b w:val="1"/>
          <w:bCs w:val="1"/>
          <w:i w:val="1"/>
          <w:iCs w:val="1"/>
          <w:color w:val="auto"/>
        </w:rPr>
        <w:t xml:space="preserve"> at least age 40.]</w:t>
      </w:r>
    </w:p>
    <w:p>
      <w:pPr>
        <w:spacing w:after="0" w:line="187" w:lineRule="exact"/>
        <w:rPr>
          <w:sz w:val="20"/>
          <w:szCs w:val="20"/>
          <w:color w:val="auto"/>
        </w:rPr>
      </w:pPr>
    </w:p>
    <w:p>
      <w:pPr>
        <w:jc w:val="both"/>
        <w:ind w:left="1340" w:hanging="316"/>
        <w:spacing w:after="0" w:line="259" w:lineRule="auto"/>
        <w:tabs>
          <w:tab w:leader="none" w:pos="13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acknowledges that this Agreement may be revoked by Executive within seven (7) days after execution, and it shall not become effective until the expiration of such seven (7) day revocation period. </w:t>
      </w:r>
      <w:r>
        <w:rPr>
          <w:rFonts w:ascii="Times New Roman" w:cs="Times New Roman" w:eastAsia="Times New Roman" w:hAnsi="Times New Roman"/>
          <w:sz w:val="18"/>
          <w:szCs w:val="18"/>
          <w:b w:val="1"/>
          <w:bCs w:val="1"/>
          <w:color w:val="auto"/>
        </w:rPr>
        <w:t>In</w:t>
      </w:r>
      <w:r>
        <w:rPr>
          <w:rFonts w:ascii="Times New Roman" w:cs="Times New Roman" w:eastAsia="Times New Roman" w:hAnsi="Times New Roman"/>
          <w:sz w:val="18"/>
          <w:szCs w:val="18"/>
          <w:color w:val="auto"/>
        </w:rPr>
        <w:t xml:space="preserve"> the event of a timely revocation by Executive, this Agreement will be deemed null and void and Company will have no obligations hereunder. Revocation may be achieved only by delivering a letter to </w:t>
      </w:r>
      <w:r>
        <w:rPr>
          <w:rFonts w:ascii="Times New Roman" w:cs="Times New Roman" w:eastAsia="Times New Roman" w:hAnsi="Times New Roman"/>
          <w:sz w:val="18"/>
          <w:szCs w:val="18"/>
          <w:b w:val="1"/>
          <w:bCs w:val="1"/>
          <w:color w:val="auto"/>
        </w:rPr>
        <w:t>[NAME, TITLE, ADDRESS),</w:t>
      </w:r>
      <w:r>
        <w:rPr>
          <w:rFonts w:ascii="Times New Roman" w:cs="Times New Roman" w:eastAsia="Times New Roman" w:hAnsi="Times New Roman"/>
          <w:sz w:val="18"/>
          <w:szCs w:val="18"/>
          <w:color w:val="auto"/>
        </w:rPr>
        <w:t xml:space="preserve"> clearly evidencing a decision to revoke within the seven day revocation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212090</wp:posOffset>
            </wp:positionV>
            <wp:extent cx="713295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20"/>
          </w:cols>
          <w:pgMar w:left="540" w:top="793" w:right="339" w:bottom="1440" w:gutter="0" w:footer="0" w:header="0"/>
        </w:sectPr>
      </w:pPr>
    </w:p>
    <w:bookmarkStart w:id="205" w:name="page206"/>
    <w:bookmarkEnd w:id="205"/>
    <w:p>
      <w:pPr>
        <w:ind w:left="3040" w:hanging="3398"/>
        <w:spacing w:after="0" w:line="280" w:lineRule="auto"/>
        <w:rPr>
          <w:sz w:val="20"/>
          <w:szCs w:val="20"/>
          <w:color w:val="auto"/>
        </w:rPr>
      </w:pPr>
      <w:r>
        <w:rPr>
          <w:rFonts w:ascii="Times New Roman" w:cs="Times New Roman" w:eastAsia="Times New Roman" w:hAnsi="Times New Roman"/>
          <w:sz w:val="18"/>
          <w:szCs w:val="18"/>
          <w:color w:val="auto"/>
        </w:rPr>
        <w:t>Intending to be legally bound hereby, Executive and Company executed the foregoing Separation of Employment Agreement and General Release this day of 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-46990</wp:posOffset>
            </wp:positionV>
            <wp:extent cx="253111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1">
                      <a:extLst>
                        <a:ext uri="{28A0092B-C50C-407E-A947-70E740481C1C}"/>
                      </a:extLst>
                    </a:blip>
                    <a:srcRect/>
                    <a:stretch>
                      <a:fillRect/>
                    </a:stretch>
                  </pic:blipFill>
                  <pic:spPr bwMode="auto">
                    <a:xfrm>
                      <a:off x="0" y="0"/>
                      <a:ext cx="2531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Joshua Schafer</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KEMPHARM, INC.</w:t>
      </w:r>
    </w:p>
    <w:p>
      <w:pPr>
        <w:spacing w:after="0" w:line="18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By---------------------------------- </w:t>
      </w:r>
      <w:r>
        <w:rPr>
          <w:rFonts w:ascii="MS PGothic" w:cs="MS PGothic" w:eastAsia="MS PGothic" w:hAnsi="MS PGothic"/>
          <w:sz w:val="18"/>
          <w:szCs w:val="18"/>
          <w:color w:val="auto"/>
        </w:rPr>
        <w:t>‐</w:t>
      </w: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2400" w:val="left"/>
        </w:tabs>
        <w:rPr>
          <w:sz w:val="20"/>
          <w:szCs w:val="20"/>
          <w:color w:val="auto"/>
        </w:rPr>
      </w:pPr>
      <w:r>
        <w:rPr>
          <w:rFonts w:ascii="Times New Roman" w:cs="Times New Roman" w:eastAsia="Times New Roman" w:hAnsi="Times New Roman"/>
          <w:sz w:val="18"/>
          <w:szCs w:val="18"/>
          <w:color w:val="auto"/>
        </w:rPr>
        <w:t>Witness:</w:t>
      </w:r>
      <w:r>
        <w:rPr>
          <w:sz w:val="20"/>
          <w:szCs w:val="20"/>
          <w:color w:val="auto"/>
        </w:rPr>
        <w:tab/>
      </w:r>
      <w:r>
        <w:rPr>
          <w:rFonts w:ascii="Times New Roman" w:cs="Times New Roman" w:eastAsia="Times New Roman" w:hAnsi="Times New Roman"/>
          <w:sz w:val="18"/>
          <w:szCs w:val="18"/>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-8255</wp:posOffset>
            </wp:positionV>
            <wp:extent cx="10788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2">
                      <a:extLst>
                        <a:ext uri="{28A0092B-C50C-407E-A947-70E740481C1C}"/>
                      </a:extLst>
                    </a:blip>
                    <a:srcRect/>
                    <a:stretch>
                      <a:fillRect/>
                    </a:stretch>
                  </pic:blipFill>
                  <pic:spPr bwMode="auto">
                    <a:xfrm>
                      <a:off x="0" y="0"/>
                      <a:ext cx="1078865" cy="8255"/>
                    </a:xfrm>
                    <a:prstGeom prst="rect">
                      <a:avLst/>
                    </a:prstGeom>
                    <a:noFill/>
                  </pic:spPr>
                </pic:pic>
              </a:graphicData>
            </a:graphic>
          </wp:anchor>
        </w:drawing>
      </w:r>
    </w:p>
    <w:p>
      <w:pPr>
        <w:spacing w:after="0" w:line="203" w:lineRule="exact"/>
        <w:rPr>
          <w:sz w:val="20"/>
          <w:szCs w:val="20"/>
          <w:color w:val="auto"/>
        </w:rPr>
      </w:pPr>
    </w:p>
    <w:p>
      <w:pPr>
        <w:spacing w:after="0"/>
        <w:tabs>
          <w:tab w:leader="none" w:pos="2400" w:val="left"/>
        </w:tabs>
        <w:rPr>
          <w:sz w:val="20"/>
          <w:szCs w:val="20"/>
          <w:color w:val="auto"/>
        </w:rPr>
      </w:pPr>
      <w:r>
        <w:rPr>
          <w:rFonts w:ascii="Times New Roman" w:cs="Times New Roman" w:eastAsia="Times New Roman" w:hAnsi="Times New Roman"/>
          <w:sz w:val="18"/>
          <w:szCs w:val="18"/>
          <w:color w:val="auto"/>
        </w:rPr>
        <w:t>Witness:</w:t>
      </w:r>
      <w:r>
        <w:rPr>
          <w:sz w:val="20"/>
          <w:szCs w:val="20"/>
          <w:color w:val="auto"/>
        </w:rPr>
        <w:tab/>
      </w:r>
      <w:r>
        <w:rPr>
          <w:rFonts w:ascii="Times New Roman" w:cs="Times New Roman" w:eastAsia="Times New Roman" w:hAnsi="Times New Roman"/>
          <w:sz w:val="18"/>
          <w:szCs w:val="18"/>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-8255</wp:posOffset>
            </wp:positionV>
            <wp:extent cx="10788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3">
                      <a:extLst>
                        <a:ext uri="{28A0092B-C50C-407E-A947-70E740481C1C}"/>
                      </a:extLst>
                    </a:blip>
                    <a:srcRect/>
                    <a:stretch>
                      <a:fillRect/>
                    </a:stretch>
                  </pic:blipFill>
                  <pic:spPr bwMode="auto">
                    <a:xfrm>
                      <a:off x="0" y="0"/>
                      <a:ext cx="1078865" cy="8255"/>
                    </a:xfrm>
                    <a:prstGeom prst="rect">
                      <a:avLst/>
                    </a:prstGeom>
                    <a:noFill/>
                  </pic:spPr>
                </pic:pic>
              </a:graphicData>
            </a:graphic>
          </wp:anchor>
        </w:drawing>
      </w:r>
    </w:p>
    <w:p>
      <w:pPr>
        <w:sectPr>
          <w:pgSz w:w="11900" w:h="16838" w:orient="portrait"/>
          <w:cols w:equalWidth="0" w:num="1">
            <w:col w:w="10880"/>
          </w:cols>
          <w:pgMar w:left="680" w:top="793"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00" w:lineRule="exact"/>
        <w:rPr>
          <w:sz w:val="20"/>
          <w:szCs w:val="20"/>
          <w:color w:val="auto"/>
        </w:rPr>
      </w:pPr>
    </w:p>
    <w:p>
      <w:pPr>
        <w:spacing w:after="0" w:line="23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04" w:lineRule="exact"/>
        <w:rPr>
          <w:sz w:val="20"/>
          <w:szCs w:val="20"/>
          <w:color w:val="auto"/>
        </w:rPr>
      </w:pPr>
    </w:p>
    <w:p>
      <w:pPr>
        <w:jc w:val="both"/>
        <w:ind w:left="480" w:right="160" w:firstLine="161"/>
        <w:spacing w:after="0" w:line="264" w:lineRule="auto"/>
        <w:rPr>
          <w:sz w:val="20"/>
          <w:szCs w:val="20"/>
          <w:color w:val="auto"/>
        </w:rPr>
      </w:pPr>
      <w:r>
        <w:rPr>
          <w:rFonts w:ascii="Times New Roman" w:cs="Times New Roman" w:eastAsia="Times New Roman" w:hAnsi="Times New Roman"/>
          <w:sz w:val="18"/>
          <w:szCs w:val="18"/>
          <w:color w:val="auto"/>
        </w:rPr>
        <w:t>THIS AMENDMENT TO EXECUTIVE EMPLOYMENT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May 7, 2024, is entered into by and between Zevra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Neil F. McFarlane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Capitalized terms used but not otherwise defined herein shall have the respective meanings ascribed to them in the Employment Agreement (as defined below).</w:t>
      </w:r>
    </w:p>
    <w:p>
      <w:pPr>
        <w:spacing w:after="0" w:line="1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3" w:lineRule="exact"/>
        <w:rPr>
          <w:sz w:val="20"/>
          <w:szCs w:val="20"/>
          <w:color w:val="auto"/>
        </w:rPr>
      </w:pPr>
    </w:p>
    <w:p>
      <w:pPr>
        <w:ind w:firstLine="645"/>
        <w:spacing w:after="0" w:line="28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Executive are parties to that certain Executive Employment Agreement, effective as of October 10,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which sets forth the terms and conditions of Executive’s employment with the Company and its affiliates; and</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Executive desire for the Employment Agreement to be amended as set forth herein.</w:t>
      </w:r>
    </w:p>
    <w:p>
      <w:pPr>
        <w:spacing w:after="0" w:line="223" w:lineRule="exact"/>
        <w:rPr>
          <w:sz w:val="20"/>
          <w:szCs w:val="20"/>
          <w:color w:val="auto"/>
        </w:rPr>
      </w:pPr>
    </w:p>
    <w:p>
      <w:pPr>
        <w:ind w:firstLine="645"/>
        <w:spacing w:after="0" w:line="284"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Executive’s continued service with the Company and its subsidiaries and affiliates, and for other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valuable consideration, the receipt and adequacy of which are hereby acknowledged, the Company and Executive hereby agree as follows:</w:t>
      </w:r>
    </w:p>
    <w:p>
      <w:pPr>
        <w:spacing w:after="0" w:line="1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7" w:lineRule="exact"/>
        <w:rPr>
          <w:sz w:val="20"/>
          <w:szCs w:val="20"/>
          <w:color w:val="auto"/>
        </w:rPr>
      </w:pPr>
    </w:p>
    <w:p>
      <w:pPr>
        <w:ind w:left="640" w:hanging="329"/>
        <w:spacing w:after="0"/>
        <w:tabs>
          <w:tab w:leader="none" w:pos="6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2.F. (</w:t>
      </w:r>
      <w:r>
        <w:rPr>
          <w:rFonts w:ascii="Times New Roman" w:cs="Times New Roman" w:eastAsia="Times New Roman" w:hAnsi="Times New Roman"/>
          <w:sz w:val="18"/>
          <w:szCs w:val="18"/>
          <w:u w:val="single" w:color="auto"/>
          <w:color w:val="auto"/>
        </w:rPr>
        <w:t>Commuting Expenses</w:t>
      </w:r>
      <w:r>
        <w:rPr>
          <w:rFonts w:ascii="Times New Roman" w:cs="Times New Roman" w:eastAsia="Times New Roman" w:hAnsi="Times New Roman"/>
          <w:sz w:val="18"/>
          <w:szCs w:val="18"/>
          <w:color w:val="auto"/>
        </w:rPr>
        <w:t>) is hereby amended and restated in its entirety to read as follows:</w:t>
      </w:r>
    </w:p>
    <w:p>
      <w:pPr>
        <w:spacing w:after="0" w:line="222" w:lineRule="exact"/>
        <w:rPr>
          <w:rFonts w:ascii="Times New Roman" w:cs="Times New Roman" w:eastAsia="Times New Roman" w:hAnsi="Times New Roman"/>
          <w:sz w:val="18"/>
          <w:szCs w:val="18"/>
          <w:color w:val="auto"/>
        </w:rPr>
      </w:pPr>
    </w:p>
    <w:p>
      <w:pPr>
        <w:jc w:val="both"/>
        <w:ind w:left="640" w:hanging="18"/>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beginning on the Effective Date and ending on October 31, 2024, so long as Executive remains an employee of Company, Company will reimburse Executive for reasonable commuting expenses (including airfare and lodging) to Celebration, Florida, less deductions and withholdings required by applicable law, if any (the “</w:t>
      </w:r>
      <w:r>
        <w:rPr>
          <w:rFonts w:ascii="Times New Roman" w:cs="Times New Roman" w:eastAsia="Times New Roman" w:hAnsi="Times New Roman"/>
          <w:sz w:val="18"/>
          <w:szCs w:val="18"/>
          <w:u w:val="single" w:color="auto"/>
          <w:color w:val="auto"/>
        </w:rPr>
        <w:t>Commuting Expenses</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left="640" w:right="20" w:hanging="329"/>
        <w:spacing w:after="0" w:line="259" w:lineRule="auto"/>
        <w:tabs>
          <w:tab w:leader="none" w:pos="6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Employment Agreement shall remain in full force and effect according to their respective terms, and nothing contained herein shall be deemed a waiver of any right or abrogation of any obligation otherwise existing under the Employment Agreement except to the extent specifically provided for herein. This Amendment may be executed in any number of counterparts, each of which when so executed and delivered shall be taken to be an original; but such counterparts shall together constitute one and the same document.</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376555</wp:posOffset>
            </wp:positionV>
            <wp:extent cx="713295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40"/>
          </w:cols>
          <w:pgMar w:left="420" w:top="117"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and Executive have executed this Amendment effective as of the Amendment Effective Date.</w:t>
      </w:r>
    </w:p>
    <w:p>
      <w:pPr>
        <w:sectPr>
          <w:pgSz w:w="11900" w:h="16838" w:orient="portrait"/>
          <w:cols w:equalWidth="0" w:num="1">
            <w:col w:w="9820"/>
          </w:cols>
          <w:pgMar w:left="1060" w:top="1004" w:right="101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b w:val="1"/>
          <w:bCs w:val="1"/>
          <w:color w:val="auto"/>
        </w:rPr>
        <w:t>ZEVRA THERAPEUTICS, INC.</w:t>
      </w:r>
    </w:p>
    <w:p>
      <w:pPr>
        <w:spacing w:after="0" w:line="200" w:lineRule="exact"/>
        <w:rPr>
          <w:sz w:val="20"/>
          <w:szCs w:val="20"/>
          <w:color w:val="auto"/>
        </w:rPr>
      </w:pPr>
    </w:p>
    <w:p>
      <w:pPr>
        <w:spacing w:after="0" w:line="253" w:lineRule="exact"/>
        <w:rPr>
          <w:sz w:val="20"/>
          <w:szCs w:val="20"/>
          <w:color w:val="auto"/>
        </w:rPr>
      </w:pPr>
    </w:p>
    <w:p>
      <w:pPr>
        <w:ind w:left="3880"/>
        <w:spacing w:after="0"/>
        <w:tabs>
          <w:tab w:leader="none" w:pos="4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 LaDuane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-8255</wp:posOffset>
            </wp:positionV>
            <wp:extent cx="234378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5">
                      <a:extLst>
                        <a:ext uri="{28A0092B-C50C-407E-A947-70E740481C1C}"/>
                      </a:extLst>
                    </a:blip>
                    <a:srcRect/>
                    <a:stretch>
                      <a:fillRect/>
                    </a:stretch>
                  </pic:blipFill>
                  <pic:spPr bwMode="auto">
                    <a:xfrm>
                      <a:off x="0" y="0"/>
                      <a:ext cx="2343785" cy="8255"/>
                    </a:xfrm>
                    <a:prstGeom prst="rect">
                      <a:avLst/>
                    </a:prstGeom>
                    <a:noFill/>
                  </pic:spPr>
                </pic:pic>
              </a:graphicData>
            </a:graphic>
          </wp:anchor>
        </w:drawing>
      </w:r>
    </w:p>
    <w:p>
      <w:pPr>
        <w:spacing w:after="0" w:line="20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Name:  LaDuane Clifton</w:t>
      </w:r>
    </w:p>
    <w:p>
      <w:pPr>
        <w:spacing w:after="0" w:line="223" w:lineRule="exact"/>
        <w:rPr>
          <w:sz w:val="20"/>
          <w:szCs w:val="20"/>
          <w:color w:val="auto"/>
        </w:rPr>
      </w:pPr>
    </w:p>
    <w:p>
      <w:pPr>
        <w:jc w:val="center"/>
        <w:ind w:right="-459"/>
        <w:spacing w:after="0"/>
        <w:tabs>
          <w:tab w:leader="none" w:pos="2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/s/ Neil. F. McFarlane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2299335</wp:posOffset>
            </wp:positionH>
            <wp:positionV relativeFrom="paragraph">
              <wp:posOffset>-8255</wp:posOffset>
            </wp:positionV>
            <wp:extent cx="156083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6">
                      <a:extLst>
                        <a:ext uri="{28A0092B-C50C-407E-A947-70E740481C1C}"/>
                      </a:extLst>
                    </a:blip>
                    <a:srcRect/>
                    <a:stretch>
                      <a:fillRect/>
                    </a:stretch>
                  </pic:blipFill>
                  <pic:spPr bwMode="auto">
                    <a:xfrm>
                      <a:off x="0" y="0"/>
                      <a:ext cx="1560830" cy="8255"/>
                    </a:xfrm>
                    <a:prstGeom prst="rect">
                      <a:avLst/>
                    </a:prstGeom>
                    <a:noFill/>
                  </pic:spPr>
                </pic:pic>
              </a:graphicData>
            </a:graphic>
          </wp:anchor>
        </w:drawing>
        <w:drawing>
          <wp:anchor simplePos="0" relativeHeight="251657728" behindDoc="1" locked="0" layoutInCell="0" allowOverlap="1">
            <wp:simplePos x="0" y="0"/>
            <wp:positionH relativeFrom="column">
              <wp:posOffset>2299335</wp:posOffset>
            </wp:positionH>
            <wp:positionV relativeFrom="paragraph">
              <wp:posOffset>127635</wp:posOffset>
            </wp:positionV>
            <wp:extent cx="7105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Neil F. McFarlane</w:t>
      </w:r>
    </w:p>
    <w:p>
      <w:pPr>
        <w:sectPr>
          <w:pgSz w:w="11900" w:h="16838" w:orient="portrait"/>
          <w:cols w:equalWidth="0" w:num="1">
            <w:col w:w="9820"/>
          </w:cols>
          <w:pgMar w:left="1060" w:top="1004" w:right="1019" w:bottom="1440" w:gutter="0" w:footer="0" w:header="0"/>
          <w:type w:val="continuous"/>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56"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21"/>
          <w:szCs w:val="21"/>
          <w:b w:val="1"/>
          <w:bCs w:val="1"/>
          <w:color w:val="auto"/>
        </w:rPr>
        <w:t>ZEVRA THERAPEUTICS, INC.</w:t>
      </w:r>
    </w:p>
    <w:p>
      <w:pPr>
        <w:spacing w:after="0" w:line="215"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21"/>
          <w:szCs w:val="21"/>
          <w:b w:val="1"/>
          <w:bCs w:val="1"/>
          <w:color w:val="auto"/>
        </w:rPr>
        <w:t xml:space="preserve"> R</w:t>
      </w:r>
      <w:r>
        <w:rPr>
          <w:rFonts w:ascii="Times New Roman" w:cs="Times New Roman" w:eastAsia="Times New Roman" w:hAnsi="Times New Roman"/>
          <w:sz w:val="14"/>
          <w:szCs w:val="14"/>
          <w:b w:val="1"/>
          <w:bCs w:val="1"/>
          <w:color w:val="auto"/>
        </w:rPr>
        <w:t>estated</w:t>
      </w:r>
    </w:p>
    <w:p>
      <w:pPr>
        <w:spacing w:after="0" w:line="2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b w:val="1"/>
          <w:bCs w:val="1"/>
          <w:color w:val="auto"/>
        </w:rPr>
        <w:t>INSIDER TRADING AND WINDOW PERIOD POLICY</w:t>
      </w:r>
    </w:p>
    <w:p>
      <w:pPr>
        <w:spacing w:after="0" w:line="196" w:lineRule="exact"/>
        <w:rPr>
          <w:sz w:val="20"/>
          <w:szCs w:val="20"/>
          <w:color w:val="auto"/>
        </w:rPr>
      </w:pPr>
    </w:p>
    <w:p>
      <w:pPr>
        <w:ind w:left="560" w:hanging="330"/>
        <w:spacing w:after="0"/>
        <w:tabs>
          <w:tab w:leader="none" w:pos="56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3" w:lineRule="exact"/>
        <w:rPr>
          <w:sz w:val="20"/>
          <w:szCs w:val="20"/>
          <w:color w:val="auto"/>
        </w:rPr>
      </w:pPr>
    </w:p>
    <w:p>
      <w:pPr>
        <w:jc w:val="both"/>
        <w:ind w:left="40" w:firstLine="645"/>
        <w:spacing w:after="0" w:line="256" w:lineRule="auto"/>
        <w:rPr>
          <w:sz w:val="20"/>
          <w:szCs w:val="20"/>
          <w:color w:val="auto"/>
        </w:rPr>
      </w:pPr>
      <w:r>
        <w:rPr>
          <w:rFonts w:ascii="Times New Roman" w:cs="Times New Roman" w:eastAsia="Times New Roman" w:hAnsi="Times New Roman"/>
          <w:sz w:val="18"/>
          <w:szCs w:val="18"/>
          <w:color w:val="auto"/>
        </w:rPr>
        <w:t xml:space="preserve">This policy determines acceptable transactions in the securities of </w:t>
      </w:r>
      <w:r>
        <w:rPr>
          <w:rFonts w:ascii="Times New Roman" w:cs="Times New Roman" w:eastAsia="Times New Roman" w:hAnsi="Times New Roman"/>
          <w:sz w:val="18"/>
          <w:szCs w:val="18"/>
          <w:b w:val="1"/>
          <w:bCs w:val="1"/>
          <w:color w:val="auto"/>
        </w:rPr>
        <w:t>Zevra Therapeutics,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by our employees, officers, directors and consultants. During the course of your relationship with the Company, you may receive important information that is not yet publicly available about the Company or about other publicly-traded companies with which the Company has business dealings (“</w:t>
      </w:r>
      <w:r>
        <w:rPr>
          <w:rFonts w:ascii="Times New Roman" w:cs="Times New Roman" w:eastAsia="Times New Roman" w:hAnsi="Times New Roman"/>
          <w:sz w:val="18"/>
          <w:szCs w:val="18"/>
          <w:b w:val="1"/>
          <w:bCs w:val="1"/>
          <w:i w:val="1"/>
          <w:iCs w:val="1"/>
          <w:color w:val="auto"/>
        </w:rPr>
        <w:t>material nonpublic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 Because of your access to this material nonpublic information, you may be in a position to profit financially or avoid a loss by buying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selling, or in some other way dealing, in the Company’s securities, or securities of another publicly- traded company, or to disclose such information to a third party who does so profit or avoid a loss (a “</w:t>
      </w:r>
      <w:r>
        <w:rPr>
          <w:rFonts w:ascii="Times New Roman" w:cs="Times New Roman" w:eastAsia="Times New Roman" w:hAnsi="Times New Roman"/>
          <w:sz w:val="18"/>
          <w:szCs w:val="18"/>
          <w:b w:val="1"/>
          <w:bCs w:val="1"/>
          <w:i w:val="1"/>
          <w:iCs w:val="1"/>
          <w:color w:val="auto"/>
        </w:rPr>
        <w:t>tippee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000" w:right="8140" w:hanging="864"/>
        <w:spacing w:after="0" w:line="500" w:lineRule="auto"/>
        <w:tabs>
          <w:tab w:leader="none" w:pos="463"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INSIDER TRADING POLICY </w:t>
      </w:r>
      <w:r>
        <w:rPr>
          <w:rFonts w:ascii="Times New Roman" w:cs="Times New Roman" w:eastAsia="Times New Roman" w:hAnsi="Times New Roman"/>
          <w:sz w:val="18"/>
          <w:szCs w:val="18"/>
          <w:i w:val="1"/>
          <w:iCs w:val="1"/>
          <w:color w:val="auto"/>
        </w:rPr>
        <w:t>A. Securities Transactions</w:t>
      </w:r>
    </w:p>
    <w:p>
      <w:pPr>
        <w:spacing w:after="0" w:line="2" w:lineRule="exact"/>
        <w:rPr>
          <w:sz w:val="20"/>
          <w:szCs w:val="20"/>
          <w:color w:val="auto"/>
        </w:rPr>
      </w:pPr>
    </w:p>
    <w:p>
      <w:pPr>
        <w:jc w:val="both"/>
        <w:ind w:left="40" w:firstLine="645"/>
        <w:spacing w:after="0" w:line="254" w:lineRule="auto"/>
        <w:rPr>
          <w:sz w:val="20"/>
          <w:szCs w:val="20"/>
          <w:color w:val="auto"/>
        </w:rPr>
      </w:pPr>
      <w:r>
        <w:rPr>
          <w:rFonts w:ascii="Times New Roman" w:cs="Times New Roman" w:eastAsia="Times New Roman" w:hAnsi="Times New Roman"/>
          <w:sz w:val="18"/>
          <w:szCs w:val="18"/>
          <w:color w:val="auto"/>
        </w:rPr>
        <w:t xml:space="preserve">This policy prohibits employees, officers, directors and consultants] from trading while in the possession of material nonpublic information. In addition, use of material nonpublic information by someone for personal gain, or to pass on, or “tip,” the material nonpublic information to someone who uses it for personal gain, is illegal, regardless of the quantity of securities or the amount of profit made or loss avoided, and is therefore prohibited. You can be held liable both for your own transactions and for transactions effected by a tippee, or even a tippee of a tippee. Furthermore, it is important that the </w:t>
      </w:r>
      <w:r>
        <w:rPr>
          <w:rFonts w:ascii="Times New Roman" w:cs="Times New Roman" w:eastAsia="Times New Roman" w:hAnsi="Times New Roman"/>
          <w:sz w:val="18"/>
          <w:szCs w:val="18"/>
          <w:b w:val="1"/>
          <w:bCs w:val="1"/>
          <w:color w:val="auto"/>
        </w:rPr>
        <w:t xml:space="preserve">appearance </w:t>
      </w:r>
      <w:r>
        <w:rPr>
          <w:rFonts w:ascii="Times New Roman" w:cs="Times New Roman" w:eastAsia="Times New Roman" w:hAnsi="Times New Roman"/>
          <w:sz w:val="18"/>
          <w:szCs w:val="18"/>
          <w:color w:val="auto"/>
        </w:rPr>
        <w:t>of insider trading in securities be avoided. The only exception is that transactions directly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exercises for cash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purchases under the Company’s employee stock purchase plan, are permitted. However, the subsequent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xml:space="preserve"> (including the sale of shares in a cashless exercise program) or other disposition of such stock </w:t>
      </w:r>
      <w:r>
        <w:rPr>
          <w:rFonts w:ascii="Times New Roman" w:cs="Times New Roman" w:eastAsia="Times New Roman" w:hAnsi="Times New Roman"/>
          <w:sz w:val="18"/>
          <w:szCs w:val="18"/>
          <w:b w:val="1"/>
          <w:bCs w:val="1"/>
          <w:color w:val="auto"/>
        </w:rPr>
        <w:t>is</w:t>
      </w:r>
      <w:r>
        <w:rPr>
          <w:rFonts w:ascii="Times New Roman" w:cs="Times New Roman" w:eastAsia="Times New Roman" w:hAnsi="Times New Roman"/>
          <w:sz w:val="18"/>
          <w:szCs w:val="18"/>
          <w:color w:val="auto"/>
        </w:rPr>
        <w:t xml:space="preserve"> fully subject to these restrictions.</w:t>
      </w:r>
    </w:p>
    <w:p>
      <w:pPr>
        <w:spacing w:after="0" w:line="184" w:lineRule="exact"/>
        <w:rPr>
          <w:sz w:val="20"/>
          <w:szCs w:val="20"/>
          <w:color w:val="auto"/>
        </w:rPr>
      </w:pPr>
    </w:p>
    <w:p>
      <w:pPr>
        <w:ind w:left="1000"/>
        <w:spacing w:after="0"/>
        <w:tabs>
          <w:tab w:leader="none" w:pos="1300" w:val="left"/>
        </w:tabs>
        <w:rPr>
          <w:sz w:val="20"/>
          <w:szCs w:val="20"/>
          <w:color w:val="auto"/>
        </w:rPr>
      </w:pPr>
      <w:r>
        <w:rPr>
          <w:rFonts w:ascii="Times New Roman" w:cs="Times New Roman" w:eastAsia="Times New Roman" w:hAnsi="Times New Roman"/>
          <w:sz w:val="18"/>
          <w:szCs w:val="18"/>
          <w:i w:val="1"/>
          <w:iCs w:val="1"/>
          <w:color w:val="auto"/>
        </w:rPr>
        <w:t>B.</w:t>
      </w:r>
      <w:r>
        <w:rPr>
          <w:sz w:val="20"/>
          <w:szCs w:val="20"/>
          <w:color w:val="auto"/>
        </w:rPr>
        <w:tab/>
      </w:r>
      <w:r>
        <w:rPr>
          <w:rFonts w:ascii="Times New Roman" w:cs="Times New Roman" w:eastAsia="Times New Roman" w:hAnsi="Times New Roman"/>
          <w:sz w:val="17"/>
          <w:szCs w:val="17"/>
          <w:i w:val="1"/>
          <w:iCs w:val="1"/>
          <w:color w:val="auto"/>
        </w:rPr>
        <w:t>Material Nonpublic Information</w:t>
      </w:r>
    </w:p>
    <w:p>
      <w:pPr>
        <w:spacing w:after="0" w:line="225" w:lineRule="exact"/>
        <w:rPr>
          <w:sz w:val="20"/>
          <w:szCs w:val="20"/>
          <w:color w:val="auto"/>
        </w:rPr>
      </w:pPr>
    </w:p>
    <w:p>
      <w:pPr>
        <w:jc w:val="both"/>
        <w:ind w:firstLine="555"/>
        <w:spacing w:after="0" w:line="253" w:lineRule="auto"/>
        <w:rPr>
          <w:sz w:val="20"/>
          <w:szCs w:val="20"/>
          <w:color w:val="auto"/>
        </w:rPr>
      </w:pPr>
      <w:r>
        <w:rPr>
          <w:rFonts w:ascii="Times New Roman" w:cs="Times New Roman" w:eastAsia="Times New Roman" w:hAnsi="Times New Roman"/>
          <w:sz w:val="18"/>
          <w:szCs w:val="18"/>
          <w:color w:val="auto"/>
        </w:rPr>
        <w:t xml:space="preserve">As a practical matter, it is sometimes difficult to determine whether you possess material nonpublic information. The key to determining whether nonpublic information you possess about a public company is material nonpublic information is whether dissemination of the information would likely affect the market price of the company’s stock or would likely be considered important, or “material,” by investors who are considering trading in that company’s stock. Certainly, if the information makes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xml:space="preserve"> want to trade, it would probably have the same effect on others. Remember, both positive and negative information can be material. If you possess material nonpublic information, you may not trade in a company’s stock, advise anyone else to do so or communicate the information to anyone else until you know that the information has been publicly disseminated. This means that in some circumstances, you may have to forego a proposed transaction in a company’s securities even if you planned to execute the transaction prior to learning of the material nonpublic information and even though you believe you may suffer an economic loss or sacrifice an anticipated profit by waiting.</w:t>
      </w:r>
    </w:p>
    <w:p>
      <w:pPr>
        <w:spacing w:after="0" w:line="189" w:lineRule="exact"/>
        <w:rPr>
          <w:sz w:val="20"/>
          <w:szCs w:val="20"/>
          <w:color w:val="auto"/>
        </w:rPr>
      </w:pPr>
    </w:p>
    <w:p>
      <w:pPr>
        <w:jc w:val="both"/>
        <w:ind w:firstLine="555"/>
        <w:spacing w:after="0" w:line="280" w:lineRule="auto"/>
        <w:rPr>
          <w:sz w:val="20"/>
          <w:szCs w:val="20"/>
          <w:color w:val="auto"/>
        </w:rPr>
      </w:pPr>
      <w:r>
        <w:rPr>
          <w:rFonts w:ascii="Times New Roman" w:cs="Times New Roman" w:eastAsia="Times New Roman" w:hAnsi="Times New Roman"/>
          <w:sz w:val="18"/>
          <w:szCs w:val="18"/>
          <w:color w:val="auto"/>
        </w:rPr>
        <w:t>Although by no means an all-inclusive list, information about the following items may be considered to be material nonpublic information until it is publicly disseminated:</w:t>
      </w:r>
    </w:p>
    <w:p>
      <w:pPr>
        <w:spacing w:after="0" w:line="162" w:lineRule="exact"/>
        <w:rPr>
          <w:sz w:val="20"/>
          <w:szCs w:val="20"/>
          <w:color w:val="auto"/>
        </w:rPr>
      </w:pPr>
    </w:p>
    <w:p>
      <w:pPr>
        <w:ind w:left="960" w:hanging="327"/>
        <w:spacing w:after="0"/>
        <w:tabs>
          <w:tab w:leader="none" w:pos="9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results or forecasts;</w:t>
      </w:r>
    </w:p>
    <w:p>
      <w:pPr>
        <w:spacing w:after="0" w:line="222" w:lineRule="exact"/>
        <w:rPr>
          <w:rFonts w:ascii="Times New Roman" w:cs="Times New Roman" w:eastAsia="Times New Roman" w:hAnsi="Times New Roman"/>
          <w:sz w:val="18"/>
          <w:szCs w:val="18"/>
          <w:b w:val="1"/>
          <w:bCs w:val="1"/>
          <w:color w:val="auto"/>
        </w:rPr>
      </w:pPr>
    </w:p>
    <w:p>
      <w:pPr>
        <w:ind w:left="960" w:hanging="327"/>
        <w:spacing w:after="0"/>
        <w:tabs>
          <w:tab w:leader="none" w:pos="9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communications with government agencies;</w:t>
      </w:r>
    </w:p>
    <w:p>
      <w:pPr>
        <w:spacing w:after="0" w:line="222" w:lineRule="exact"/>
        <w:rPr>
          <w:rFonts w:ascii="Times New Roman" w:cs="Times New Roman" w:eastAsia="Times New Roman" w:hAnsi="Times New Roman"/>
          <w:sz w:val="18"/>
          <w:szCs w:val="18"/>
          <w:b w:val="1"/>
          <w:bCs w:val="1"/>
          <w:color w:val="auto"/>
        </w:rPr>
      </w:pPr>
    </w:p>
    <w:p>
      <w:pPr>
        <w:ind w:left="960" w:right="540" w:hanging="327"/>
        <w:spacing w:after="0" w:line="280" w:lineRule="auto"/>
        <w:tabs>
          <w:tab w:leader="none" w:pos="9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important business developments such as trial results, developments regarding strategic collaborators or collaborations, or the status of regulatory submissions or approvals;</w:t>
      </w:r>
    </w:p>
    <w:p>
      <w:pPr>
        <w:spacing w:after="0" w:line="161" w:lineRule="exact"/>
        <w:rPr>
          <w:rFonts w:ascii="Times New Roman" w:cs="Times New Roman" w:eastAsia="Times New Roman" w:hAnsi="Times New Roman"/>
          <w:sz w:val="18"/>
          <w:szCs w:val="18"/>
          <w:b w:val="1"/>
          <w:bCs w:val="1"/>
          <w:color w:val="auto"/>
        </w:rPr>
      </w:pPr>
    </w:p>
    <w:p>
      <w:pPr>
        <w:ind w:left="960" w:hanging="327"/>
        <w:spacing w:after="0"/>
        <w:tabs>
          <w:tab w:leader="none" w:pos="9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strategic plans;</w:t>
      </w:r>
    </w:p>
    <w:p>
      <w:pPr>
        <w:spacing w:after="0" w:line="222" w:lineRule="exact"/>
        <w:rPr>
          <w:rFonts w:ascii="Times New Roman" w:cs="Times New Roman" w:eastAsia="Times New Roman" w:hAnsi="Times New Roman"/>
          <w:sz w:val="18"/>
          <w:szCs w:val="18"/>
          <w:b w:val="1"/>
          <w:bCs w:val="1"/>
          <w:color w:val="auto"/>
        </w:rPr>
      </w:pPr>
    </w:p>
    <w:p>
      <w:pPr>
        <w:ind w:left="960" w:hanging="327"/>
        <w:spacing w:after="0"/>
        <w:tabs>
          <w:tab w:leader="none" w:pos="9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discovery and development of new product candidates;</w:t>
      </w:r>
    </w:p>
    <w:p>
      <w:pPr>
        <w:spacing w:after="0" w:line="222" w:lineRule="exact"/>
        <w:rPr>
          <w:rFonts w:ascii="Times New Roman" w:cs="Times New Roman" w:eastAsia="Times New Roman" w:hAnsi="Times New Roman"/>
          <w:sz w:val="18"/>
          <w:szCs w:val="18"/>
          <w:b w:val="1"/>
          <w:bCs w:val="1"/>
          <w:color w:val="auto"/>
        </w:rPr>
      </w:pPr>
    </w:p>
    <w:p>
      <w:pPr>
        <w:ind w:left="960" w:hanging="327"/>
        <w:spacing w:after="0"/>
        <w:tabs>
          <w:tab w:leader="none" w:pos="9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mergers or acquisitions or dispositions of assets, divisions, companies, etc.;</w:t>
      </w:r>
    </w:p>
    <w:p>
      <w:pPr>
        <w:spacing w:after="0" w:line="222" w:lineRule="exact"/>
        <w:rPr>
          <w:rFonts w:ascii="Times New Roman" w:cs="Times New Roman" w:eastAsia="Times New Roman" w:hAnsi="Times New Roman"/>
          <w:sz w:val="18"/>
          <w:szCs w:val="18"/>
          <w:b w:val="1"/>
          <w:bCs w:val="1"/>
          <w:color w:val="auto"/>
        </w:rPr>
      </w:pPr>
    </w:p>
    <w:p>
      <w:pPr>
        <w:ind w:left="960" w:hanging="327"/>
        <w:spacing w:after="0"/>
        <w:tabs>
          <w:tab w:leader="none" w:pos="9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pending public or private sales of debt or equity securities;</w:t>
      </w:r>
    </w:p>
    <w:p>
      <w:pPr>
        <w:spacing w:after="0" w:line="222" w:lineRule="exact"/>
        <w:rPr>
          <w:rFonts w:ascii="Times New Roman" w:cs="Times New Roman" w:eastAsia="Times New Roman" w:hAnsi="Times New Roman"/>
          <w:sz w:val="18"/>
          <w:szCs w:val="18"/>
          <w:b w:val="1"/>
          <w:bCs w:val="1"/>
          <w:color w:val="auto"/>
        </w:rPr>
      </w:pPr>
    </w:p>
    <w:p>
      <w:pPr>
        <w:ind w:left="960" w:hanging="327"/>
        <w:spacing w:after="0"/>
        <w:tabs>
          <w:tab w:leader="none" w:pos="9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declaration of stock splits, dividends or changes in dividend policy;</w:t>
      </w:r>
    </w:p>
    <w:p>
      <w:pPr>
        <w:spacing w:after="0" w:line="222" w:lineRule="exact"/>
        <w:rPr>
          <w:rFonts w:ascii="Times New Roman" w:cs="Times New Roman" w:eastAsia="Times New Roman" w:hAnsi="Times New Roman"/>
          <w:sz w:val="18"/>
          <w:szCs w:val="18"/>
          <w:b w:val="1"/>
          <w:bCs w:val="1"/>
          <w:color w:val="auto"/>
        </w:rPr>
      </w:pPr>
    </w:p>
    <w:p>
      <w:pPr>
        <w:ind w:left="960" w:hanging="327"/>
        <w:spacing w:after="0"/>
        <w:tabs>
          <w:tab w:leader="none" w:pos="9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major contract awards or cancellations;</w:t>
      </w:r>
    </w:p>
    <w:p>
      <w:pPr>
        <w:spacing w:after="0" w:line="222" w:lineRule="exact"/>
        <w:rPr>
          <w:rFonts w:ascii="Times New Roman" w:cs="Times New Roman" w:eastAsia="Times New Roman" w:hAnsi="Times New Roman"/>
          <w:sz w:val="18"/>
          <w:szCs w:val="18"/>
          <w:b w:val="1"/>
          <w:bCs w:val="1"/>
          <w:color w:val="auto"/>
        </w:rPr>
      </w:pPr>
    </w:p>
    <w:p>
      <w:pPr>
        <w:ind w:left="960" w:hanging="327"/>
        <w:spacing w:after="0"/>
        <w:tabs>
          <w:tab w:leader="none" w:pos="9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top management or control changes;</w:t>
      </w:r>
    </w:p>
    <w:p>
      <w:pPr>
        <w:spacing w:after="0" w:line="222" w:lineRule="exact"/>
        <w:rPr>
          <w:rFonts w:ascii="Times New Roman" w:cs="Times New Roman" w:eastAsia="Times New Roman" w:hAnsi="Times New Roman"/>
          <w:sz w:val="18"/>
          <w:szCs w:val="18"/>
          <w:b w:val="1"/>
          <w:bCs w:val="1"/>
          <w:color w:val="auto"/>
        </w:rPr>
      </w:pPr>
    </w:p>
    <w:p>
      <w:pPr>
        <w:ind w:left="960" w:hanging="327"/>
        <w:spacing w:after="0"/>
        <w:tabs>
          <w:tab w:leader="none" w:pos="9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possible tender offers or proxy fights;</w:t>
      </w:r>
    </w:p>
    <w:p>
      <w:pPr>
        <w:spacing w:after="0" w:line="222" w:lineRule="exact"/>
        <w:rPr>
          <w:rFonts w:ascii="Times New Roman" w:cs="Times New Roman" w:eastAsia="Times New Roman" w:hAnsi="Times New Roman"/>
          <w:sz w:val="18"/>
          <w:szCs w:val="18"/>
          <w:b w:val="1"/>
          <w:bCs w:val="1"/>
          <w:color w:val="auto"/>
        </w:rPr>
      </w:pPr>
    </w:p>
    <w:p>
      <w:pPr>
        <w:ind w:left="960" w:hanging="327"/>
        <w:spacing w:after="0"/>
        <w:tabs>
          <w:tab w:leader="none" w:pos="9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writeoffs;</w:t>
      </w:r>
    </w:p>
    <w:p>
      <w:pPr>
        <w:spacing w:after="0" w:line="222" w:lineRule="exact"/>
        <w:rPr>
          <w:rFonts w:ascii="Times New Roman" w:cs="Times New Roman" w:eastAsia="Times New Roman" w:hAnsi="Times New Roman"/>
          <w:sz w:val="18"/>
          <w:szCs w:val="18"/>
          <w:b w:val="1"/>
          <w:bCs w:val="1"/>
          <w:color w:val="auto"/>
        </w:rPr>
      </w:pPr>
    </w:p>
    <w:p>
      <w:pPr>
        <w:ind w:left="960" w:hanging="327"/>
        <w:spacing w:after="0"/>
        <w:tabs>
          <w:tab w:leader="none" w:pos="9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litigation or regulatory actions;</w:t>
      </w:r>
    </w:p>
    <w:p>
      <w:pPr>
        <w:spacing w:after="0" w:line="222" w:lineRule="exact"/>
        <w:rPr>
          <w:rFonts w:ascii="Times New Roman" w:cs="Times New Roman" w:eastAsia="Times New Roman" w:hAnsi="Times New Roman"/>
          <w:sz w:val="18"/>
          <w:szCs w:val="18"/>
          <w:b w:val="1"/>
          <w:bCs w:val="1"/>
          <w:color w:val="auto"/>
        </w:rPr>
      </w:pPr>
    </w:p>
    <w:p>
      <w:pPr>
        <w:ind w:left="960" w:hanging="327"/>
        <w:spacing w:after="0"/>
        <w:tabs>
          <w:tab w:leader="none" w:pos="9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impending bankruptcy;</w:t>
      </w:r>
    </w:p>
    <w:p>
      <w:pPr>
        <w:spacing w:after="0" w:line="222" w:lineRule="exact"/>
        <w:rPr>
          <w:rFonts w:ascii="Times New Roman" w:cs="Times New Roman" w:eastAsia="Times New Roman" w:hAnsi="Times New Roman"/>
          <w:sz w:val="18"/>
          <w:szCs w:val="18"/>
          <w:b w:val="1"/>
          <w:bCs w:val="1"/>
          <w:color w:val="auto"/>
        </w:rPr>
      </w:pPr>
    </w:p>
    <w:p>
      <w:pPr>
        <w:ind w:left="960" w:hanging="327"/>
        <w:spacing w:after="0"/>
        <w:tabs>
          <w:tab w:leader="none" w:pos="9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gain or loss of significant partners, customers or suppliers;</w:t>
      </w:r>
    </w:p>
    <w:p>
      <w:pPr>
        <w:spacing w:after="0" w:line="222" w:lineRule="exact"/>
        <w:rPr>
          <w:rFonts w:ascii="Times New Roman" w:cs="Times New Roman" w:eastAsia="Times New Roman" w:hAnsi="Times New Roman"/>
          <w:sz w:val="18"/>
          <w:szCs w:val="18"/>
          <w:b w:val="1"/>
          <w:bCs w:val="1"/>
          <w:color w:val="auto"/>
        </w:rPr>
      </w:pPr>
    </w:p>
    <w:p>
      <w:pPr>
        <w:ind w:left="960" w:hanging="327"/>
        <w:spacing w:after="0"/>
        <w:tabs>
          <w:tab w:leader="none" w:pos="9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pricing changes or discount policies;</w:t>
      </w:r>
    </w:p>
    <w:p>
      <w:pPr>
        <w:sectPr>
          <w:pgSz w:w="11900" w:h="16838" w:orient="portrait"/>
          <w:cols w:equalWidth="0" w:num="1">
            <w:col w:w="11140"/>
          </w:cols>
          <w:pgMar w:left="420" w:top="117" w:right="339" w:bottom="0" w:gutter="0" w:footer="0" w:header="0"/>
        </w:sectPr>
      </w:pPr>
    </w:p>
    <w:bookmarkStart w:id="209" w:name="page210"/>
    <w:bookmarkEnd w:id="209"/>
    <w:p>
      <w:pPr>
        <w:ind w:left="960" w:hanging="327"/>
        <w:spacing w:after="0"/>
        <w:tabs>
          <w:tab w:leader="none" w:pos="96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corporate partner relationships; and</w:t>
      </w:r>
    </w:p>
    <w:p>
      <w:pPr>
        <w:spacing w:after="0" w:line="222" w:lineRule="exact"/>
        <w:rPr>
          <w:rFonts w:ascii="Times New Roman" w:cs="Times New Roman" w:eastAsia="Times New Roman" w:hAnsi="Times New Roman"/>
          <w:sz w:val="18"/>
          <w:szCs w:val="18"/>
          <w:b w:val="1"/>
          <w:bCs w:val="1"/>
          <w:color w:val="auto"/>
        </w:rPr>
      </w:pPr>
    </w:p>
    <w:p>
      <w:pPr>
        <w:ind w:left="960" w:hanging="327"/>
        <w:spacing w:after="0"/>
        <w:tabs>
          <w:tab w:leader="none" w:pos="96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notice of issuance of patents.</w:t>
      </w:r>
    </w:p>
    <w:p>
      <w:pPr>
        <w:spacing w:after="0" w:line="223"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For information to be considered publicly disseminated, it must be widely disclosed through a press release or filing with the Securities and Exchange Commission, and a sufficient amount of time must have passed to allow the information to be fully absorbed by the market after being disclosed. The circulation of rumors, even if accurate and reported in the media, does not constitute public dissemination. Please consult with the Chief Legal Officer if you have questions about whether certain information has been publicly disseminated.</w:t>
      </w:r>
    </w:p>
    <w:p>
      <w:pPr>
        <w:spacing w:after="0" w:line="177" w:lineRule="exact"/>
        <w:rPr>
          <w:sz w:val="20"/>
          <w:szCs w:val="20"/>
          <w:color w:val="auto"/>
        </w:rPr>
      </w:pPr>
    </w:p>
    <w:p>
      <w:pPr>
        <w:ind w:left="960" w:hanging="327"/>
        <w:spacing w:after="0"/>
        <w:tabs>
          <w:tab w:leader="none" w:pos="9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TRADING BY DIRECTORS, OFFICERS AND OTHER EMPLOYEES</w:t>
      </w:r>
    </w:p>
    <w:p>
      <w:pPr>
        <w:spacing w:after="0" w:line="22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Because the officers and directors and certain members of management of the Company are the most visible to the public and are most likely, in the view of the public, to possess material nonpublic information about the Company, we require that they notify, and receive approval from, a Clearing Officer (as defined below) prior to engaging in transactions in the Company’s securities and observe other restrictions designed to minimize the risk of apparent or actual insider trading. We also require that employees limit their transactions in the Company’s securities to defined time periods following public dissemination of quarterly and annual financial results.</w:t>
      </w:r>
    </w:p>
    <w:p>
      <w:pPr>
        <w:spacing w:after="0" w:line="184" w:lineRule="exact"/>
        <w:rPr>
          <w:sz w:val="20"/>
          <w:szCs w:val="20"/>
          <w:color w:val="auto"/>
        </w:rPr>
      </w:pPr>
    </w:p>
    <w:p>
      <w:pPr>
        <w:ind w:left="960"/>
        <w:spacing w:after="0"/>
        <w:tabs>
          <w:tab w:leader="none" w:pos="1260" w:val="left"/>
        </w:tabs>
        <w:rPr>
          <w:sz w:val="20"/>
          <w:szCs w:val="20"/>
          <w:color w:val="auto"/>
        </w:rPr>
      </w:pPr>
      <w:r>
        <w:rPr>
          <w:rFonts w:ascii="Times New Roman" w:cs="Times New Roman" w:eastAsia="Times New Roman" w:hAnsi="Times New Roman"/>
          <w:sz w:val="18"/>
          <w:szCs w:val="18"/>
          <w:i w:val="1"/>
          <w:iCs w:val="1"/>
          <w:color w:val="auto"/>
        </w:rPr>
        <w:t>C.</w:t>
      </w:r>
      <w:r>
        <w:rPr>
          <w:sz w:val="20"/>
          <w:szCs w:val="20"/>
          <w:color w:val="auto"/>
        </w:rPr>
        <w:tab/>
      </w:r>
      <w:r>
        <w:rPr>
          <w:rFonts w:ascii="Times New Roman" w:cs="Times New Roman" w:eastAsia="Times New Roman" w:hAnsi="Times New Roman"/>
          <w:sz w:val="17"/>
          <w:szCs w:val="17"/>
          <w:i w:val="1"/>
          <w:iCs w:val="1"/>
          <w:color w:val="auto"/>
        </w:rPr>
        <w:t>Covered Insiders</w:t>
      </w:r>
    </w:p>
    <w:p>
      <w:pPr>
        <w:spacing w:after="0" w:line="225"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provisions outlined in this policy apply to all directors, officers, and employees of the Company. Any entities or family members whose trading activities are controlled or influenced by any of such persons, including any members of such persons’ households (whether or not they are family members), are subject to the same restrictions.</w:t>
      </w:r>
    </w:p>
    <w:p>
      <w:pPr>
        <w:spacing w:after="0" w:line="175" w:lineRule="exact"/>
        <w:rPr>
          <w:sz w:val="20"/>
          <w:szCs w:val="20"/>
          <w:color w:val="auto"/>
        </w:rPr>
      </w:pPr>
    </w:p>
    <w:p>
      <w:pPr>
        <w:ind w:left="960"/>
        <w:spacing w:after="0"/>
        <w:tabs>
          <w:tab w:leader="none" w:pos="1260" w:val="left"/>
        </w:tabs>
        <w:rPr>
          <w:sz w:val="20"/>
          <w:szCs w:val="20"/>
          <w:color w:val="auto"/>
        </w:rPr>
      </w:pPr>
      <w:r>
        <w:rPr>
          <w:rFonts w:ascii="Times New Roman" w:cs="Times New Roman" w:eastAsia="Times New Roman" w:hAnsi="Times New Roman"/>
          <w:sz w:val="18"/>
          <w:szCs w:val="18"/>
          <w:i w:val="1"/>
          <w:iCs w:val="1"/>
          <w:color w:val="auto"/>
        </w:rPr>
        <w:t>D.</w:t>
      </w:r>
      <w:r>
        <w:rPr>
          <w:sz w:val="20"/>
          <w:szCs w:val="20"/>
          <w:color w:val="auto"/>
        </w:rPr>
        <w:tab/>
      </w:r>
      <w:r>
        <w:rPr>
          <w:rFonts w:ascii="Times New Roman" w:cs="Times New Roman" w:eastAsia="Times New Roman" w:hAnsi="Times New Roman"/>
          <w:sz w:val="17"/>
          <w:szCs w:val="17"/>
          <w:i w:val="1"/>
          <w:iCs w:val="1"/>
          <w:color w:val="auto"/>
        </w:rPr>
        <w:t>Window Period</w:t>
      </w:r>
    </w:p>
    <w:p>
      <w:pPr>
        <w:spacing w:after="0" w:line="225" w:lineRule="exact"/>
        <w:rPr>
          <w:sz w:val="20"/>
          <w:szCs w:val="20"/>
          <w:color w:val="auto"/>
        </w:rPr>
      </w:pPr>
    </w:p>
    <w:p>
      <w:pPr>
        <w:jc w:val="both"/>
        <w:ind w:left="80" w:firstLine="573"/>
        <w:spacing w:after="0" w:line="255" w:lineRule="auto"/>
        <w:rPr>
          <w:sz w:val="20"/>
          <w:szCs w:val="20"/>
          <w:color w:val="auto"/>
        </w:rPr>
      </w:pPr>
      <w:r>
        <w:rPr>
          <w:rFonts w:ascii="Times New Roman" w:cs="Times New Roman" w:eastAsia="Times New Roman" w:hAnsi="Times New Roman"/>
          <w:sz w:val="18"/>
          <w:szCs w:val="18"/>
          <w:color w:val="auto"/>
        </w:rPr>
        <w:t>Generally, except as set forth in this paragraph B and in paragraphs C, D and G of Section III of this policy, directors, officers and employees may transact in securities of the Company only during a “</w:t>
      </w:r>
      <w:r>
        <w:rPr>
          <w:rFonts w:ascii="Times New Roman" w:cs="Times New Roman" w:eastAsia="Times New Roman" w:hAnsi="Times New Roman"/>
          <w:sz w:val="18"/>
          <w:szCs w:val="18"/>
          <w:b w:val="1"/>
          <w:bCs w:val="1"/>
          <w:i w:val="1"/>
          <w:iCs w:val="1"/>
          <w:color w:val="auto"/>
        </w:rPr>
        <w:t>window period</w:t>
      </w:r>
      <w:r>
        <w:rPr>
          <w:rFonts w:ascii="Times New Roman" w:cs="Times New Roman" w:eastAsia="Times New Roman" w:hAnsi="Times New Roman"/>
          <w:sz w:val="18"/>
          <w:szCs w:val="18"/>
          <w:color w:val="auto"/>
        </w:rPr>
        <w:t>” that opens after two full trading days have elapsed after the public dissemination of the Company’s annual or quarterly financial results and closes on the last trading day before the end of the quarter. This window period may be closed early or may not open if, in the judgment of the Company’s Chief Legal Officer, there exists undisclosed information that would make trades inappropriate. It is important to note that the fact that the window period has closed early or has not opened should be considered material nonpublic information. Any proposed trade outside of the window period must be pre-cleared by the Clearing Officer.</w:t>
      </w:r>
    </w:p>
    <w:p>
      <w:pPr>
        <w:spacing w:after="0" w:line="183" w:lineRule="exact"/>
        <w:rPr>
          <w:sz w:val="20"/>
          <w:szCs w:val="20"/>
          <w:color w:val="auto"/>
        </w:rPr>
      </w:pPr>
    </w:p>
    <w:p>
      <w:pPr>
        <w:ind w:left="1280" w:hanging="324"/>
        <w:spacing w:after="0"/>
        <w:tabs>
          <w:tab w:leader="none" w:pos="1280" w:val="left"/>
        </w:tabs>
        <w:numPr>
          <w:ilvl w:val="0"/>
          <w:numId w:val="17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Exceptions to Window Period</w:t>
      </w:r>
    </w:p>
    <w:p>
      <w:pPr>
        <w:spacing w:after="0" w:line="220" w:lineRule="exact"/>
        <w:rPr>
          <w:rFonts w:ascii="Times New Roman" w:cs="Times New Roman" w:eastAsia="Times New Roman" w:hAnsi="Times New Roman"/>
          <w:sz w:val="18"/>
          <w:szCs w:val="18"/>
          <w:i w:val="1"/>
          <w:iCs w:val="1"/>
          <w:color w:val="auto"/>
        </w:rPr>
      </w:pPr>
    </w:p>
    <w:p>
      <w:pPr>
        <w:ind w:right="20" w:firstLine="1287"/>
        <w:spacing w:after="0" w:line="261" w:lineRule="auto"/>
        <w:tabs>
          <w:tab w:leader="none" w:pos="1603" w:val="left"/>
        </w:tabs>
        <w:numPr>
          <w:ilvl w:val="1"/>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Option Exercises. </w:t>
      </w:r>
      <w:r>
        <w:rPr>
          <w:rFonts w:ascii="Times New Roman" w:cs="Times New Roman" w:eastAsia="Times New Roman" w:hAnsi="Times New Roman"/>
          <w:sz w:val="18"/>
          <w:szCs w:val="18"/>
          <w:color w:val="auto"/>
        </w:rPr>
        <w:t>Directors, officers, and employees may exercise options granted under the Company’s stock option plans for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surrender shares to the Company in payment of the exercise price or in satisfaction of any tax withholding obligations in a manner permitted by the applicable equity award agreement] without restriction to any particular period. However, the subsequent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xml:space="preserve"> of the stock (including sales of stock in a cashless exercise) acquired upon the exercise of options is subject to all provisions of this policy.</w:t>
      </w:r>
    </w:p>
    <w:p>
      <w:pPr>
        <w:spacing w:after="0" w:line="174" w:lineRule="exact"/>
        <w:rPr>
          <w:rFonts w:ascii="Times New Roman" w:cs="Times New Roman" w:eastAsia="Times New Roman" w:hAnsi="Times New Roman"/>
          <w:sz w:val="18"/>
          <w:szCs w:val="18"/>
          <w:b w:val="1"/>
          <w:bCs w:val="1"/>
          <w:color w:val="auto"/>
        </w:rPr>
      </w:pPr>
    </w:p>
    <w:p>
      <w:pPr>
        <w:ind w:right="60" w:firstLine="1287"/>
        <w:spacing w:after="0" w:line="261" w:lineRule="auto"/>
        <w:tabs>
          <w:tab w:leader="none" w:pos="1603" w:val="left"/>
        </w:tabs>
        <w:numPr>
          <w:ilvl w:val="1"/>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10b5-1 Trading Plans. </w:t>
      </w:r>
      <w:r>
        <w:rPr>
          <w:rFonts w:ascii="Times New Roman" w:cs="Times New Roman" w:eastAsia="Times New Roman" w:hAnsi="Times New Roman"/>
          <w:sz w:val="18"/>
          <w:szCs w:val="18"/>
          <w:color w:val="auto"/>
        </w:rPr>
        <w:t>Purchases or sales of the Company’s securities made pursuant to, and in compliance with, a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written contract, plan, or instruction established by a director, officer or employee (a “</w:t>
      </w:r>
      <w:r>
        <w:rPr>
          <w:rFonts w:ascii="Times New Roman" w:cs="Times New Roman" w:eastAsia="Times New Roman" w:hAnsi="Times New Roman"/>
          <w:sz w:val="18"/>
          <w:szCs w:val="18"/>
          <w:b w:val="1"/>
          <w:bCs w:val="1"/>
          <w:i w:val="1"/>
          <w:iCs w:val="1"/>
          <w:color w:val="auto"/>
        </w:rPr>
        <w:t>Trading Plan</w:t>
      </w:r>
      <w:r>
        <w:rPr>
          <w:rFonts w:ascii="Times New Roman" w:cs="Times New Roman" w:eastAsia="Times New Roman" w:hAnsi="Times New Roman"/>
          <w:sz w:val="18"/>
          <w:szCs w:val="18"/>
          <w:color w:val="auto"/>
        </w:rPr>
        <w:t>”) that meets the requirements of Rule 10b5-1 (“</w:t>
      </w:r>
      <w:r>
        <w:rPr>
          <w:rFonts w:ascii="Times New Roman" w:cs="Times New Roman" w:eastAsia="Times New Roman" w:hAnsi="Times New Roman"/>
          <w:sz w:val="18"/>
          <w:szCs w:val="18"/>
          <w:b w:val="1"/>
          <w:bCs w:val="1"/>
          <w:i w:val="1"/>
          <w:iCs w:val="1"/>
          <w:color w:val="auto"/>
        </w:rPr>
        <w:t>Rule 10b5-1</w:t>
      </w:r>
      <w:r>
        <w:rPr>
          <w:rFonts w:ascii="Times New Roman" w:cs="Times New Roman" w:eastAsia="Times New Roman" w:hAnsi="Times New Roman"/>
          <w:sz w:val="18"/>
          <w:szCs w:val="18"/>
          <w:color w:val="auto"/>
        </w:rPr>
        <w:t>”)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that has been preapproved by a Clearing Officer may be made without restriction to any particular period.</w:t>
      </w:r>
    </w:p>
    <w:p>
      <w:pPr>
        <w:spacing w:after="0" w:line="179" w:lineRule="exact"/>
        <w:rPr>
          <w:sz w:val="20"/>
          <w:szCs w:val="20"/>
          <w:color w:val="auto"/>
        </w:rPr>
      </w:pPr>
    </w:p>
    <w:p>
      <w:pPr>
        <w:jc w:val="both"/>
        <w:ind w:left="80" w:firstLine="573"/>
        <w:spacing w:after="0" w:line="264" w:lineRule="auto"/>
        <w:rPr>
          <w:sz w:val="20"/>
          <w:szCs w:val="20"/>
          <w:color w:val="auto"/>
        </w:rPr>
      </w:pPr>
      <w:r>
        <w:rPr>
          <w:rFonts w:ascii="Times New Roman" w:cs="Times New Roman" w:eastAsia="Times New Roman" w:hAnsi="Times New Roman"/>
          <w:sz w:val="18"/>
          <w:szCs w:val="18"/>
          <w:color w:val="auto"/>
        </w:rPr>
        <w:t>The Clearing Officer may impose such other conditions on the implementation and operation of the Trading Plan as the Clearing Officer deems necessary or advisable. Individuals may not adopt more than one Trading Plan at a time except under the limited circumstances permitted by Rule 10b5-1 and subject to preapproval by the Clearing Officer.</w:t>
      </w:r>
    </w:p>
    <w:p>
      <w:pPr>
        <w:spacing w:after="0" w:line="173" w:lineRule="exact"/>
        <w:rPr>
          <w:sz w:val="20"/>
          <w:szCs w:val="20"/>
          <w:color w:val="auto"/>
        </w:rPr>
      </w:pPr>
    </w:p>
    <w:p>
      <w:pPr>
        <w:ind w:right="360" w:firstLine="1287"/>
        <w:spacing w:after="0" w:line="284" w:lineRule="auto"/>
        <w:tabs>
          <w:tab w:leader="none" w:pos="1603"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Non-Rule 10b5-1 Trading Arrangements. </w:t>
      </w:r>
      <w:r>
        <w:rPr>
          <w:rFonts w:ascii="Times New Roman" w:cs="Times New Roman" w:eastAsia="Times New Roman" w:hAnsi="Times New Roman"/>
          <w:sz w:val="18"/>
          <w:szCs w:val="18"/>
          <w:color w:val="auto"/>
        </w:rPr>
        <w:t>Purchases or sales of the Company’s securities made pursuant to “</w:t>
      </w:r>
      <w:r>
        <w:rPr>
          <w:rFonts w:ascii="Times New Roman" w:cs="Times New Roman" w:eastAsia="Times New Roman" w:hAnsi="Times New Roman"/>
          <w:sz w:val="18"/>
          <w:szCs w:val="18"/>
          <w:b w:val="1"/>
          <w:bCs w:val="1"/>
          <w:i w:val="1"/>
          <w:iCs w:val="1"/>
          <w:color w:val="auto"/>
        </w:rPr>
        <w:t>non-Rule 10b5-1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trading arrangement</w:t>
      </w:r>
      <w:r>
        <w:rPr>
          <w:rFonts w:ascii="Times New Roman" w:cs="Times New Roman" w:eastAsia="Times New Roman" w:hAnsi="Times New Roman"/>
          <w:sz w:val="18"/>
          <w:szCs w:val="18"/>
          <w:color w:val="auto"/>
        </w:rPr>
        <w:t>” as defined in Item 408(c) of Regulation S-K that has been preapproved by a Clearing Officer.</w:t>
      </w:r>
    </w:p>
    <w:p>
      <w:pPr>
        <w:spacing w:after="0" w:line="159" w:lineRule="exact"/>
        <w:rPr>
          <w:sz w:val="20"/>
          <w:szCs w:val="20"/>
          <w:color w:val="auto"/>
        </w:rPr>
      </w:pPr>
    </w:p>
    <w:p>
      <w:pPr>
        <w:jc w:val="both"/>
        <w:ind w:left="80" w:firstLine="573"/>
        <w:spacing w:after="0" w:line="259" w:lineRule="auto"/>
        <w:rPr>
          <w:sz w:val="20"/>
          <w:szCs w:val="20"/>
          <w:color w:val="auto"/>
        </w:rPr>
      </w:pPr>
      <w:r>
        <w:rPr>
          <w:rFonts w:ascii="Times New Roman" w:cs="Times New Roman" w:eastAsia="Times New Roman" w:hAnsi="Times New Roman"/>
          <w:sz w:val="18"/>
          <w:szCs w:val="18"/>
          <w:color w:val="auto"/>
        </w:rPr>
        <w:t>An individual may only modify a Trading Plan or non-Rule 10b5-1 trading arrangement outside of a closed trading window and, in any event, when the individual does not possess material nonpublic information. Modifications to and terminations of a Trading Plan or non-Rule 10b5-1 trading arrangement are subject to preapproval by the Clearing Officer and modifications of a Trading Plan that change the amount, price, or timing of the purchase or sale of the securities underlying a Trading Plan will trigger a new Cooling-Off Period.</w:t>
      </w:r>
    </w:p>
    <w:p>
      <w:pPr>
        <w:spacing w:after="0" w:line="181" w:lineRule="exact"/>
        <w:rPr>
          <w:sz w:val="20"/>
          <w:szCs w:val="20"/>
          <w:color w:val="auto"/>
        </w:rPr>
      </w:pPr>
    </w:p>
    <w:p>
      <w:pPr>
        <w:jc w:val="both"/>
        <w:ind w:left="80" w:firstLine="573"/>
        <w:spacing w:after="0" w:line="264" w:lineRule="auto"/>
        <w:rPr>
          <w:sz w:val="20"/>
          <w:szCs w:val="20"/>
          <w:color w:val="auto"/>
        </w:rPr>
      </w:pPr>
      <w:r>
        <w:rPr>
          <w:rFonts w:ascii="Times New Roman" w:cs="Times New Roman" w:eastAsia="Times New Roman" w:hAnsi="Times New Roman"/>
          <w:sz w:val="18"/>
          <w:szCs w:val="18"/>
          <w:color w:val="auto"/>
        </w:rPr>
        <w:t>The Company also reserves the right from time to time to suspend, discontinue, or otherwise prohibit transactions under a Trading Plan or non-Rule 10b5-1 trading arrangement if the Clearing Officer or the Board of Directors, in its discretion, determines that such suspension, discontinuation, or other prohibition is in the best interests of the Company.</w:t>
      </w:r>
    </w:p>
    <w:p>
      <w:pPr>
        <w:spacing w:after="0" w:line="177" w:lineRule="exact"/>
        <w:rPr>
          <w:sz w:val="20"/>
          <w:szCs w:val="20"/>
          <w:color w:val="auto"/>
        </w:rPr>
      </w:pPr>
    </w:p>
    <w:p>
      <w:pPr>
        <w:jc w:val="both"/>
        <w:ind w:left="80" w:firstLine="573"/>
        <w:spacing w:after="0" w:line="255" w:lineRule="auto"/>
        <w:rPr>
          <w:sz w:val="20"/>
          <w:szCs w:val="20"/>
          <w:color w:val="auto"/>
        </w:rPr>
      </w:pPr>
      <w:r>
        <w:rPr>
          <w:rFonts w:ascii="Times New Roman" w:cs="Times New Roman" w:eastAsia="Times New Roman" w:hAnsi="Times New Roman"/>
          <w:sz w:val="18"/>
          <w:szCs w:val="18"/>
          <w:color w:val="auto"/>
        </w:rPr>
        <w:t>Compliance of a Trading Plan with the terms of Rule 10b5-1 and the execution of transactions pursuant to the Trading Plan are the sole responsibility of the person initiating the Trading Plan, and none of the Company, the Clearing Officer, or the Company’s other employees assumes any liability for any delay in reviewing and/or refusing to approve a Trading Plan or non-Rule 10b5-1 trading arrangement submitted for approval, nor the legality or consequences relating to a person entering into, informing the Company of, or trading under, a Trading Plan or non-Rule 10b5-1 trading arrangement. The Clearing Officer must preapprove the establishment, amendment to or termination of such Trading Plan or non-Rule 10b5-1 trading arrangement.</w:t>
      </w:r>
    </w:p>
    <w:p>
      <w:pPr>
        <w:spacing w:after="0" w:line="183" w:lineRule="exact"/>
        <w:rPr>
          <w:sz w:val="20"/>
          <w:szCs w:val="20"/>
          <w:color w:val="auto"/>
        </w:rPr>
      </w:pPr>
    </w:p>
    <w:p>
      <w:pPr>
        <w:ind w:left="1280" w:hanging="324"/>
        <w:spacing w:after="0"/>
        <w:tabs>
          <w:tab w:leader="none" w:pos="1280" w:val="left"/>
        </w:tabs>
        <w:numPr>
          <w:ilvl w:val="0"/>
          <w:numId w:val="17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Pre-Clearance and Advance Notice of Transactions</w:t>
      </w:r>
    </w:p>
    <w:p>
      <w:pPr>
        <w:spacing w:after="0" w:line="225"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In addition to the requirements of paragraph B above, officers and directors may not engage in any transaction in the Company’s securities, including any purchase or sale in the open market, loan, option exercise, gift or other transfer of beneficial ownership without first obtaining pre-clearance of the transaction from the Company’s Chief Legal Officer or his or her designee (each, a “</w:t>
      </w:r>
      <w:r>
        <w:rPr>
          <w:rFonts w:ascii="Times New Roman" w:cs="Times New Roman" w:eastAsia="Times New Roman" w:hAnsi="Times New Roman"/>
          <w:sz w:val="18"/>
          <w:szCs w:val="18"/>
          <w:b w:val="1"/>
          <w:bCs w:val="1"/>
          <w:i w:val="1"/>
          <w:iCs w:val="1"/>
          <w:color w:val="auto"/>
        </w:rPr>
        <w:t>Clearing Officer</w:t>
      </w:r>
      <w:r>
        <w:rPr>
          <w:rFonts w:ascii="Times New Roman" w:cs="Times New Roman" w:eastAsia="Times New Roman" w:hAnsi="Times New Roman"/>
          <w:sz w:val="18"/>
          <w:szCs w:val="18"/>
          <w:color w:val="auto"/>
        </w:rPr>
        <w:t>”) at least two business days in advance of the proposed transaction. The Clearing Officer will then determine whether the transaction may proceed and, if so, will direct the Compliance Coordinator (as identified in the Company’s Section 16 Compliance Program) to assist in complying with the reporting requirements under Section 16(a) of the Exchange Act, if any. Pre-cleared transactions not completed within ten business days shall require new pre- clearance under the provisions of this paragraph. The Company may, at its discretion, shorten such period of time.</w:t>
      </w:r>
    </w:p>
    <w:p>
      <w:pPr>
        <w:sectPr>
          <w:pgSz w:w="11900" w:h="16838" w:orient="portrait"/>
          <w:cols w:equalWidth="0" w:num="1">
            <w:col w:w="11140"/>
          </w:cols>
          <w:pgMar w:left="420" w:top="121" w:right="339" w:bottom="0" w:gutter="0" w:footer="0" w:header="0"/>
        </w:sectPr>
      </w:pPr>
    </w:p>
    <w:bookmarkStart w:id="210" w:name="page211"/>
    <w:bookmarkEnd w:id="210"/>
    <w:p>
      <w:pPr>
        <w:ind w:left="960"/>
        <w:spacing w:after="0"/>
        <w:tabs>
          <w:tab w:leader="none" w:pos="1260" w:val="left"/>
        </w:tabs>
        <w:rPr>
          <w:sz w:val="20"/>
          <w:szCs w:val="20"/>
          <w:color w:val="auto"/>
        </w:rPr>
      </w:pPr>
      <w:r>
        <w:rPr>
          <w:rFonts w:ascii="Times New Roman" w:cs="Times New Roman" w:eastAsia="Times New Roman" w:hAnsi="Times New Roman"/>
          <w:sz w:val="18"/>
          <w:szCs w:val="18"/>
          <w:i w:val="1"/>
          <w:iCs w:val="1"/>
          <w:color w:val="auto"/>
        </w:rPr>
        <w:t>G.</w:t>
      </w:r>
      <w:r>
        <w:rPr>
          <w:sz w:val="20"/>
          <w:szCs w:val="20"/>
          <w:color w:val="auto"/>
        </w:rPr>
        <w:tab/>
      </w:r>
      <w:r>
        <w:rPr>
          <w:rFonts w:ascii="Times New Roman" w:cs="Times New Roman" w:eastAsia="Times New Roman" w:hAnsi="Times New Roman"/>
          <w:sz w:val="17"/>
          <w:szCs w:val="17"/>
          <w:i w:val="1"/>
          <w:iCs w:val="1"/>
          <w:color w:val="auto"/>
        </w:rPr>
        <w:t>Prohibition of Speculative or Short-term Trading</w:t>
      </w:r>
    </w:p>
    <w:p>
      <w:pPr>
        <w:spacing w:after="0" w:line="225"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No employee, officer, or director may engage in short sales, transactions in put or call options, hedging transactions (including prepaid variable forward contracts, equity swaps, collars, and exchange funds), or other inherently speculative transactions or transactions that hedge or offset, or are designed to hedge or offset, any decrease in the market value of the Company’s securities at any time.</w:t>
      </w:r>
    </w:p>
    <w:p>
      <w:pPr>
        <w:spacing w:after="0" w:line="175" w:lineRule="exact"/>
        <w:rPr>
          <w:sz w:val="20"/>
          <w:szCs w:val="20"/>
          <w:color w:val="auto"/>
        </w:rPr>
      </w:pPr>
    </w:p>
    <w:p>
      <w:pPr>
        <w:ind w:left="960"/>
        <w:spacing w:after="0"/>
        <w:tabs>
          <w:tab w:leader="none" w:pos="1260" w:val="left"/>
        </w:tabs>
        <w:rPr>
          <w:sz w:val="20"/>
          <w:szCs w:val="20"/>
          <w:color w:val="auto"/>
        </w:rPr>
      </w:pPr>
      <w:r>
        <w:rPr>
          <w:rFonts w:ascii="Times New Roman" w:cs="Times New Roman" w:eastAsia="Times New Roman" w:hAnsi="Times New Roman"/>
          <w:sz w:val="18"/>
          <w:szCs w:val="18"/>
          <w:i w:val="1"/>
          <w:iCs w:val="1"/>
          <w:color w:val="auto"/>
        </w:rPr>
        <w:t>H.</w:t>
      </w:r>
      <w:r>
        <w:rPr>
          <w:sz w:val="20"/>
          <w:szCs w:val="20"/>
          <w:color w:val="auto"/>
        </w:rPr>
        <w:tab/>
      </w:r>
      <w:r>
        <w:rPr>
          <w:rFonts w:ascii="Times New Roman" w:cs="Times New Roman" w:eastAsia="Times New Roman" w:hAnsi="Times New Roman"/>
          <w:sz w:val="17"/>
          <w:szCs w:val="17"/>
          <w:i w:val="1"/>
          <w:iCs w:val="1"/>
          <w:color w:val="auto"/>
        </w:rPr>
        <w:t>Prohibition on Pledging and Margin Loans.</w:t>
      </w:r>
    </w:p>
    <w:p>
      <w:pPr>
        <w:spacing w:after="0" w:line="225"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Individuals are also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 the Company’s equity plans.</w:t>
      </w:r>
    </w:p>
    <w:p>
      <w:pPr>
        <w:spacing w:after="0" w:line="175" w:lineRule="exact"/>
        <w:rPr>
          <w:sz w:val="20"/>
          <w:szCs w:val="20"/>
          <w:color w:val="auto"/>
        </w:rPr>
      </w:pPr>
    </w:p>
    <w:p>
      <w:pPr>
        <w:ind w:left="1280" w:hanging="324"/>
        <w:spacing w:after="0"/>
        <w:tabs>
          <w:tab w:leader="none" w:pos="1280" w:val="left"/>
        </w:tabs>
        <w:numPr>
          <w:ilvl w:val="0"/>
          <w:numId w:val="17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Short-Swing Trading/Control Stock/Section 16 Reports</w:t>
      </w:r>
    </w:p>
    <w:p>
      <w:pPr>
        <w:spacing w:after="0" w:line="225"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Officers and directors subject to the reporting obligations under Section 16 of the Exchange Act should take care not to violate the prohibition on short-swing trading (Section 16(b) of the Exchange Act) and the restrictions on sales by control persons (Rule 144 under the Securities Act of 1933, as amended), and should file all appropriate Section 16(a) reports (Forms 3, 4 and 5), which are enumerated and described in the Company’s Section 16 Compliance Program, and any notices of sale required by Rule 144.</w:t>
      </w:r>
    </w:p>
    <w:p>
      <w:pPr>
        <w:spacing w:after="0" w:line="179" w:lineRule="exact"/>
        <w:rPr>
          <w:sz w:val="20"/>
          <w:szCs w:val="20"/>
          <w:color w:val="auto"/>
        </w:rPr>
      </w:pPr>
    </w:p>
    <w:p>
      <w:pPr>
        <w:ind w:left="1280" w:hanging="324"/>
        <w:spacing w:after="0"/>
        <w:tabs>
          <w:tab w:leader="none" w:pos="1280" w:val="left"/>
        </w:tabs>
        <w:numPr>
          <w:ilvl w:val="0"/>
          <w:numId w:val="1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Prohibition of Trading During Pension Fund Blackouts</w:t>
      </w:r>
    </w:p>
    <w:p>
      <w:pPr>
        <w:spacing w:after="0" w:line="225"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In accordance with Regulation BTR under the Exchange Act, no director or executive officer of the Company shall, directly or indirectly, purchase, sell or otherwise acquire or transfer any equity security of the Company (other than an exempt security) during any “blackout period’’ (as defined in Regulation BTR) with respect to such equity security, if such director or executive officer acquires or previously acquired such equity security in connection with his or her service or employment as a director or executive officer. This prohibition shall not apply to any transactions that are specifically exempted from Section 306(a)(1) of the Sarbanes-Oxley Act of 2002 (as set forth in Regulation BTR), including but not limited to, purchases or sales of the Company’s securities made pursuant to, and in compliance with, a Trading Plan; compensatory grants or awards of equity securities pursuant to a plan that, by its terms, permits executive officers and directors to receive automatic grants or awards and specifies the terms of the grants and awards; acquisitions or dispositions of equity securities involving a bona fide gift or by will or the laws of descent or pursuant to a domestic relations order; etc. The Company shall timely notify each director and executive officer of any blackout periods in accordance with the provisions of Regulation BTR.</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IV. Duration of Policy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Applicability</w:t>
      </w:r>
    </w:p>
    <w:p>
      <w:pPr>
        <w:spacing w:after="0" w:line="227"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If you are in possession of material nonpublic information when your relationship with the Company concludes, you may not trade in the Company’s securities or the securities of such other company until the information has been publicly disseminated or is no longer material.</w:t>
      </w:r>
    </w:p>
    <w:p>
      <w:pPr>
        <w:spacing w:after="0" w:line="158"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V.</w:t>
        <w:tab/>
        <w:t>Penalties</w:t>
      </w:r>
    </w:p>
    <w:p>
      <w:pPr>
        <w:spacing w:after="0" w:line="22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Anyone who effects transactions in the Company’s securities or the securities of other public companies (or provides information to enable others to do so) on the basis of material nonpublic information is subject to both civil liability and criminal penalties, as well as disciplinary action by the Company. An employee, officer, director or consultant who has questions about this policy should contact his or her own attorney or the Clearing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212090</wp:posOffset>
            </wp:positionV>
            <wp:extent cx="713295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40"/>
          </w:cols>
          <w:pgMar w:left="420" w:top="119" w:right="339" w:bottom="1440" w:gutter="0" w:footer="0" w:header="0"/>
        </w:sectPr>
      </w:pPr>
    </w:p>
    <w:bookmarkStart w:id="211" w:name="page212"/>
    <w:bookmarkEnd w:id="21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RECEIPT AND ACKNOWLEDGMENT OF</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ZEVRA THERAPEUTICS,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INSIDER TRADING AND WINDOW PERIOD POLICY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_________________________, hereby acknowledge that I have received and read a copy of Zevra Therapeutics, Inc.’s “Insider Trading and Window</w:t>
      </w:r>
    </w:p>
    <w:p>
      <w:pPr>
        <w:spacing w:after="0" w:line="27" w:lineRule="exact"/>
        <w:rPr>
          <w:sz w:val="20"/>
          <w:szCs w:val="20"/>
          <w:color w:val="auto"/>
        </w:rPr>
      </w:pPr>
    </w:p>
    <w:p>
      <w:pPr>
        <w:ind w:left="660"/>
        <w:spacing w:after="0" w:line="215" w:lineRule="exact"/>
        <w:rPr>
          <w:sz w:val="20"/>
          <w:szCs w:val="20"/>
          <w:color w:val="auto"/>
        </w:rPr>
      </w:pPr>
      <w:r>
        <w:rPr>
          <w:rFonts w:ascii="Times New Roman" w:cs="Times New Roman" w:eastAsia="Times New Roman" w:hAnsi="Times New Roman"/>
          <w:sz w:val="18"/>
          <w:szCs w:val="18"/>
          <w:color w:val="auto"/>
        </w:rPr>
        <w:t>Period Policy” and agree to comply with its terms. I understand that violation of insider trading laws or regulations may subject me to severe civil and/or criminal penalties, and that violation of the terms of the above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titled Policy may subject me to discipline by the Company, up to and including termination for cause.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713295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00"/>
          </w:cols>
          <w:pgMar w:left="320" w:top="1219" w:right="47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8"/>
          <w:szCs w:val="18"/>
          <w:b w:val="1"/>
          <w:bCs w:val="1"/>
          <w:color w:val="auto"/>
        </w:rPr>
        <w:t>APPLICATION AND APPROVAL FOR TRADING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ZEVRA THERAPEUTICS, INC. SECURITIES BY AN INSIDER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5080</wp:posOffset>
            </wp:positionV>
            <wp:extent cx="49231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0">
                      <a:extLst>
                        <a:ext uri="{28A0092B-C50C-407E-A947-70E740481C1C}"/>
                      </a:extLst>
                    </a:blip>
                    <a:srcRect/>
                    <a:stretch>
                      <a:fillRect/>
                    </a:stretch>
                  </pic:blipFill>
                  <pic:spPr bwMode="auto">
                    <a:xfrm>
                      <a:off x="0" y="0"/>
                      <a:ext cx="492315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16510</wp:posOffset>
            </wp:positionV>
            <wp:extent cx="49231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1">
                      <a:extLst>
                        <a:ext uri="{28A0092B-C50C-407E-A947-70E740481C1C}"/>
                      </a:extLst>
                    </a:blip>
                    <a:srcRect/>
                    <a:stretch>
                      <a:fillRect/>
                    </a:stretch>
                  </pic:blipFill>
                  <pic:spPr bwMode="auto">
                    <a:xfrm>
                      <a:off x="0" y="0"/>
                      <a:ext cx="492315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16510</wp:posOffset>
            </wp:positionV>
            <wp:extent cx="35667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2">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Security to be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16510</wp:posOffset>
            </wp:positionV>
            <wp:extent cx="35667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3">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Trade (Purchase/Sale):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16510</wp:posOffset>
            </wp:positionV>
            <wp:extent cx="35667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4">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Securities to be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16510</wp:posOffset>
            </wp:positionV>
            <wp:extent cx="35667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5">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____________________________, hereby certify that (i) I am not in possession of any “material nonpublic information” concerning the Company (as</w:t>
      </w:r>
    </w:p>
    <w:p>
      <w:pPr>
        <w:spacing w:after="0" w:line="27" w:lineRule="exact"/>
        <w:rPr>
          <w:sz w:val="20"/>
          <w:szCs w:val="20"/>
          <w:color w:val="auto"/>
        </w:rPr>
      </w:pPr>
    </w:p>
    <w:p>
      <w:pPr>
        <w:ind w:left="660" w:right="80"/>
        <w:spacing w:after="0" w:line="252" w:lineRule="auto"/>
        <w:rPr>
          <w:sz w:val="20"/>
          <w:szCs w:val="20"/>
          <w:color w:val="auto"/>
        </w:rPr>
      </w:pPr>
      <w:r>
        <w:rPr>
          <w:rFonts w:ascii="Times New Roman" w:cs="Times New Roman" w:eastAsia="Times New Roman" w:hAnsi="Times New Roman"/>
          <w:sz w:val="18"/>
          <w:szCs w:val="18"/>
          <w:color w:val="auto"/>
        </w:rPr>
        <w:t>defined in the Company’s “Insider Trading and Window Period Policy”) and (ii) to the best of my knowledge, the proposed trade(s) listed above do(es) not violate securities laws applicable to me. I understand that if I trade while possessing such material nonpublic information or in violation of such trading restrictions, even if this application is approved, I may be subject to severe civil and/or criminal penalties, and may be subject to discipline by the Company up to and including termination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Signature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REVIEW AND DECISION</w:t>
            </w:r>
          </w:p>
        </w:tc>
      </w:tr>
      <w:tr>
        <w:trPr>
          <w:trHeight w:val="411"/>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undersigned hereby certifies that I have reviewed the foregoing application and</w:t>
            </w: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______APPROVE _______PROHIBIT the proposed trade(s).</w:t>
            </w:r>
          </w:p>
        </w:tc>
        <w:tc>
          <w:tcPr>
            <w:tcW w:w="6560" w:type="dxa"/>
            <w:vAlign w:val="bottom"/>
          </w:tcPr>
          <w:p>
            <w:pPr>
              <w:spacing w:after="0"/>
              <w:rPr>
                <w:sz w:val="20"/>
                <w:szCs w:val="20"/>
                <w:color w:val="auto"/>
              </w:rPr>
            </w:pPr>
          </w:p>
        </w:tc>
      </w:tr>
      <w:tr>
        <w:trPr>
          <w:trHeight w:val="62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65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______________</w:t>
            </w: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Insider Trading Compliance Officer (or Designee)</w:t>
            </w:r>
          </w:p>
        </w:tc>
        <w:tc>
          <w:tcPr>
            <w:tcW w:w="65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Date</w:t>
            </w:r>
          </w:p>
        </w:tc>
      </w:tr>
      <w:tr>
        <w:trPr>
          <w:trHeight w:val="571"/>
        </w:trPr>
        <w:tc>
          <w:tcPr>
            <w:tcW w:w="46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9" w:right="339" w:bottom="1440" w:gutter="0" w:footer="0" w:header="0"/>
        </w:sectPr>
      </w:pPr>
    </w:p>
    <w:bookmarkStart w:id="213" w:name="page214"/>
    <w:bookmarkEnd w:id="213"/>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APPLICATION AND APPROVAL FOR ADOPTION, MODIFICATION, OR TERMINATION OF A RULE 10b5-1 TRADING PLAN OR NON-</w:t>
      </w:r>
    </w:p>
    <w:p>
      <w:pPr>
        <w:spacing w:after="0" w:line="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RULE 10B5-1 TRADING ARRANGEMENT</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TRADING OF ZEVRA THERAPEUTICS, INC. SECURITIES BY AN INSIDER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16510</wp:posOffset>
            </wp:positionV>
            <wp:extent cx="49231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6">
                      <a:extLst>
                        <a:ext uri="{28A0092B-C50C-407E-A947-70E740481C1C}"/>
                      </a:extLst>
                    </a:blip>
                    <a:srcRect/>
                    <a:stretch>
                      <a:fillRect/>
                    </a:stretch>
                  </pic:blipFill>
                  <pic:spPr bwMode="auto">
                    <a:xfrm>
                      <a:off x="0" y="0"/>
                      <a:ext cx="492315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16510</wp:posOffset>
            </wp:positionV>
            <wp:extent cx="49231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7">
                      <a:extLst>
                        <a:ext uri="{28A0092B-C50C-407E-A947-70E740481C1C}"/>
                      </a:extLst>
                    </a:blip>
                    <a:srcRect/>
                    <a:stretch>
                      <a:fillRect/>
                    </a:stretch>
                  </pic:blipFill>
                  <pic:spPr bwMode="auto">
                    <a:xfrm>
                      <a:off x="0" y="0"/>
                      <a:ext cx="492315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for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Modification,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-3175</wp:posOffset>
            </wp:positionV>
            <wp:extent cx="48888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8">
                      <a:extLst>
                        <a:ext uri="{28A0092B-C50C-407E-A947-70E740481C1C}"/>
                      </a:extLst>
                    </a:blip>
                    <a:srcRect/>
                    <a:stretch>
                      <a:fillRect/>
                    </a:stretch>
                  </pic:blipFill>
                  <pic:spPr bwMode="auto">
                    <a:xfrm>
                      <a:off x="0" y="0"/>
                      <a:ext cx="4888865"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Plan Adoption, Modification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-3175</wp:posOffset>
            </wp:positionV>
            <wp:extent cx="356679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9">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Security to be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16510</wp:posOffset>
            </wp:positionV>
            <wp:extent cx="35667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0">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Covered under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2479040</wp:posOffset>
            </wp:positionH>
            <wp:positionV relativeFrom="paragraph">
              <wp:posOffset>16510</wp:posOffset>
            </wp:positionV>
            <wp:extent cx="303720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1">
                      <a:extLst>
                        <a:ext uri="{28A0092B-C50C-407E-A947-70E740481C1C}"/>
                      </a:extLst>
                    </a:blip>
                    <a:srcRect/>
                    <a:stretch>
                      <a:fillRect/>
                    </a:stretch>
                  </pic:blipFill>
                  <pic:spPr bwMode="auto">
                    <a:xfrm>
                      <a:off x="0" y="0"/>
                      <a:ext cx="3037205" cy="8255"/>
                    </a:xfrm>
                    <a:prstGeom prst="rect">
                      <a:avLst/>
                    </a:prstGeom>
                    <a:noFill/>
                  </pic:spPr>
                </pic:pic>
              </a:graphicData>
            </a:graphic>
          </wp:anchor>
        </w:drawing>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____________________________, hereby certify that (i) attached to this Application is a true and correct copy of the Rule 10b5-1 Trading Plan or non-</w:t>
      </w:r>
    </w:p>
    <w:p>
      <w:pPr>
        <w:spacing w:after="0" w:line="27" w:lineRule="exact"/>
        <w:rPr>
          <w:sz w:val="20"/>
          <w:szCs w:val="20"/>
          <w:color w:val="auto"/>
        </w:rPr>
      </w:pPr>
    </w:p>
    <w:p>
      <w:pPr>
        <w:ind w:left="100"/>
        <w:spacing w:after="0" w:line="251" w:lineRule="auto"/>
        <w:rPr>
          <w:sz w:val="20"/>
          <w:szCs w:val="20"/>
          <w:color w:val="auto"/>
        </w:rPr>
      </w:pPr>
      <w:r>
        <w:rPr>
          <w:rFonts w:ascii="Times New Roman" w:cs="Times New Roman" w:eastAsia="Times New Roman" w:hAnsi="Times New Roman"/>
          <w:sz w:val="18"/>
          <w:szCs w:val="18"/>
          <w:color w:val="auto"/>
        </w:rPr>
        <w:t>Rule 10b51 trading arrangement proposed to be adopted, modified, or terminated by me, (ii) I am not in possession of any “material nonpublic information” concerning the Company (as defined in the Company’s “Insider Trading and Window Period Policy”) and (iii) to the best of my knowledge, adoption by me of proposed plan or arrangement does not violate securities laws applicable to me. I understand that if I trade in violation of such trading restrictions, even if this application is approved, I may be subject to severe civil and/or criminal penalties and may be subject to discipline by the Company up to and including termination for cause.</w:t>
      </w:r>
    </w:p>
    <w:p>
      <w:pPr>
        <w:sectPr>
          <w:pgSz w:w="11900" w:h="16838" w:orient="portrait"/>
          <w:cols w:equalWidth="0" w:num="1">
            <w:col w:w="11220"/>
          </w:cols>
          <w:pgMar w:left="320" w:top="789" w:right="35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center"/>
        <w:ind w:right="510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ectPr>
          <w:pgSz w:w="11900" w:h="16838" w:orient="portrait"/>
          <w:cols w:equalWidth="0" w:num="2">
            <w:col w:w="5060" w:space="720"/>
            <w:col w:w="5440"/>
          </w:cols>
          <w:pgMar w:left="320" w:top="789" w:right="359" w:bottom="1440" w:gutter="0" w:footer="0" w:header="0"/>
          <w:type w:val="continuous"/>
        </w:sectPr>
      </w:pP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REVIEW AND DECISION</w:t>
      </w:r>
    </w:p>
    <w:p>
      <w:pPr>
        <w:sectPr>
          <w:pgSz w:w="11900" w:h="16838" w:orient="portrait"/>
          <w:cols w:equalWidth="0" w:num="1">
            <w:col w:w="11220"/>
          </w:cols>
          <w:pgMar w:left="320" w:top="789" w:right="359" w:bottom="1440" w:gutter="0" w:footer="0" w:header="0"/>
          <w:type w:val="continuous"/>
        </w:sect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undersigned hereby certifies that I have reviewed the foregoing application and ______APPROVE _______PROHIBIT the proposed adoption,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modification, or termination or the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6340" w:val="left"/>
        </w:tabs>
        <w:rPr>
          <w:sz w:val="20"/>
          <w:szCs w:val="20"/>
          <w:color w:val="auto"/>
        </w:rPr>
      </w:pPr>
      <w:r>
        <w:rPr>
          <w:rFonts w:ascii="Times New Roman" w:cs="Times New Roman" w:eastAsia="Times New Roman" w:hAnsi="Times New Roman"/>
          <w:sz w:val="18"/>
          <w:szCs w:val="18"/>
          <w:color w:val="auto"/>
        </w:rPr>
        <w:t>Insider Trading Compliance Officer (or Designee)</w:t>
      </w:r>
      <w:r>
        <w:rPr>
          <w:sz w:val="20"/>
          <w:szCs w:val="20"/>
          <w:color w:val="auto"/>
        </w:rPr>
        <w:tab/>
      </w:r>
      <w:r>
        <w:rPr>
          <w:rFonts w:ascii="Times New Roman" w:cs="Times New Roman" w:eastAsia="Times New Roman" w:hAnsi="Times New Roman"/>
          <w:sz w:val="18"/>
          <w:szCs w:val="18"/>
          <w:color w:val="auto"/>
        </w:rPr>
        <w:t>Date</w:t>
      </w:r>
    </w:p>
    <w:p>
      <w:pPr>
        <w:sectPr>
          <w:pgSz w:w="11900" w:h="16838" w:orient="portrait"/>
          <w:cols w:equalWidth="0" w:num="1">
            <w:col w:w="11220"/>
          </w:cols>
          <w:pgMar w:left="320" w:top="789" w:right="359" w:bottom="1440" w:gutter="0" w:footer="0" w:header="0"/>
          <w:type w:val="continuous"/>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3" w:lineRule="exact"/>
        <w:rPr>
          <w:sz w:val="20"/>
          <w:szCs w:val="20"/>
          <w:color w:val="auto"/>
        </w:rPr>
      </w:pPr>
    </w:p>
    <w:p>
      <w:pPr>
        <w:ind w:left="980" w:hanging="314"/>
        <w:spacing w:after="0"/>
        <w:tabs>
          <w:tab w:leader="none" w:pos="9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333-252078, 333-252903, 333-257433, 333-276856 and 333-279941) of Zevra Therapeutics, Inc.,</w:t>
      </w:r>
    </w:p>
    <w:p>
      <w:pPr>
        <w:spacing w:after="0" w:line="222" w:lineRule="exact"/>
        <w:rPr>
          <w:rFonts w:ascii="Times New Roman" w:cs="Times New Roman" w:eastAsia="Times New Roman" w:hAnsi="Times New Roman"/>
          <w:sz w:val="18"/>
          <w:szCs w:val="18"/>
          <w:color w:val="auto"/>
        </w:rPr>
      </w:pPr>
    </w:p>
    <w:p>
      <w:pPr>
        <w:ind w:left="980" w:right="80" w:hanging="314"/>
        <w:spacing w:after="0" w:line="280" w:lineRule="auto"/>
        <w:tabs>
          <w:tab w:leader="none" w:pos="9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333-203703) pertaining to the Incentive Stock Plan, as amended, and the 2014 Equity Incentive Plan of Zevra Therapeutics, Inc.,</w:t>
      </w:r>
    </w:p>
    <w:p>
      <w:pPr>
        <w:spacing w:after="0" w:line="161" w:lineRule="exact"/>
        <w:rPr>
          <w:rFonts w:ascii="Times New Roman" w:cs="Times New Roman" w:eastAsia="Times New Roman" w:hAnsi="Times New Roman"/>
          <w:sz w:val="18"/>
          <w:szCs w:val="18"/>
          <w:color w:val="auto"/>
        </w:rPr>
      </w:pPr>
    </w:p>
    <w:p>
      <w:pPr>
        <w:ind w:left="980" w:right="160" w:hanging="314"/>
        <w:spacing w:after="0" w:line="280" w:lineRule="auto"/>
        <w:tabs>
          <w:tab w:leader="none" w:pos="9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333-210369, 333-216858, 333-224062, 333-230041, 333-236794 and 333-252743) pertaining to the 2014 Equity Incentive Plan of Zevra Therapeutics, Inc.,</w:t>
      </w:r>
    </w:p>
    <w:p>
      <w:pPr>
        <w:spacing w:after="0" w:line="161" w:lineRule="exact"/>
        <w:rPr>
          <w:rFonts w:ascii="Times New Roman" w:cs="Times New Roman" w:eastAsia="Times New Roman" w:hAnsi="Times New Roman"/>
          <w:sz w:val="18"/>
          <w:szCs w:val="18"/>
          <w:color w:val="auto"/>
        </w:rPr>
      </w:pPr>
    </w:p>
    <w:p>
      <w:pPr>
        <w:ind w:left="980" w:right="620" w:hanging="314"/>
        <w:spacing w:after="0" w:line="280" w:lineRule="auto"/>
        <w:tabs>
          <w:tab w:leader="none" w:pos="9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333-257429) pertaining to the Amended and Restated 2014 Equity Incentive Plan, and the 2021 Employee Stock Purchase Plan of Zevra Therapeutics, Inc.,</w:t>
      </w:r>
    </w:p>
    <w:p>
      <w:pPr>
        <w:spacing w:after="0" w:line="161" w:lineRule="exact"/>
        <w:rPr>
          <w:rFonts w:ascii="Times New Roman" w:cs="Times New Roman" w:eastAsia="Times New Roman" w:hAnsi="Times New Roman"/>
          <w:sz w:val="18"/>
          <w:szCs w:val="18"/>
          <w:color w:val="auto"/>
        </w:rPr>
      </w:pPr>
    </w:p>
    <w:p>
      <w:pPr>
        <w:ind w:left="980" w:hanging="314"/>
        <w:spacing w:after="0"/>
        <w:tabs>
          <w:tab w:leader="none" w:pos="9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333-270341) pertaining to the 2023 Employment Inducement Award Plan of Zevra Therapeutics, Inc.,</w:t>
      </w:r>
    </w:p>
    <w:p>
      <w:pPr>
        <w:spacing w:after="0" w:line="222" w:lineRule="exact"/>
        <w:rPr>
          <w:rFonts w:ascii="Times New Roman" w:cs="Times New Roman" w:eastAsia="Times New Roman" w:hAnsi="Times New Roman"/>
          <w:sz w:val="18"/>
          <w:szCs w:val="18"/>
          <w:color w:val="auto"/>
        </w:rPr>
      </w:pPr>
    </w:p>
    <w:p>
      <w:pPr>
        <w:ind w:left="980" w:right="300" w:hanging="314"/>
        <w:spacing w:after="0" w:line="280" w:lineRule="auto"/>
        <w:tabs>
          <w:tab w:leader="none" w:pos="9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333-278445) pertaining to the Amended and Restated 2023 Employment Inducement Award Plan of Zevra Therapeutics, Inc., and</w:t>
      </w:r>
    </w:p>
    <w:p>
      <w:pPr>
        <w:spacing w:after="0" w:line="161" w:lineRule="exact"/>
        <w:rPr>
          <w:rFonts w:ascii="Times New Roman" w:cs="Times New Roman" w:eastAsia="Times New Roman" w:hAnsi="Times New Roman"/>
          <w:sz w:val="18"/>
          <w:szCs w:val="18"/>
          <w:color w:val="auto"/>
        </w:rPr>
      </w:pPr>
    </w:p>
    <w:p>
      <w:pPr>
        <w:ind w:left="980" w:right="80" w:hanging="314"/>
        <w:spacing w:after="0" w:line="280" w:lineRule="auto"/>
        <w:tabs>
          <w:tab w:leader="none" w:pos="9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333-270340 and 333-278444) pertaining to the Amended and Restated 2014 Equity Incentive Plan of Zevra Therapeutics, Inc.;</w:t>
      </w:r>
    </w:p>
    <w:p>
      <w:pPr>
        <w:spacing w:after="0" w:line="162" w:lineRule="exact"/>
        <w:rPr>
          <w:sz w:val="20"/>
          <w:szCs w:val="20"/>
          <w:color w:val="auto"/>
        </w:rPr>
      </w:pPr>
    </w:p>
    <w:p>
      <w:pPr>
        <w:ind w:right="260" w:firstLine="161"/>
        <w:spacing w:after="0" w:line="280" w:lineRule="auto"/>
        <w:rPr>
          <w:sz w:val="20"/>
          <w:szCs w:val="20"/>
          <w:color w:val="auto"/>
        </w:rPr>
      </w:pPr>
      <w:r>
        <w:rPr>
          <w:rFonts w:ascii="Times New Roman" w:cs="Times New Roman" w:eastAsia="Times New Roman" w:hAnsi="Times New Roman"/>
          <w:sz w:val="18"/>
          <w:szCs w:val="18"/>
          <w:color w:val="auto"/>
        </w:rPr>
        <w:t>of our report dated March 12, 2025, with respect to the financial statements of Zevra Therapeutics, Inc. included in this Annual Report (Form 10-K) of Zevra Therapeutics, Inc. for the year ended December 31, 2024.</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Orlando, Florida</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March 12, 2025</w:t>
      </w:r>
    </w:p>
    <w:p>
      <w:pPr>
        <w:sectPr>
          <w:pgSz w:w="11900" w:h="16838" w:orient="portrait"/>
          <w:cols w:equalWidth="0" w:num="1">
            <w:col w:w="11240"/>
          </w:cols>
          <w:pgMar w:left="320" w:top="117"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Neil F. McFarlane, certify that:</w:t>
      </w:r>
    </w:p>
    <w:p>
      <w:pPr>
        <w:spacing w:after="0" w:line="223" w:lineRule="exact"/>
        <w:rPr>
          <w:sz w:val="20"/>
          <w:szCs w:val="20"/>
          <w:color w:val="auto"/>
        </w:rPr>
      </w:pPr>
    </w:p>
    <w:p>
      <w:pPr>
        <w:ind w:left="900" w:hanging="436"/>
        <w:spacing w:after="0"/>
        <w:tabs>
          <w:tab w:leader="none" w:pos="9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Zevra Therapeutics, Inc.;</w:t>
      </w:r>
    </w:p>
    <w:p>
      <w:pPr>
        <w:spacing w:after="0" w:line="26" w:lineRule="exact"/>
        <w:rPr>
          <w:rFonts w:ascii="Times New Roman" w:cs="Times New Roman" w:eastAsia="Times New Roman" w:hAnsi="Times New Roman"/>
          <w:sz w:val="18"/>
          <w:szCs w:val="18"/>
          <w:color w:val="auto"/>
        </w:rPr>
      </w:pPr>
    </w:p>
    <w:p>
      <w:pPr>
        <w:jc w:val="both"/>
        <w:ind w:left="900" w:hanging="436"/>
        <w:spacing w:after="0" w:line="249" w:lineRule="auto"/>
        <w:tabs>
          <w:tab w:leader="none" w:pos="9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900" w:hanging="436"/>
        <w:spacing w:after="0" w:line="249" w:lineRule="auto"/>
        <w:tabs>
          <w:tab w:leader="none" w:pos="9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900" w:hanging="436"/>
        <w:spacing w:after="0" w:line="249" w:lineRule="auto"/>
        <w:tabs>
          <w:tab w:leader="none" w:pos="9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8" w:lineRule="exact"/>
        <w:rPr>
          <w:rFonts w:ascii="Times New Roman" w:cs="Times New Roman" w:eastAsia="Times New Roman" w:hAnsi="Times New Roman"/>
          <w:sz w:val="18"/>
          <w:szCs w:val="18"/>
          <w:color w:val="auto"/>
        </w:rPr>
      </w:pPr>
    </w:p>
    <w:p>
      <w:pPr>
        <w:jc w:val="both"/>
        <w:ind w:left="1480" w:hanging="451"/>
        <w:spacing w:after="0" w:line="249" w:lineRule="auto"/>
        <w:tabs>
          <w:tab w:leader="none" w:pos="148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480" w:hanging="451"/>
        <w:spacing w:after="0" w:line="249" w:lineRule="auto"/>
        <w:tabs>
          <w:tab w:leader="none" w:pos="148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480" w:hanging="451"/>
        <w:spacing w:after="0" w:line="249" w:lineRule="auto"/>
        <w:tabs>
          <w:tab w:leader="none" w:pos="148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hanging="451"/>
        <w:spacing w:after="0" w:line="249" w:lineRule="auto"/>
        <w:tabs>
          <w:tab w:leader="none" w:pos="148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900" w:hanging="436"/>
        <w:spacing w:after="0" w:line="249" w:lineRule="auto"/>
        <w:tabs>
          <w:tab w:leader="none" w:pos="9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480" w:hanging="451"/>
        <w:spacing w:after="0" w:line="249" w:lineRule="auto"/>
        <w:tabs>
          <w:tab w:leader="none" w:pos="148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80" w:hanging="451"/>
        <w:spacing w:after="0" w:line="258" w:lineRule="auto"/>
        <w:tabs>
          <w:tab w:leader="none" w:pos="148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March 12, 2025</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Neil F. McFarlane</w:t>
            </w:r>
          </w:p>
        </w:tc>
      </w:tr>
      <w:tr>
        <w:trPr>
          <w:trHeight w:val="190"/>
        </w:trPr>
        <w:tc>
          <w:tcPr>
            <w:tcW w:w="6040" w:type="dxa"/>
            <w:vAlign w:val="bottom"/>
          </w:tcPr>
          <w:p>
            <w:pPr>
              <w:spacing w:after="0"/>
              <w:rPr>
                <w:sz w:val="16"/>
                <w:szCs w:val="16"/>
                <w:color w:val="auto"/>
              </w:rPr>
            </w:pPr>
          </w:p>
        </w:tc>
        <w:tc>
          <w:tcPr>
            <w:tcW w:w="52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Name:Neil F. McFarlane</w:t>
            </w:r>
          </w:p>
        </w:tc>
      </w:tr>
      <w:tr>
        <w:trPr>
          <w:trHeight w:val="215"/>
        </w:trPr>
        <w:tc>
          <w:tcPr>
            <w:tcW w:w="60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4"/>
        </w:trPr>
        <w:tc>
          <w:tcPr>
            <w:tcW w:w="6040" w:type="dxa"/>
            <w:vAlign w:val="bottom"/>
          </w:tcPr>
          <w:p>
            <w:pPr>
              <w:spacing w:after="0"/>
              <w:rPr>
                <w:sz w:val="20"/>
                <w:szCs w:val="20"/>
                <w:color w:val="auto"/>
              </w:rPr>
            </w:pPr>
          </w:p>
        </w:tc>
        <w:tc>
          <w:tcPr>
            <w:tcW w:w="5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LaDuane Clifton, certify that:</w:t>
      </w:r>
    </w:p>
    <w:p>
      <w:pPr>
        <w:spacing w:after="0" w:line="223" w:lineRule="exact"/>
        <w:rPr>
          <w:sz w:val="20"/>
          <w:szCs w:val="20"/>
          <w:color w:val="auto"/>
        </w:rPr>
      </w:pPr>
    </w:p>
    <w:p>
      <w:pPr>
        <w:ind w:left="900" w:hanging="436"/>
        <w:spacing w:after="0"/>
        <w:tabs>
          <w:tab w:leader="none" w:pos="9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Zevra Therapeutics, Inc.;</w:t>
      </w:r>
    </w:p>
    <w:p>
      <w:pPr>
        <w:spacing w:after="0" w:line="26" w:lineRule="exact"/>
        <w:rPr>
          <w:rFonts w:ascii="Times New Roman" w:cs="Times New Roman" w:eastAsia="Times New Roman" w:hAnsi="Times New Roman"/>
          <w:sz w:val="18"/>
          <w:szCs w:val="18"/>
          <w:color w:val="auto"/>
        </w:rPr>
      </w:pPr>
    </w:p>
    <w:p>
      <w:pPr>
        <w:jc w:val="both"/>
        <w:ind w:left="900" w:hanging="436"/>
        <w:spacing w:after="0" w:line="249" w:lineRule="auto"/>
        <w:tabs>
          <w:tab w:leader="none" w:pos="9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900" w:hanging="436"/>
        <w:spacing w:after="0" w:line="249" w:lineRule="auto"/>
        <w:tabs>
          <w:tab w:leader="none" w:pos="9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900" w:hanging="436"/>
        <w:spacing w:after="0" w:line="249" w:lineRule="auto"/>
        <w:tabs>
          <w:tab w:leader="none" w:pos="9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8" w:lineRule="exact"/>
        <w:rPr>
          <w:rFonts w:ascii="Times New Roman" w:cs="Times New Roman" w:eastAsia="Times New Roman" w:hAnsi="Times New Roman"/>
          <w:sz w:val="18"/>
          <w:szCs w:val="18"/>
          <w:color w:val="auto"/>
        </w:rPr>
      </w:pPr>
    </w:p>
    <w:p>
      <w:pPr>
        <w:jc w:val="both"/>
        <w:ind w:left="1480" w:hanging="451"/>
        <w:spacing w:after="0" w:line="249" w:lineRule="auto"/>
        <w:tabs>
          <w:tab w:leader="none" w:pos="148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480" w:hanging="451"/>
        <w:spacing w:after="0" w:line="249" w:lineRule="auto"/>
        <w:tabs>
          <w:tab w:leader="none" w:pos="148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480" w:hanging="451"/>
        <w:spacing w:after="0" w:line="249" w:lineRule="auto"/>
        <w:tabs>
          <w:tab w:leader="none" w:pos="148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hanging="451"/>
        <w:spacing w:after="0" w:line="249" w:lineRule="auto"/>
        <w:tabs>
          <w:tab w:leader="none" w:pos="148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900" w:hanging="436"/>
        <w:spacing w:after="0" w:line="249" w:lineRule="auto"/>
        <w:tabs>
          <w:tab w:leader="none" w:pos="9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480" w:hanging="451"/>
        <w:spacing w:after="0" w:line="249" w:lineRule="auto"/>
        <w:tabs>
          <w:tab w:leader="none" w:pos="148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80" w:hanging="451"/>
        <w:spacing w:after="0" w:line="258" w:lineRule="auto"/>
        <w:tabs>
          <w:tab w:leader="none" w:pos="148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March 12, 2025</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LaDuane Clifton</w:t>
            </w:r>
          </w:p>
        </w:tc>
      </w:tr>
      <w:tr>
        <w:trPr>
          <w:trHeight w:val="190"/>
        </w:trPr>
        <w:tc>
          <w:tcPr>
            <w:tcW w:w="6040" w:type="dxa"/>
            <w:vAlign w:val="bottom"/>
          </w:tcPr>
          <w:p>
            <w:pPr>
              <w:spacing w:after="0"/>
              <w:rPr>
                <w:sz w:val="16"/>
                <w:szCs w:val="16"/>
                <w:color w:val="auto"/>
              </w:rPr>
            </w:pPr>
          </w:p>
        </w:tc>
        <w:tc>
          <w:tcPr>
            <w:tcW w:w="52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Name:R. LaDuane Clifton, MBA, CPA</w:t>
            </w:r>
          </w:p>
        </w:tc>
      </w:tr>
      <w:tr>
        <w:trPr>
          <w:trHeight w:val="215"/>
        </w:trPr>
        <w:tc>
          <w:tcPr>
            <w:tcW w:w="60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Treasurer</w:t>
            </w:r>
          </w:p>
        </w:tc>
      </w:tr>
      <w:tr>
        <w:trPr>
          <w:trHeight w:val="234"/>
        </w:trPr>
        <w:tc>
          <w:tcPr>
            <w:tcW w:w="6040" w:type="dxa"/>
            <w:vAlign w:val="bottom"/>
          </w:tcPr>
          <w:p>
            <w:pPr>
              <w:spacing w:after="0"/>
              <w:rPr>
                <w:sz w:val="20"/>
                <w:szCs w:val="20"/>
                <w:color w:val="auto"/>
              </w:rPr>
            </w:pPr>
          </w:p>
        </w:tc>
        <w:tc>
          <w:tcPr>
            <w:tcW w:w="5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7"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color w:val="auto"/>
        </w:rPr>
        <w:t>CERTIFICATION OF THE PRINCIPAL EXECUTIVE OFFICER PURSUANT TO 18 U.S.C. SECTION 1350, AS ADOPTED PURSUANT TO SECTION 906 OF THE SARBANES-OXLEY ACT OF 2002</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connection with the Annual Report on Form 10-K of Zevra Therapeutics, Inc., (the “Company”) for the fiscal year ended December 31, 2024, as filed with the Securities and Exchange Commission on the date hereof (the “Report”), I, Neil F. McFarlane, Principal Executive Officer of the Company, certify, pursuant to 18 U.S.C. Section 1350, as adopted pursuant to Section 906 of the Sarbanes-Oxley Act of 2002, that, to my knowledge:</w:t>
      </w:r>
    </w:p>
    <w:p>
      <w:pPr>
        <w:spacing w:after="0" w:line="177" w:lineRule="exact"/>
        <w:rPr>
          <w:sz w:val="20"/>
          <w:szCs w:val="20"/>
          <w:color w:val="auto"/>
        </w:rPr>
      </w:pPr>
    </w:p>
    <w:p>
      <w:pPr>
        <w:ind w:left="900" w:hanging="436"/>
        <w:spacing w:after="0"/>
        <w:tabs>
          <w:tab w:leader="none" w:pos="9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 w:lineRule="exact"/>
        <w:rPr>
          <w:rFonts w:ascii="Times New Roman" w:cs="Times New Roman" w:eastAsia="Times New Roman" w:hAnsi="Times New Roman"/>
          <w:sz w:val="18"/>
          <w:szCs w:val="18"/>
          <w:color w:val="auto"/>
        </w:rPr>
      </w:pPr>
    </w:p>
    <w:p>
      <w:pPr>
        <w:ind w:left="900" w:hanging="436"/>
        <w:spacing w:after="0" w:line="258" w:lineRule="auto"/>
        <w:tabs>
          <w:tab w:leader="none" w:pos="9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March 12, 2025</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Neil F. McFarlane</w:t>
            </w:r>
          </w:p>
        </w:tc>
      </w:tr>
      <w:tr>
        <w:trPr>
          <w:trHeight w:val="190"/>
        </w:trPr>
        <w:tc>
          <w:tcPr>
            <w:tcW w:w="6040" w:type="dxa"/>
            <w:vAlign w:val="bottom"/>
          </w:tcPr>
          <w:p>
            <w:pPr>
              <w:spacing w:after="0"/>
              <w:rPr>
                <w:sz w:val="16"/>
                <w:szCs w:val="16"/>
                <w:color w:val="auto"/>
              </w:rPr>
            </w:pPr>
          </w:p>
        </w:tc>
        <w:tc>
          <w:tcPr>
            <w:tcW w:w="52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Name:Neil F. McFarlane</w:t>
            </w:r>
          </w:p>
        </w:tc>
      </w:tr>
      <w:tr>
        <w:trPr>
          <w:trHeight w:val="215"/>
        </w:trPr>
        <w:tc>
          <w:tcPr>
            <w:tcW w:w="60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4"/>
        </w:trPr>
        <w:tc>
          <w:tcPr>
            <w:tcW w:w="6040" w:type="dxa"/>
            <w:vAlign w:val="bottom"/>
          </w:tcPr>
          <w:p>
            <w:pPr>
              <w:spacing w:after="0"/>
              <w:rPr>
                <w:sz w:val="20"/>
                <w:szCs w:val="20"/>
                <w:color w:val="auto"/>
              </w:rPr>
            </w:pPr>
          </w:p>
        </w:tc>
        <w:tc>
          <w:tcPr>
            <w:tcW w:w="5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117"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7"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color w:val="auto"/>
        </w:rPr>
        <w:t>CERTIFICATION OF THE PRINCIPAL FINANCIAL OFFICER PURSUANT TO 18 U.S.C. SECTION 1350, AS ADOPTED PURSUANT TO SECTION 906 OF THE SARBANES-OXLEY ACT OF 2002</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connection with the Annual Report on Form 10-K of Zevra Therapeutics, Inc., (the “Company”) for the fiscal year ended December 31, 2024, as filed with the Securities and Exchange Commission on the date hereof (the “Report”), I, R. LaDuane Clifton, Principal Financial Officer of the Company, certify, pursuant to 18 U.S.C. Section 1350, as adopted pursuant to Section 906 of the Sarbanes-Oxley Act of 2002, that, to my knowledge:</w:t>
      </w:r>
    </w:p>
    <w:p>
      <w:pPr>
        <w:spacing w:after="0" w:line="177" w:lineRule="exact"/>
        <w:rPr>
          <w:sz w:val="20"/>
          <w:szCs w:val="20"/>
          <w:color w:val="auto"/>
        </w:rPr>
      </w:pPr>
    </w:p>
    <w:p>
      <w:pPr>
        <w:ind w:left="900" w:hanging="436"/>
        <w:spacing w:after="0"/>
        <w:tabs>
          <w:tab w:leader="none" w:pos="9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 w:lineRule="exact"/>
        <w:rPr>
          <w:rFonts w:ascii="Times New Roman" w:cs="Times New Roman" w:eastAsia="Times New Roman" w:hAnsi="Times New Roman"/>
          <w:sz w:val="18"/>
          <w:szCs w:val="18"/>
          <w:color w:val="auto"/>
        </w:rPr>
      </w:pPr>
    </w:p>
    <w:p>
      <w:pPr>
        <w:ind w:left="900" w:hanging="436"/>
        <w:spacing w:after="0" w:line="258" w:lineRule="auto"/>
        <w:tabs>
          <w:tab w:leader="none" w:pos="9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March 12, 2025</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LaDuane Clifton</w:t>
            </w:r>
          </w:p>
        </w:tc>
      </w:tr>
      <w:tr>
        <w:trPr>
          <w:trHeight w:val="190"/>
        </w:trPr>
        <w:tc>
          <w:tcPr>
            <w:tcW w:w="6040" w:type="dxa"/>
            <w:vAlign w:val="bottom"/>
          </w:tcPr>
          <w:p>
            <w:pPr>
              <w:spacing w:after="0"/>
              <w:rPr>
                <w:sz w:val="16"/>
                <w:szCs w:val="16"/>
                <w:color w:val="auto"/>
              </w:rPr>
            </w:pPr>
          </w:p>
        </w:tc>
        <w:tc>
          <w:tcPr>
            <w:tcW w:w="52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Name:R. LaDuane Clifton, MBA, CPA</w:t>
            </w:r>
          </w:p>
        </w:tc>
      </w:tr>
      <w:tr>
        <w:trPr>
          <w:trHeight w:val="215"/>
        </w:trPr>
        <w:tc>
          <w:tcPr>
            <w:tcW w:w="60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Treasurer</w:t>
            </w:r>
          </w:p>
        </w:tc>
      </w:tr>
      <w:tr>
        <w:trPr>
          <w:trHeight w:val="234"/>
        </w:trPr>
        <w:tc>
          <w:tcPr>
            <w:tcW w:w="6040" w:type="dxa"/>
            <w:vAlign w:val="bottom"/>
          </w:tcPr>
          <w:p>
            <w:pPr>
              <w:spacing w:after="0"/>
              <w:rPr>
                <w:sz w:val="20"/>
                <w:szCs w:val="20"/>
                <w:color w:val="auto"/>
              </w:rPr>
            </w:pPr>
          </w:p>
        </w:tc>
        <w:tc>
          <w:tcPr>
            <w:tcW w:w="5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F6D648"/>
    <w:multiLevelType w:val="hybridMultilevel"/>
    <w:lvl w:ilvl="0">
      <w:lvlJc w:val="left"/>
      <w:lvlText w:val="☒"/>
      <w:numFmt w:val="bullet"/>
      <w:start w:val="1"/>
    </w:lvl>
  </w:abstractNum>
  <w:abstractNum w:abstractNumId="1">
    <w:nsid w:val="46B7D447"/>
    <w:multiLevelType w:val="hybridMultilevel"/>
    <w:lvl w:ilvl="0">
      <w:lvlJc w:val="left"/>
      <w:lvlText w:val="☐"/>
      <w:numFmt w:val="bullet"/>
      <w:start w:val="1"/>
    </w:lvl>
  </w:abstractNum>
  <w:abstractNum w:abstractNumId="2">
    <w:nsid w:val="4A2AC315"/>
    <w:multiLevelType w:val="hybridMultilevel"/>
    <w:lvl w:ilvl="0">
      <w:lvlJc w:val="left"/>
      <w:lvlText w:val="●"/>
      <w:numFmt w:val="bullet"/>
      <w:start w:val="1"/>
    </w:lvl>
  </w:abstractNum>
  <w:abstractNum w:abstractNumId="3">
    <w:nsid w:val="39EE015C"/>
    <w:multiLevelType w:val="hybridMultilevel"/>
    <w:lvl w:ilvl="0">
      <w:lvlJc w:val="left"/>
      <w:lvlText w:val="●"/>
      <w:numFmt w:val="bullet"/>
      <w:start w:val="1"/>
    </w:lvl>
  </w:abstractNum>
  <w:abstractNum w:abstractNumId="4">
    <w:nsid w:val="57FC4FBB"/>
    <w:multiLevelType w:val="hybridMultilevel"/>
    <w:lvl w:ilvl="0">
      <w:lvlJc w:val="left"/>
      <w:lvlText w:val="●"/>
      <w:numFmt w:val="bullet"/>
      <w:start w:val="1"/>
    </w:lvl>
  </w:abstractNum>
  <w:abstractNum w:abstractNumId="5">
    <w:nsid w:val="CC1016F"/>
    <w:multiLevelType w:val="hybridMultilevel"/>
    <w:lvl w:ilvl="0">
      <w:lvlJc w:val="left"/>
      <w:lvlText w:val="-"/>
      <w:numFmt w:val="bullet"/>
      <w:start w:val="1"/>
    </w:lvl>
  </w:abstractNum>
  <w:abstractNum w:abstractNumId="6">
    <w:nsid w:val="43F18422"/>
    <w:multiLevelType w:val="hybridMultilevel"/>
    <w:lvl w:ilvl="0">
      <w:lvlJc w:val="left"/>
      <w:lvlText w:val="●"/>
      <w:numFmt w:val="bullet"/>
      <w:start w:val="1"/>
    </w:lvl>
  </w:abstractNum>
  <w:abstractNum w:abstractNumId="7">
    <w:nsid w:val="60EF0119"/>
    <w:multiLevelType w:val="hybridMultilevel"/>
    <w:lvl w:ilvl="0">
      <w:lvlJc w:val="left"/>
      <w:lvlText w:val="●"/>
      <w:numFmt w:val="bullet"/>
      <w:start w:val="1"/>
    </w:lvl>
  </w:abstractNum>
  <w:abstractNum w:abstractNumId="8">
    <w:nsid w:val="26F324BA"/>
    <w:multiLevelType w:val="hybridMultilevel"/>
    <w:lvl w:ilvl="0">
      <w:lvlJc w:val="left"/>
      <w:lvlText w:val="●"/>
      <w:numFmt w:val="bullet"/>
      <w:start w:val="1"/>
    </w:lvl>
    <w:lvl w:ilvl="1">
      <w:lvlJc w:val="left"/>
      <w:lvlText w:val="○"/>
      <w:numFmt w:val="bullet"/>
      <w:start w:val="1"/>
    </w:lvl>
  </w:abstractNum>
  <w:abstractNum w:abstractNumId="9">
    <w:nsid w:val="7F01579B"/>
    <w:multiLevelType w:val="hybridMultilevel"/>
    <w:lvl w:ilvl="0">
      <w:lvlJc w:val="left"/>
      <w:lvlText w:val="●"/>
      <w:numFmt w:val="bullet"/>
      <w:start w:val="1"/>
    </w:lvl>
  </w:abstractNum>
  <w:abstractNum w:abstractNumId="10">
    <w:nsid w:val="49DA307D"/>
    <w:multiLevelType w:val="hybridMultilevel"/>
    <w:lvl w:ilvl="0">
      <w:lvlJc w:val="left"/>
      <w:lvlText w:val="●"/>
      <w:numFmt w:val="bullet"/>
      <w:start w:val="1"/>
    </w:lvl>
  </w:abstractNum>
  <w:abstractNum w:abstractNumId="11">
    <w:nsid w:val="7055A5F5"/>
    <w:multiLevelType w:val="hybridMultilevel"/>
    <w:lvl w:ilvl="0">
      <w:lvlJc w:val="left"/>
      <w:lvlText w:val="●"/>
      <w:numFmt w:val="bullet"/>
      <w:start w:val="1"/>
    </w:lvl>
  </w:abstractNum>
  <w:abstractNum w:abstractNumId="12">
    <w:nsid w:val="5FB8370B"/>
    <w:multiLevelType w:val="hybridMultilevel"/>
    <w:lvl w:ilvl="0">
      <w:lvlJc w:val="left"/>
      <w:lvlText w:val="●"/>
      <w:numFmt w:val="bullet"/>
      <w:start w:val="1"/>
    </w:lvl>
  </w:abstractNum>
  <w:abstractNum w:abstractNumId="13">
    <w:nsid w:val="50801EE1"/>
    <w:multiLevelType w:val="hybridMultilevel"/>
    <w:lvl w:ilvl="0">
      <w:lvlJc w:val="left"/>
      <w:lvlText w:val="•"/>
      <w:numFmt w:val="bullet"/>
      <w:start w:val="1"/>
    </w:lvl>
  </w:abstractNum>
  <w:abstractNum w:abstractNumId="14">
    <w:nsid w:val="488AC1A"/>
    <w:multiLevelType w:val="hybridMultilevel"/>
    <w:lvl w:ilvl="0">
      <w:lvlJc w:val="left"/>
      <w:lvlText w:val="(%1)"/>
      <w:numFmt w:val="lowerLetter"/>
      <w:start w:val="2"/>
    </w:lvl>
  </w:abstractNum>
  <w:abstractNum w:abstractNumId="15">
    <w:nsid w:val="5FB8011C"/>
    <w:multiLevelType w:val="hybridMultilevel"/>
    <w:lvl w:ilvl="0">
      <w:lvlJc w:val="left"/>
      <w:lvlText w:val="●"/>
      <w:numFmt w:val="bullet"/>
      <w:start w:val="1"/>
    </w:lvl>
  </w:abstractNum>
  <w:abstractNum w:abstractNumId="16">
    <w:nsid w:val="6AA78F7F"/>
    <w:multiLevelType w:val="hybridMultilevel"/>
    <w:lvl w:ilvl="0">
      <w:lvlJc w:val="left"/>
      <w:lvlText w:val="●"/>
      <w:numFmt w:val="bullet"/>
      <w:start w:val="1"/>
    </w:lvl>
  </w:abstractNum>
  <w:abstractNum w:abstractNumId="17">
    <w:nsid w:val="7672BD23"/>
    <w:multiLevelType w:val="hybridMultilevel"/>
    <w:lvl w:ilvl="0">
      <w:lvlJc w:val="left"/>
      <w:lvlText w:val="●"/>
      <w:numFmt w:val="bullet"/>
      <w:start w:val="1"/>
    </w:lvl>
  </w:abstractNum>
  <w:abstractNum w:abstractNumId="18">
    <w:nsid w:val="6FC75AF8"/>
    <w:multiLevelType w:val="hybridMultilevel"/>
    <w:lvl w:ilvl="0">
      <w:lvlJc w:val="left"/>
      <w:lvlText w:val="●"/>
      <w:numFmt w:val="bullet"/>
      <w:start w:val="1"/>
    </w:lvl>
  </w:abstractNum>
  <w:abstractNum w:abstractNumId="19">
    <w:nsid w:val="6A5F7029"/>
    <w:multiLevelType w:val="hybridMultilevel"/>
    <w:lvl w:ilvl="0">
      <w:lvlJc w:val="left"/>
      <w:lvlText w:val="●"/>
      <w:numFmt w:val="bullet"/>
      <w:start w:val="1"/>
    </w:lvl>
  </w:abstractNum>
  <w:abstractNum w:abstractNumId="20">
    <w:nsid w:val="7D5E18F8"/>
    <w:multiLevelType w:val="hybridMultilevel"/>
    <w:lvl w:ilvl="0">
      <w:lvlJc w:val="left"/>
      <w:lvlText w:val="●"/>
      <w:numFmt w:val="bullet"/>
      <w:start w:val="1"/>
    </w:lvl>
  </w:abstractNum>
  <w:abstractNum w:abstractNumId="21">
    <w:nsid w:val="5F3534A4"/>
    <w:multiLevelType w:val="hybridMultilevel"/>
    <w:lvl w:ilvl="0">
      <w:lvlJc w:val="left"/>
      <w:lvlText w:val="●"/>
      <w:numFmt w:val="bullet"/>
      <w:start w:val="1"/>
    </w:lvl>
  </w:abstractNum>
  <w:abstractNum w:abstractNumId="22">
    <w:nsid w:val="73A1821B"/>
    <w:multiLevelType w:val="hybridMultilevel"/>
    <w:lvl w:ilvl="0">
      <w:lvlJc w:val="left"/>
      <w:lvlText w:val="●"/>
      <w:numFmt w:val="bullet"/>
      <w:start w:val="1"/>
    </w:lvl>
  </w:abstractNum>
  <w:abstractNum w:abstractNumId="23">
    <w:nsid w:val="7DE67713"/>
    <w:multiLevelType w:val="hybridMultilevel"/>
    <w:lvl w:ilvl="0">
      <w:lvlJc w:val="left"/>
      <w:lvlText w:val="●"/>
      <w:numFmt w:val="bullet"/>
      <w:start w:val="1"/>
    </w:lvl>
  </w:abstractNum>
  <w:abstractNum w:abstractNumId="24">
    <w:nsid w:val="555C55B5"/>
    <w:multiLevelType w:val="hybridMultilevel"/>
    <w:lvl w:ilvl="0">
      <w:lvlJc w:val="left"/>
      <w:lvlText w:val="●"/>
      <w:numFmt w:val="bullet"/>
      <w:start w:val="1"/>
    </w:lvl>
  </w:abstractNum>
  <w:abstractNum w:abstractNumId="25">
    <w:nsid w:val="3FA62ACA"/>
    <w:multiLevelType w:val="hybridMultilevel"/>
    <w:lvl w:ilvl="0">
      <w:lvlJc w:val="left"/>
      <w:lvlText w:val="●"/>
      <w:numFmt w:val="bullet"/>
      <w:start w:val="1"/>
    </w:lvl>
  </w:abstractNum>
  <w:abstractNum w:abstractNumId="26">
    <w:nsid w:val="14FCE74E"/>
    <w:multiLevelType w:val="hybridMultilevel"/>
    <w:lvl w:ilvl="0">
      <w:lvlJc w:val="left"/>
      <w:lvlText w:val="●"/>
      <w:numFmt w:val="bullet"/>
      <w:start w:val="1"/>
    </w:lvl>
  </w:abstractNum>
  <w:abstractNum w:abstractNumId="27">
    <w:nsid w:val="6A3DD3E8"/>
    <w:multiLevelType w:val="hybridMultilevel"/>
    <w:lvl w:ilvl="0">
      <w:lvlJc w:val="left"/>
      <w:lvlText w:val="●"/>
      <w:numFmt w:val="bullet"/>
      <w:start w:val="1"/>
    </w:lvl>
  </w:abstractNum>
  <w:abstractNum w:abstractNumId="28">
    <w:nsid w:val="71C91298"/>
    <w:multiLevelType w:val="hybridMultilevel"/>
    <w:lvl w:ilvl="0">
      <w:lvlJc w:val="left"/>
      <w:lvlText w:val="●"/>
      <w:numFmt w:val="bullet"/>
      <w:start w:val="1"/>
    </w:lvl>
  </w:abstractNum>
  <w:abstractNum w:abstractNumId="29">
    <w:nsid w:val="9DAF632"/>
    <w:multiLevelType w:val="hybridMultilevel"/>
    <w:lvl w:ilvl="0">
      <w:lvlJc w:val="left"/>
      <w:lvlText w:val="●"/>
      <w:numFmt w:val="bullet"/>
      <w:start w:val="1"/>
    </w:lvl>
  </w:abstractNum>
  <w:abstractNum w:abstractNumId="30">
    <w:nsid w:val="53299938"/>
    <w:multiLevelType w:val="hybridMultilevel"/>
    <w:lvl w:ilvl="0">
      <w:lvlJc w:val="left"/>
      <w:lvlText w:val="●"/>
      <w:numFmt w:val="bullet"/>
      <w:start w:val="1"/>
    </w:lvl>
  </w:abstractNum>
  <w:abstractNum w:abstractNumId="31">
    <w:nsid w:val="1FBFE8E0"/>
    <w:multiLevelType w:val="hybridMultilevel"/>
    <w:lvl w:ilvl="0">
      <w:lvlJc w:val="left"/>
      <w:lvlText w:val="●"/>
      <w:numFmt w:val="bullet"/>
      <w:start w:val="1"/>
    </w:lvl>
  </w:abstractNum>
  <w:abstractNum w:abstractNumId="32">
    <w:nsid w:val="5092CA79"/>
    <w:multiLevelType w:val="hybridMultilevel"/>
    <w:lvl w:ilvl="0">
      <w:lvlJc w:val="left"/>
      <w:lvlText w:val="●"/>
      <w:numFmt w:val="bullet"/>
      <w:start w:val="1"/>
    </w:lvl>
  </w:abstractNum>
  <w:abstractNum w:abstractNumId="33">
    <w:nsid w:val="1D545C4D"/>
    <w:multiLevelType w:val="hybridMultilevel"/>
    <w:lvl w:ilvl="0">
      <w:lvlJc w:val="left"/>
      <w:lvlText w:val="●"/>
      <w:numFmt w:val="bullet"/>
      <w:start w:val="1"/>
    </w:lvl>
  </w:abstractNum>
  <w:abstractNum w:abstractNumId="34">
    <w:nsid w:val="59ADEA3D"/>
    <w:multiLevelType w:val="hybridMultilevel"/>
    <w:lvl w:ilvl="0">
      <w:lvlJc w:val="left"/>
      <w:lvlText w:val="●"/>
      <w:numFmt w:val="bullet"/>
      <w:start w:val="1"/>
    </w:lvl>
  </w:abstractNum>
  <w:abstractNum w:abstractNumId="35">
    <w:nsid w:val="288F1A34"/>
    <w:multiLevelType w:val="hybridMultilevel"/>
    <w:lvl w:ilvl="0">
      <w:lvlJc w:val="left"/>
      <w:lvlText w:val="●"/>
      <w:numFmt w:val="bullet"/>
      <w:start w:val="1"/>
    </w:lvl>
  </w:abstractNum>
  <w:abstractNum w:abstractNumId="36">
    <w:nsid w:val="2A155DBC"/>
    <w:multiLevelType w:val="hybridMultilevel"/>
    <w:lvl w:ilvl="0">
      <w:lvlJc w:val="left"/>
      <w:lvlText w:val="●"/>
      <w:numFmt w:val="bullet"/>
      <w:start w:val="1"/>
    </w:lvl>
  </w:abstractNum>
  <w:abstractNum w:abstractNumId="37">
    <w:nsid w:val="1D9F6E5F"/>
    <w:multiLevelType w:val="hybridMultilevel"/>
    <w:lvl w:ilvl="0">
      <w:lvlJc w:val="left"/>
      <w:lvlText w:val="●"/>
      <w:numFmt w:val="bullet"/>
      <w:start w:val="1"/>
    </w:lvl>
  </w:abstractNum>
  <w:abstractNum w:abstractNumId="38">
    <w:nsid w:val="97E1B4E"/>
    <w:multiLevelType w:val="hybridMultilevel"/>
    <w:lvl w:ilvl="0">
      <w:lvlJc w:val="left"/>
      <w:lvlText w:val="●"/>
      <w:numFmt w:val="bullet"/>
      <w:start w:val="1"/>
    </w:lvl>
  </w:abstractNum>
  <w:abstractNum w:abstractNumId="39">
    <w:nsid w:val="51088277"/>
    <w:multiLevelType w:val="hybridMultilevel"/>
    <w:lvl w:ilvl="0">
      <w:lvlJc w:val="left"/>
      <w:lvlText w:val="●"/>
      <w:numFmt w:val="bullet"/>
      <w:start w:val="1"/>
    </w:lvl>
  </w:abstractNum>
  <w:abstractNum w:abstractNumId="40">
    <w:nsid w:val="1CA0C5FA"/>
    <w:multiLevelType w:val="hybridMultilevel"/>
    <w:lvl w:ilvl="0">
      <w:lvlJc w:val="left"/>
      <w:lvlText w:val="●"/>
      <w:numFmt w:val="bullet"/>
      <w:start w:val="1"/>
    </w:lvl>
  </w:abstractNum>
  <w:abstractNum w:abstractNumId="41">
    <w:nsid w:val="53584BCB"/>
    <w:multiLevelType w:val="hybridMultilevel"/>
    <w:lvl w:ilvl="0">
      <w:lvlJc w:val="left"/>
      <w:lvlText w:val="●"/>
      <w:numFmt w:val="bullet"/>
      <w:start w:val="1"/>
    </w:lvl>
  </w:abstractNum>
  <w:abstractNum w:abstractNumId="42">
    <w:nsid w:val="415E286C"/>
    <w:multiLevelType w:val="hybridMultilevel"/>
    <w:lvl w:ilvl="0">
      <w:lvlJc w:val="left"/>
      <w:lvlText w:val="●"/>
      <w:numFmt w:val="bullet"/>
      <w:start w:val="1"/>
    </w:lvl>
  </w:abstractNum>
  <w:abstractNum w:abstractNumId="43">
    <w:nsid w:val="7C58FD05"/>
    <w:multiLevelType w:val="hybridMultilevel"/>
    <w:lvl w:ilvl="0">
      <w:lvlJc w:val="left"/>
      <w:lvlText w:val="●"/>
      <w:numFmt w:val="bullet"/>
      <w:start w:val="1"/>
    </w:lvl>
  </w:abstractNum>
  <w:abstractNum w:abstractNumId="44">
    <w:nsid w:val="23D86AAC"/>
    <w:multiLevelType w:val="hybridMultilevel"/>
    <w:lvl w:ilvl="0">
      <w:lvlJc w:val="left"/>
      <w:lvlText w:val="●"/>
      <w:numFmt w:val="bullet"/>
      <w:start w:val="1"/>
    </w:lvl>
  </w:abstractNum>
  <w:abstractNum w:abstractNumId="45">
    <w:nsid w:val="45E6D486"/>
    <w:multiLevelType w:val="hybridMultilevel"/>
    <w:lvl w:ilvl="0">
      <w:lvlJc w:val="left"/>
      <w:lvlText w:val="●"/>
      <w:numFmt w:val="bullet"/>
      <w:start w:val="1"/>
    </w:lvl>
  </w:abstractNum>
  <w:abstractNum w:abstractNumId="46">
    <w:nsid w:val="5C10FE21"/>
    <w:multiLevelType w:val="hybridMultilevel"/>
    <w:lvl w:ilvl="0">
      <w:lvlJc w:val="left"/>
      <w:lvlText w:val="●"/>
      <w:numFmt w:val="bullet"/>
      <w:start w:val="1"/>
    </w:lvl>
  </w:abstractNum>
  <w:abstractNum w:abstractNumId="47">
    <w:nsid w:val="E7FFA2B"/>
    <w:multiLevelType w:val="hybridMultilevel"/>
    <w:lvl w:ilvl="0">
      <w:lvlJc w:val="left"/>
      <w:lvlText w:val="●"/>
      <w:numFmt w:val="bullet"/>
      <w:start w:val="1"/>
    </w:lvl>
  </w:abstractNum>
  <w:abstractNum w:abstractNumId="48">
    <w:nsid w:val="3C5991AA"/>
    <w:multiLevelType w:val="hybridMultilevel"/>
    <w:lvl w:ilvl="0">
      <w:lvlJc w:val="left"/>
      <w:lvlText w:val="●"/>
      <w:numFmt w:val="bullet"/>
      <w:start w:val="1"/>
    </w:lvl>
  </w:abstractNum>
  <w:abstractNum w:abstractNumId="49">
    <w:nsid w:val="4BD8591A"/>
    <w:multiLevelType w:val="hybridMultilevel"/>
    <w:lvl w:ilvl="0">
      <w:lvlJc w:val="left"/>
      <w:lvlText w:val="●"/>
      <w:numFmt w:val="bullet"/>
      <w:start w:val="1"/>
    </w:lvl>
  </w:abstractNum>
  <w:abstractNum w:abstractNumId="50">
    <w:nsid w:val="78DF6A55"/>
    <w:multiLevelType w:val="hybridMultilevel"/>
    <w:lvl w:ilvl="0">
      <w:lvlJc w:val="left"/>
      <w:lvlText w:val="●"/>
      <w:numFmt w:val="bullet"/>
      <w:start w:val="1"/>
    </w:lvl>
  </w:abstractNum>
  <w:abstractNum w:abstractNumId="51">
    <w:nsid w:val="39B7AAA2"/>
    <w:multiLevelType w:val="hybridMultilevel"/>
    <w:lvl w:ilvl="0">
      <w:lvlJc w:val="left"/>
      <w:lvlText w:val="●"/>
      <w:numFmt w:val="bullet"/>
      <w:start w:val="1"/>
    </w:lvl>
  </w:abstractNum>
  <w:abstractNum w:abstractNumId="52">
    <w:nsid w:val="2B0D8DBE"/>
    <w:multiLevelType w:val="hybridMultilevel"/>
    <w:lvl w:ilvl="0">
      <w:lvlJc w:val="left"/>
      <w:lvlText w:val="●"/>
      <w:numFmt w:val="bullet"/>
      <w:start w:val="1"/>
    </w:lvl>
  </w:abstractNum>
  <w:abstractNum w:abstractNumId="53">
    <w:nsid w:val="6C80EC70"/>
    <w:multiLevelType w:val="hybridMultilevel"/>
    <w:lvl w:ilvl="0">
      <w:lvlJc w:val="left"/>
      <w:lvlText w:val="●"/>
      <w:numFmt w:val="bullet"/>
      <w:start w:val="1"/>
    </w:lvl>
  </w:abstractNum>
  <w:abstractNum w:abstractNumId="54">
    <w:nsid w:val="379E21B5"/>
    <w:multiLevelType w:val="hybridMultilevel"/>
    <w:lvl w:ilvl="0">
      <w:lvlJc w:val="left"/>
      <w:lvlText w:val="●"/>
      <w:numFmt w:val="bullet"/>
      <w:start w:val="1"/>
    </w:lvl>
  </w:abstractNum>
  <w:abstractNum w:abstractNumId="55">
    <w:nsid w:val="69E373"/>
    <w:multiLevelType w:val="hybridMultilevel"/>
    <w:lvl w:ilvl="0">
      <w:lvlJc w:val="left"/>
      <w:lvlText w:val="(%1)"/>
      <w:numFmt w:val="lowerRoman"/>
      <w:start w:val="1"/>
    </w:lvl>
  </w:abstractNum>
  <w:abstractNum w:abstractNumId="56">
    <w:nsid w:val="2C27173B"/>
    <w:multiLevelType w:val="hybridMultilevel"/>
    <w:lvl w:ilvl="0">
      <w:lvlJc w:val="left"/>
      <w:lvlText w:val="(%1)"/>
      <w:numFmt w:val="lowerRoman"/>
      <w:start w:val="3"/>
    </w:lvl>
  </w:abstractNum>
  <w:abstractNum w:abstractNumId="57">
    <w:nsid w:val="4C9B0904"/>
    <w:multiLevelType w:val="hybridMultilevel"/>
    <w:lvl w:ilvl="0">
      <w:lvlJc w:val="left"/>
      <w:lvlText w:val="●"/>
      <w:numFmt w:val="bullet"/>
      <w:start w:val="1"/>
    </w:lvl>
  </w:abstractNum>
  <w:abstractNum w:abstractNumId="58">
    <w:nsid w:val="6AA7B75C"/>
    <w:multiLevelType w:val="hybridMultilevel"/>
    <w:lvl w:ilvl="0">
      <w:lvlJc w:val="left"/>
      <w:lvlText w:val="&amp;"/>
      <w:numFmt w:val="bullet"/>
      <w:start w:val="1"/>
    </w:lvl>
  </w:abstractNum>
  <w:abstractNum w:abstractNumId="59">
    <w:nsid w:val="1DF029D3"/>
    <w:multiLevelType w:val="hybridMultilevel"/>
    <w:lvl w:ilvl="0">
      <w:lvlJc w:val="left"/>
      <w:lvlText w:val="●"/>
      <w:numFmt w:val="bullet"/>
      <w:start w:val="1"/>
    </w:lvl>
  </w:abstractNum>
  <w:abstractNum w:abstractNumId="60">
    <w:nsid w:val="5675FF36"/>
    <w:multiLevelType w:val="hybridMultilevel"/>
    <w:lvl w:ilvl="0">
      <w:lvlJc w:val="left"/>
      <w:lvlText w:val="●"/>
      <w:numFmt w:val="bullet"/>
      <w:start w:val="1"/>
    </w:lvl>
  </w:abstractNum>
  <w:abstractNum w:abstractNumId="61">
    <w:nsid w:val="3DD15094"/>
    <w:multiLevelType w:val="hybridMultilevel"/>
    <w:lvl w:ilvl="0">
      <w:lvlJc w:val="left"/>
      <w:lvlText w:val="(%1)"/>
      <w:numFmt w:val="decimal"/>
      <w:start w:val="1"/>
    </w:lvl>
  </w:abstractNum>
  <w:abstractNum w:abstractNumId="62">
    <w:nsid w:val="3DB012B3"/>
    <w:multiLevelType w:val="hybridMultilevel"/>
    <w:lvl w:ilvl="0">
      <w:lvlJc w:val="left"/>
      <w:lvlText w:val="●"/>
      <w:numFmt w:val="bullet"/>
      <w:start w:val="1"/>
    </w:lvl>
  </w:abstractNum>
  <w:abstractNum w:abstractNumId="63">
    <w:nsid w:val="2708C9AF"/>
    <w:multiLevelType w:val="hybridMultilevel"/>
    <w:lvl w:ilvl="0">
      <w:lvlJc w:val="left"/>
      <w:lvlText w:val="●"/>
      <w:numFmt w:val="bullet"/>
      <w:start w:val="1"/>
    </w:lvl>
  </w:abstractNum>
  <w:abstractNum w:abstractNumId="64">
    <w:nsid w:val="5B25ACE2"/>
    <w:multiLevelType w:val="hybridMultilevel"/>
    <w:lvl w:ilvl="0">
      <w:lvlJc w:val="left"/>
      <w:lvlText w:val="●"/>
      <w:numFmt w:val="bullet"/>
      <w:start w:val="1"/>
    </w:lvl>
  </w:abstractNum>
  <w:abstractNum w:abstractNumId="65">
    <w:nsid w:val="175DFCF0"/>
    <w:multiLevelType w:val="hybridMultilevel"/>
    <w:lvl w:ilvl="0">
      <w:lvlJc w:val="left"/>
      <w:lvlText w:val="●"/>
      <w:numFmt w:val="bullet"/>
      <w:start w:val="1"/>
    </w:lvl>
  </w:abstractNum>
  <w:abstractNum w:abstractNumId="66">
    <w:nsid w:val="4F97E3E4"/>
    <w:multiLevelType w:val="hybridMultilevel"/>
    <w:lvl w:ilvl="0">
      <w:lvlJc w:val="left"/>
      <w:lvlText w:val="●"/>
      <w:numFmt w:val="bullet"/>
      <w:start w:val="1"/>
    </w:lvl>
  </w:abstractNum>
  <w:abstractNum w:abstractNumId="67">
    <w:nsid w:val="53B0A9E"/>
    <w:multiLevelType w:val="hybridMultilevel"/>
    <w:lvl w:ilvl="0">
      <w:lvlJc w:val="left"/>
      <w:lvlText w:val="●"/>
      <w:numFmt w:val="bullet"/>
      <w:start w:val="1"/>
    </w:lvl>
  </w:abstractNum>
  <w:abstractNum w:abstractNumId="68">
    <w:nsid w:val="34FD6B4F"/>
    <w:multiLevelType w:val="hybridMultilevel"/>
    <w:lvl w:ilvl="0">
      <w:lvlJc w:val="left"/>
      <w:lvlText w:val="%1."/>
      <w:numFmt w:val="upperLetter"/>
      <w:start w:val="1"/>
    </w:lvl>
  </w:abstractNum>
  <w:abstractNum w:abstractNumId="69">
    <w:nsid w:val="5915FF32"/>
    <w:multiLevelType w:val="hybridMultilevel"/>
    <w:lvl w:ilvl="0">
      <w:lvlJc w:val="left"/>
      <w:lvlText w:val="&amp;"/>
      <w:numFmt w:val="bullet"/>
      <w:start w:val="1"/>
    </w:lvl>
  </w:abstractNum>
  <w:abstractNum w:abstractNumId="70">
    <w:nsid w:val="56438D15"/>
    <w:multiLevelType w:val="hybridMultilevel"/>
    <w:lvl w:ilvl="0">
      <w:lvlJc w:val="left"/>
      <w:lvlText w:val="%1."/>
      <w:numFmt w:val="upperLetter"/>
      <w:start w:val="2"/>
    </w:lvl>
  </w:abstractNum>
  <w:abstractNum w:abstractNumId="71">
    <w:nsid w:val="519E3149"/>
    <w:multiLevelType w:val="hybridMultilevel"/>
    <w:lvl w:ilvl="0">
      <w:lvlJc w:val="left"/>
      <w:lvlText w:val="%1."/>
      <w:numFmt w:val="upperLetter"/>
      <w:start w:val="3"/>
    </w:lvl>
  </w:abstractNum>
  <w:abstractNum w:abstractNumId="72">
    <w:nsid w:val="2C6E4AFD"/>
    <w:multiLevelType w:val="hybridMultilevel"/>
    <w:lvl w:ilvl="0">
      <w:lvlJc w:val="left"/>
      <w:lvlText w:val="(%1)"/>
      <w:numFmt w:val="lowerLetter"/>
      <w:start w:val="1"/>
    </w:lvl>
  </w:abstractNum>
  <w:abstractNum w:abstractNumId="73">
    <w:nsid w:val="17A1B582"/>
    <w:multiLevelType w:val="hybridMultilevel"/>
    <w:lvl w:ilvl="0">
      <w:lvlJc w:val="left"/>
      <w:lvlText w:val="%1."/>
      <w:numFmt w:val="upperLetter"/>
      <w:start w:val="4"/>
    </w:lvl>
  </w:abstractNum>
  <w:abstractNum w:abstractNumId="74">
    <w:nsid w:val="4DF72E4E"/>
    <w:multiLevelType w:val="hybridMultilevel"/>
    <w:lvl w:ilvl="0">
      <w:lvlJc w:val="left"/>
      <w:lvlText w:val="%1."/>
      <w:numFmt w:val="upperLetter"/>
      <w:start w:val="6"/>
    </w:lvl>
  </w:abstractNum>
  <w:abstractNum w:abstractNumId="75">
    <w:nsid w:val="5046B5A9"/>
    <w:multiLevelType w:val="hybridMultilevel"/>
    <w:lvl w:ilvl="0">
      <w:lvlJc w:val="left"/>
      <w:lvlText w:val="%1."/>
      <w:numFmt w:val="upperLetter"/>
      <w:start w:val="8"/>
    </w:lvl>
  </w:abstractNum>
  <w:abstractNum w:abstractNumId="76">
    <w:nsid w:val="5D888A08"/>
    <w:multiLevelType w:val="hybridMultilevel"/>
    <w:lvl w:ilvl="0">
      <w:lvlJc w:val="left"/>
      <w:lvlText w:val="%1."/>
      <w:numFmt w:val="upperLetter"/>
      <w:start w:val="9"/>
    </w:lvl>
  </w:abstractNum>
  <w:abstractNum w:abstractNumId="77">
    <w:nsid w:val="2A082C70"/>
    <w:multiLevelType w:val="hybridMultilevel"/>
    <w:lvl w:ilvl="0">
      <w:lvlJc w:val="left"/>
      <w:lvlText w:val="%1"/>
      <w:numFmt w:val="decimal"/>
      <w:start w:val="863"/>
    </w:lvl>
  </w:abstractNum>
  <w:abstractNum w:abstractNumId="78">
    <w:nsid w:val="5EC6AFD4"/>
    <w:multiLevelType w:val="hybridMultilevel"/>
    <w:lvl w:ilvl="0">
      <w:lvlJc w:val="left"/>
      <w:lvlText w:val="%1."/>
      <w:numFmt w:val="upperLetter"/>
      <w:start w:val="11"/>
    </w:lvl>
  </w:abstractNum>
  <w:abstractNum w:abstractNumId="79">
    <w:nsid w:val="19E21BB2"/>
    <w:multiLevelType w:val="hybridMultilevel"/>
    <w:lvl w:ilvl="0">
      <w:lvlJc w:val="left"/>
      <w:lvlText w:val="%1."/>
      <w:numFmt w:val="upperLetter"/>
      <w:start w:val="12"/>
    </w:lvl>
  </w:abstractNum>
  <w:abstractNum w:abstractNumId="80">
    <w:nsid w:val="75E0858A"/>
    <w:multiLevelType w:val="hybridMultilevel"/>
    <w:lvl w:ilvl="0">
      <w:lvlJc w:val="left"/>
      <w:lvlText w:val="%1."/>
      <w:numFmt w:val="upperLetter"/>
      <w:start w:val="13"/>
    </w:lvl>
  </w:abstractNum>
  <w:abstractNum w:abstractNumId="81">
    <w:nsid w:val="57A61A29"/>
    <w:multiLevelType w:val="hybridMultilevel"/>
    <w:lvl w:ilvl="0">
      <w:lvlJc w:val="left"/>
      <w:lvlText w:val="%1."/>
      <w:numFmt w:val="upperLetter"/>
      <w:start w:val="14"/>
    </w:lvl>
  </w:abstractNum>
  <w:abstractNum w:abstractNumId="82">
    <w:nsid w:val="5399C654"/>
    <w:multiLevelType w:val="hybridMultilevel"/>
    <w:lvl w:ilvl="0">
      <w:lvlJc w:val="left"/>
      <w:lvlText w:val="%1."/>
      <w:numFmt w:val="upperLetter"/>
      <w:start w:val="15"/>
    </w:lvl>
  </w:abstractNum>
  <w:abstractNum w:abstractNumId="83">
    <w:nsid w:val="20EE1348"/>
    <w:multiLevelType w:val="hybridMultilevel"/>
    <w:lvl w:ilvl="0">
      <w:lvlJc w:val="left"/>
      <w:lvlText w:val="%1."/>
      <w:numFmt w:val="upperLetter"/>
      <w:start w:val="16"/>
    </w:lvl>
  </w:abstractNum>
  <w:abstractNum w:abstractNumId="84">
    <w:nsid w:val="4427069A"/>
    <w:multiLevelType w:val="hybridMultilevel"/>
    <w:lvl w:ilvl="0">
      <w:lvlJc w:val="left"/>
      <w:lvlText w:val="%1."/>
      <w:numFmt w:val="upperLetter"/>
      <w:start w:val="17"/>
    </w:lvl>
  </w:abstractNum>
  <w:abstractNum w:abstractNumId="85">
    <w:nsid w:val="B37E80A"/>
    <w:multiLevelType w:val="hybridMultilevel"/>
    <w:lvl w:ilvl="0">
      <w:lvlJc w:val="left"/>
      <w:lvlText w:val="%1."/>
      <w:numFmt w:val="upperLetter"/>
      <w:start w:val="18"/>
    </w:lvl>
  </w:abstractNum>
  <w:abstractNum w:abstractNumId="86">
    <w:nsid w:val="2157F6BC"/>
    <w:multiLevelType w:val="hybridMultilevel"/>
    <w:lvl w:ilvl="0">
      <w:lvlJc w:val="left"/>
      <w:lvlText w:val="%1."/>
      <w:numFmt w:val="upperLetter"/>
      <w:start w:val="19"/>
    </w:lvl>
  </w:abstractNum>
  <w:abstractNum w:abstractNumId="87">
    <w:nsid w:val="704E1DD5"/>
    <w:multiLevelType w:val="hybridMultilevel"/>
    <w:lvl w:ilvl="0">
      <w:lvlJc w:val="left"/>
      <w:lvlText w:val="%1."/>
      <w:numFmt w:val="upperLetter"/>
      <w:start w:val="20"/>
    </w:lvl>
  </w:abstractNum>
  <w:abstractNum w:abstractNumId="88">
    <w:nsid w:val="57D2F10E"/>
    <w:multiLevelType w:val="hybridMultilevel"/>
    <w:lvl w:ilvl="0">
      <w:lvlJc w:val="left"/>
      <w:lvlText w:val="●"/>
      <w:numFmt w:val="bullet"/>
      <w:start w:val="1"/>
    </w:lvl>
  </w:abstractNum>
  <w:abstractNum w:abstractNumId="89">
    <w:nsid w:val="BFFAE18"/>
    <w:multiLevelType w:val="hybridMultilevel"/>
    <w:lvl w:ilvl="0">
      <w:lvlJc w:val="left"/>
      <w:lvlText w:val="%1."/>
      <w:numFmt w:val="upperLetter"/>
      <w:start w:val="21"/>
    </w:lvl>
  </w:abstractNum>
  <w:abstractNum w:abstractNumId="90">
    <w:nsid w:val="E3E47A8"/>
    <w:multiLevelType w:val="hybridMultilevel"/>
    <w:lvl w:ilvl="0">
      <w:lvlJc w:val="left"/>
      <w:lvlText w:val="*"/>
      <w:numFmt w:val="bullet"/>
      <w:start w:val="1"/>
    </w:lvl>
  </w:abstractNum>
  <w:abstractNum w:abstractNumId="91">
    <w:nsid w:val="2E48F044"/>
    <w:multiLevelType w:val="hybridMultilevel"/>
    <w:lvl w:ilvl="0">
      <w:lvlJc w:val="left"/>
      <w:lvlText w:val="**"/>
      <w:numFmt w:val="bullet"/>
      <w:start w:val="1"/>
    </w:lvl>
  </w:abstractNum>
  <w:abstractNum w:abstractNumId="92">
    <w:nsid w:val="49D0FEAC"/>
    <w:multiLevelType w:val="hybridMultilevel"/>
    <w:lvl w:ilvl="0">
      <w:lvlJc w:val="left"/>
      <w:lvlText w:val="***"/>
      <w:numFmt w:val="bullet"/>
      <w:start w:val="1"/>
    </w:lvl>
  </w:abstractNum>
  <w:abstractNum w:abstractNumId="93">
    <w:nsid w:val="4BEE5A5B"/>
    <w:multiLevelType w:val="hybridMultilevel"/>
    <w:lvl w:ilvl="0">
      <w:lvlJc w:val="left"/>
      <w:lvlText w:val="#"/>
      <w:numFmt w:val="bullet"/>
      <w:start w:val="1"/>
    </w:lvl>
  </w:abstractNum>
  <w:abstractNum w:abstractNumId="94">
    <w:nsid w:val="5551B9F3"/>
    <w:multiLevelType w:val="hybridMultilevel"/>
    <w:lvl w:ilvl="0">
      <w:lvlJc w:val="left"/>
      <w:lvlText w:val="+"/>
      <w:numFmt w:val="bullet"/>
      <w:start w:val="1"/>
    </w:lvl>
    <w:lvl w:ilvl="1">
      <w:lvlJc w:val="left"/>
      <w:lvlText w:val="†"/>
      <w:numFmt w:val="bullet"/>
      <w:start w:val="1"/>
    </w:lvl>
  </w:abstractNum>
  <w:abstractNum w:abstractNumId="95">
    <w:nsid w:val="24F6AB8E"/>
    <w:multiLevelType w:val="hybridMultilevel"/>
    <w:lvl w:ilvl="0">
      <w:lvlJc w:val="left"/>
      <w:lvlText w:val="●"/>
      <w:numFmt w:val="bullet"/>
      <w:start w:val="1"/>
    </w:lvl>
  </w:abstractNum>
  <w:abstractNum w:abstractNumId="96">
    <w:nsid w:val="634C574C"/>
    <w:multiLevelType w:val="hybridMultilevel"/>
    <w:lvl w:ilvl="0">
      <w:lvlJc w:val="left"/>
      <w:lvlText w:val="●"/>
      <w:numFmt w:val="bullet"/>
      <w:start w:val="1"/>
    </w:lvl>
  </w:abstractNum>
  <w:abstractNum w:abstractNumId="97">
    <w:nsid w:val="24E99DD7"/>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98">
    <w:nsid w:val="2A31B62D"/>
    <w:multiLevelType w:val="hybridMultilevel"/>
    <w:lvl w:ilvl="0">
      <w:lvlJc w:val="left"/>
      <w:lvlText w:val="%1."/>
      <w:numFmt w:val="decimal"/>
      <w:start w:val="2"/>
    </w:lvl>
    <w:lvl w:ilvl="1">
      <w:lvlJc w:val="left"/>
      <w:lvlText w:val="%2"/>
      <w:numFmt w:val="decimal"/>
      <w:start w:val="1"/>
    </w:lvl>
    <w:lvl w:ilvl="2">
      <w:lvlJc w:val="left"/>
      <w:lvlText w:val="%3"/>
      <w:numFmt w:val="upperLetter"/>
      <w:start w:val="1"/>
    </w:lvl>
  </w:abstractNum>
  <w:abstractNum w:abstractNumId="99">
    <w:nsid w:val="1849C29B"/>
    <w:multiLevelType w:val="hybridMultilevel"/>
    <w:lvl w:ilvl="0">
      <w:lvlJc w:val="left"/>
      <w:lvlText w:val="%1."/>
      <w:numFmt w:val="upperLetter"/>
      <w:start w:val="1"/>
    </w:lvl>
    <w:lvl w:ilvl="1">
      <w:lvlJc w:val="left"/>
      <w:lvlText w:val="%2."/>
      <w:numFmt w:val="upperLetter"/>
      <w:start w:val="2"/>
    </w:lvl>
  </w:abstractNum>
  <w:abstractNum w:abstractNumId="100">
    <w:nsid w:val="7DFF9D09"/>
    <w:multiLevelType w:val="hybridMultilevel"/>
    <w:lvl w:ilvl="0">
      <w:lvlJc w:val="left"/>
      <w:lvlText w:val="%1."/>
      <w:numFmt w:val="upperLetter"/>
      <w:start w:val="4"/>
    </w:lvl>
  </w:abstractNum>
  <w:abstractNum w:abstractNumId="101">
    <w:nsid w:val="754342"/>
    <w:multiLevelType w:val="hybridMultilevel"/>
    <w:lvl w:ilvl="0">
      <w:lvlJc w:val="left"/>
      <w:lvlText w:val="%1"/>
      <w:numFmt w:val="decimal"/>
      <w:start w:val="1"/>
    </w:lvl>
    <w:lvl w:ilvl="1">
      <w:lvlJc w:val="left"/>
      <w:lvlText w:val="%2."/>
      <w:numFmt w:val="upperLetter"/>
      <w:start w:val="5"/>
    </w:lvl>
  </w:abstractNum>
  <w:abstractNum w:abstractNumId="102">
    <w:nsid w:val="69E7F3E5"/>
    <w:multiLevelType w:val="hybridMultilevel"/>
    <w:lvl w:ilvl="0">
      <w:lvlJc w:val="left"/>
      <w:lvlText w:val="%1."/>
      <w:numFmt w:val="decimal"/>
      <w:start w:val="3"/>
    </w:lvl>
    <w:lvl w:ilvl="1">
      <w:lvlJc w:val="left"/>
      <w:lvlText w:val="%2"/>
      <w:numFmt w:val="upperLetter"/>
      <w:start w:val="1"/>
    </w:lvl>
  </w:abstractNum>
  <w:abstractNum w:abstractNumId="103">
    <w:nsid w:val="2A6DE806"/>
    <w:multiLevelType w:val="hybridMultilevel"/>
    <w:lvl w:ilvl="0">
      <w:lvlJc w:val="left"/>
      <w:lvlText w:val="%1."/>
      <w:numFmt w:val="upperLetter"/>
      <w:start w:val="1"/>
    </w:lvl>
  </w:abstractNum>
  <w:abstractNum w:abstractNumId="104">
    <w:nsid w:val="1816F8C4"/>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105">
    <w:nsid w:val="37DF223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106">
    <w:nsid w:val="7AB49DAF"/>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107">
    <w:nsid w:val="759F82CD"/>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08">
    <w:nsid w:val="61E74EA3"/>
    <w:multiLevelType w:val="hybridMultilevel"/>
    <w:lvl w:ilvl="0">
      <w:lvlJc w:val="left"/>
      <w:lvlText w:val="%1."/>
      <w:numFmt w:val="lowerRoman"/>
      <w:start w:val="3"/>
    </w:lvl>
    <w:lvl w:ilvl="1">
      <w:lvlJc w:val="left"/>
      <w:lvlText w:val="%2."/>
      <w:numFmt w:val="upperLetter"/>
      <w:start w:val="5"/>
    </w:lvl>
    <w:lvl w:ilvl="2">
      <w:lvlJc w:val="left"/>
      <w:lvlText w:val="%3."/>
      <w:numFmt w:val="decimal"/>
      <w:start w:val="3"/>
    </w:lvl>
    <w:lvl w:ilvl="3">
      <w:lvlJc w:val="left"/>
      <w:lvlText w:val="%4."/>
      <w:numFmt w:val="lowerLetter"/>
      <w:start w:val="1"/>
    </w:lvl>
  </w:abstractNum>
  <w:abstractNum w:abstractNumId="109">
    <w:nsid w:val="597B4D84"/>
    <w:multiLevelType w:val="hybridMultilevel"/>
    <w:lvl w:ilvl="0">
      <w:lvlJc w:val="left"/>
      <w:lvlText w:val="%1"/>
      <w:numFmt w:val="decimal"/>
      <w:start w:val="1"/>
    </w:lvl>
    <w:lvl w:ilvl="1">
      <w:lvlJc w:val="left"/>
      <w:lvlText w:val="%2."/>
      <w:numFmt w:val="upperLetter"/>
      <w:start w:val="7"/>
    </w:lvl>
    <w:lvl w:ilvl="2">
      <w:lvlJc w:val="left"/>
      <w:lvlText w:val="%3"/>
      <w:numFmt w:val="upperLetter"/>
      <w:start w:val="1"/>
    </w:lvl>
    <w:lvl w:ilvl="3">
      <w:lvlJc w:val="left"/>
      <w:lvlText w:val="%4"/>
      <w:numFmt w:val="decimal"/>
      <w:start w:val="1"/>
    </w:lvl>
  </w:abstractNum>
  <w:abstractNum w:abstractNumId="110">
    <w:nsid w:val="F819E7F"/>
    <w:multiLevelType w:val="hybridMultilevel"/>
    <w:lvl w:ilvl="0">
      <w:lvlJc w:val="left"/>
      <w:lvlText w:val="%1."/>
      <w:numFmt w:val="decimal"/>
      <w:start w:val="5"/>
    </w:lvl>
    <w:lvl w:ilvl="1">
      <w:lvlJc w:val="left"/>
      <w:lvlText w:val="%2"/>
      <w:numFmt w:val="upperLetter"/>
      <w:start w:val="1"/>
    </w:lvl>
    <w:lvl w:ilvl="2">
      <w:lvlJc w:val="left"/>
      <w:lvlText w:val="%3."/>
      <w:numFmt w:val="upperLetter"/>
      <w:start w:val="1"/>
    </w:lvl>
    <w:lvl w:ilvl="3">
      <w:lvlJc w:val="left"/>
      <w:lvlText w:val="%4."/>
      <w:numFmt w:val="decimal"/>
      <w:start w:val="1"/>
    </w:lvl>
  </w:abstractNum>
  <w:abstractNum w:abstractNumId="111">
    <w:nsid w:val="57C7D42D"/>
    <w:multiLevelType w:val="hybridMultilevel"/>
    <w:lvl w:ilvl="0">
      <w:lvlJc w:val="left"/>
      <w:lvlText w:val="%1."/>
      <w:numFmt w:val="decimal"/>
      <w:start w:val="6"/>
    </w:lvl>
    <w:lvl w:ilvl="1">
      <w:lvlJc w:val="left"/>
      <w:lvlText w:val="%2."/>
      <w:numFmt w:val="upperLetter"/>
      <w:start w:val="1"/>
    </w:lvl>
    <w:lvl w:ilvl="2">
      <w:lvlJc w:val="left"/>
      <w:lvlText w:val="%3."/>
      <w:numFmt w:val="upperLetter"/>
      <w:start w:val="2"/>
    </w:lvl>
  </w:abstractNum>
  <w:abstractNum w:abstractNumId="112">
    <w:nsid w:val="312167AD"/>
    <w:multiLevelType w:val="hybridMultilevel"/>
    <w:lvl w:ilvl="0">
      <w:lvlJc w:val="left"/>
      <w:lvlText w:val="%1."/>
      <w:numFmt w:val="upperLetter"/>
      <w:start w:val="4"/>
    </w:lvl>
  </w:abstractNum>
  <w:abstractNum w:abstractNumId="113">
    <w:nsid w:val="631B64D4"/>
    <w:multiLevelType w:val="hybridMultilevel"/>
    <w:lvl w:ilvl="0">
      <w:lvlJc w:val="left"/>
      <w:lvlText w:val="%1."/>
      <w:numFmt w:val="decimal"/>
      <w:start w:val="7"/>
    </w:lvl>
    <w:lvl w:ilvl="1">
      <w:lvlJc w:val="left"/>
      <w:lvlText w:val="%2."/>
      <w:numFmt w:val="upperLetter"/>
      <w:start w:val="1"/>
    </w:lvl>
    <w:lvl w:ilvl="2">
      <w:lvlJc w:val="left"/>
      <w:lvlText w:val="%3."/>
      <w:numFmt w:val="upperLetter"/>
      <w:start w:val="2"/>
    </w:lvl>
  </w:abstractNum>
  <w:abstractNum w:abstractNumId="114">
    <w:nsid w:val="78B5E776"/>
    <w:multiLevelType w:val="hybridMultilevel"/>
    <w:lvl w:ilvl="0">
      <w:lvlJc w:val="left"/>
      <w:lvlText w:val="%1"/>
      <w:numFmt w:val="decimal"/>
      <w:start w:val="1"/>
    </w:lvl>
    <w:lvl w:ilvl="1">
      <w:lvlJc w:val="left"/>
      <w:lvlText w:val="%2."/>
      <w:numFmt w:val="decimal"/>
      <w:start w:val="8"/>
    </w:lvl>
    <w:lvl w:ilvl="2">
      <w:lvlJc w:val="left"/>
      <w:lvlText w:val="%3."/>
      <w:numFmt w:val="upperLetter"/>
      <w:start w:val="1"/>
    </w:lvl>
  </w:abstractNum>
  <w:abstractNum w:abstractNumId="115">
    <w:nsid w:val="75486E47"/>
    <w:multiLevelType w:val="hybridMultilevel"/>
    <w:lvl w:ilvl="0">
      <w:lvlJc w:val="left"/>
      <w:lvlText w:val="%1."/>
      <w:numFmt w:val="decimal"/>
      <w:start w:val="9"/>
    </w:lvl>
    <w:lvl w:ilvl="1">
      <w:lvlJc w:val="left"/>
      <w:lvlText w:val="%2"/>
      <w:numFmt w:val="decimal"/>
      <w:start w:val="1"/>
    </w:lvl>
    <w:lvl w:ilvl="2">
      <w:lvlJc w:val="left"/>
      <w:lvlText w:val="%3"/>
      <w:numFmt w:val="upperLetter"/>
      <w:start w:val="1"/>
    </w:lvl>
  </w:abstractNum>
  <w:abstractNum w:abstractNumId="116">
    <w:nsid w:val="6E534CDE"/>
    <w:multiLevelType w:val="hybridMultilevel"/>
    <w:lvl w:ilvl="0">
      <w:lvlJc w:val="left"/>
      <w:lvlText w:val="%1."/>
      <w:numFmt w:val="decimal"/>
      <w:start w:val="10"/>
    </w:lvl>
  </w:abstractNum>
  <w:abstractNum w:abstractNumId="117">
    <w:nsid w:val="1A0DDE32"/>
    <w:multiLevelType w:val="hybridMultilevel"/>
    <w:lvl w:ilvl="0">
      <w:lvlJc w:val="left"/>
      <w:lvlText w:val="%1"/>
      <w:numFmt w:val="decimal"/>
      <w:start w:val="1"/>
    </w:lvl>
    <w:lvl w:ilvl="1">
      <w:lvlJc w:val="left"/>
      <w:lvlText w:val="%2"/>
      <w:numFmt w:val="decimal"/>
      <w:start w:val="1"/>
    </w:lvl>
    <w:lvl w:ilvl="2">
      <w:lvlJc w:val="left"/>
      <w:lvlText w:val="%3."/>
      <w:numFmt w:val="decimal"/>
      <w:start w:val="14"/>
    </w:lvl>
    <w:lvl w:ilvl="3">
      <w:lvlJc w:val="left"/>
      <w:lvlText w:val="%4."/>
      <w:numFmt w:val="upperLetter"/>
      <w:start w:val="1"/>
    </w:lvl>
    <w:lvl w:ilvl="4">
      <w:lvlJc w:val="left"/>
      <w:lvlText w:val="%5."/>
      <w:numFmt w:val="upperLetter"/>
      <w:start w:val="2"/>
    </w:lvl>
  </w:abstractNum>
  <w:abstractNum w:abstractNumId="118">
    <w:nsid w:val="65968C1C"/>
    <w:multiLevelType w:val="hybridMultilevel"/>
    <w:lvl w:ilvl="0">
      <w:lvlJc w:val="left"/>
      <w:lvlText w:val="%1."/>
      <w:numFmt w:val="decimal"/>
      <w:start w:val="15"/>
    </w:lvl>
    <w:lvl w:ilvl="1">
      <w:lvlJc w:val="left"/>
      <w:lvlText w:val="%2."/>
      <w:numFmt w:val="decimal"/>
      <w:start w:val="16"/>
    </w:lvl>
    <w:lvl w:ilvl="2">
      <w:lvlJc w:val="left"/>
      <w:lvlText w:val="%3"/>
      <w:numFmt w:val="decimal"/>
      <w:start w:val="1"/>
    </w:lvl>
    <w:lvl w:ilvl="3">
      <w:lvlJc w:val="left"/>
      <w:lvlText w:val="%4"/>
      <w:numFmt w:val="upperLetter"/>
      <w:start w:val="1"/>
    </w:lvl>
    <w:lvl w:ilvl="4">
      <w:lvlJc w:val="left"/>
      <w:lvlText w:val="%5"/>
      <w:numFmt w:val="upperLetter"/>
      <w:start w:val="1"/>
    </w:lvl>
  </w:abstractNum>
  <w:abstractNum w:abstractNumId="119">
    <w:nsid w:val="46263DEC"/>
    <w:multiLevelType w:val="hybridMultilevel"/>
    <w:lvl w:ilvl="0">
      <w:lvlJc w:val="left"/>
      <w:lvlText w:val="%1."/>
      <w:numFmt w:val="upperLetter"/>
      <w:start w:val="2"/>
    </w:lvl>
  </w:abstractNum>
  <w:abstractNum w:abstractNumId="120">
    <w:nsid w:val="260D8C4A"/>
    <w:multiLevelType w:val="hybridMultilevel"/>
    <w:lvl w:ilvl="0">
      <w:lvlJc w:val="left"/>
      <w:lvlText w:val="%1"/>
      <w:numFmt w:val="upperLetter"/>
      <w:start w:val="1"/>
    </w:lvl>
    <w:lvl w:ilvl="1">
      <w:lvlJc w:val="left"/>
      <w:lvlText w:val="%2."/>
      <w:numFmt w:val="upperLetter"/>
      <w:start w:val="3"/>
    </w:lvl>
    <w:lvl w:ilvl="2">
      <w:lvlJc w:val="left"/>
      <w:lvlText w:val="%3."/>
      <w:numFmt w:val="upperLetter"/>
      <w:start w:val="4"/>
    </w:lvl>
  </w:abstractNum>
  <w:abstractNum w:abstractNumId="121">
    <w:nsid w:val="73D4D3C4"/>
    <w:multiLevelType w:val="hybridMultilevel"/>
    <w:lvl w:ilvl="0">
      <w:lvlJc w:val="left"/>
      <w:lvlText w:val="%1"/>
      <w:numFmt w:val="upperLetter"/>
      <w:start w:val="1"/>
    </w:lvl>
    <w:lvl w:ilvl="1">
      <w:lvlJc w:val="left"/>
      <w:lvlText w:val="%2."/>
      <w:numFmt w:val="upperLetter"/>
      <w:start w:val="5"/>
    </w:lvl>
    <w:lvl w:ilvl="2">
      <w:lvlJc w:val="left"/>
      <w:lvlText w:val="%3."/>
      <w:numFmt w:val="upperLetter"/>
      <w:start w:val="7"/>
    </w:lvl>
  </w:abstractNum>
  <w:abstractNum w:abstractNumId="122">
    <w:nsid w:val="746F2E30"/>
    <w:multiLevelType w:val="hybridMultilevel"/>
    <w:lvl w:ilvl="0">
      <w:lvlJc w:val="left"/>
      <w:lvlText w:val="%1."/>
      <w:numFmt w:val="upperLetter"/>
      <w:start w:val="8"/>
    </w:lvl>
    <w:lvl w:ilvl="1">
      <w:lvlJc w:val="left"/>
      <w:lvlText w:val="%2"/>
      <w:numFmt w:val="upperLetter"/>
      <w:start w:val="1"/>
    </w:lvl>
    <w:lvl w:ilvl="2">
      <w:lvlJc w:val="left"/>
      <w:lvlText w:val="%3"/>
      <w:numFmt w:val="upperLetter"/>
      <w:start w:val="1"/>
    </w:lvl>
  </w:abstractNum>
  <w:abstractNum w:abstractNumId="123">
    <w:nsid w:val="6FDE8AF6"/>
    <w:multiLevelType w:val="hybridMultilevel"/>
    <w:lvl w:ilvl="0">
      <w:lvlJc w:val="left"/>
      <w:lvlText w:val="%1"/>
      <w:numFmt w:val="upperLetter"/>
      <w:start w:val="1"/>
    </w:lvl>
    <w:lvl w:ilvl="1">
      <w:lvlJc w:val="left"/>
      <w:lvlText w:val="%2."/>
      <w:numFmt w:val="upperLetter"/>
      <w:start w:val="9"/>
    </w:lvl>
  </w:abstractNum>
  <w:abstractNum w:abstractNumId="124">
    <w:nsid w:val="3FC32E20"/>
    <w:multiLevelType w:val="hybridMultilevel"/>
    <w:lvl w:ilvl="0">
      <w:lvlJc w:val="left"/>
      <w:lvlText w:val="%1."/>
      <w:numFmt w:val="upperLetter"/>
      <w:start w:val="11"/>
    </w:lvl>
    <w:lvl w:ilvl="1">
      <w:lvlJc w:val="left"/>
      <w:lvlText w:val="%2"/>
      <w:numFmt w:val="upperLetter"/>
      <w:start w:val="1"/>
    </w:lvl>
  </w:abstractNum>
  <w:abstractNum w:abstractNumId="125">
    <w:nsid w:val="49C0E823"/>
    <w:multiLevelType w:val="hybridMultilevel"/>
    <w:lvl w:ilvl="0">
      <w:lvlJc w:val="left"/>
      <w:lvlText w:val="%1."/>
      <w:numFmt w:val="upperLetter"/>
      <w:start w:val="9"/>
    </w:lvl>
  </w:abstractNum>
  <w:abstractNum w:abstractNumId="126">
    <w:nsid w:val="14D53685"/>
    <w:multiLevelType w:val="hybridMultilevel"/>
    <w:lvl w:ilvl="0">
      <w:lvlJc w:val="left"/>
      <w:lvlText w:val="%1."/>
      <w:numFmt w:val="decimal"/>
      <w:start w:val="2"/>
    </w:lvl>
  </w:abstractNum>
  <w:abstractNum w:abstractNumId="127">
    <w:nsid w:val="230F856C"/>
    <w:multiLevelType w:val="hybridMultilevel"/>
    <w:lvl w:ilvl="0">
      <w:lvlJc w:val="left"/>
      <w:lvlText w:val="%1."/>
      <w:numFmt w:val="decimal"/>
      <w:start w:val="3"/>
    </w:lvl>
  </w:abstractNum>
  <w:abstractNum w:abstractNumId="128">
    <w:nsid w:val="6EAA85FB"/>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129">
    <w:nsid w:val="3F06ECB2"/>
    <w:multiLevelType w:val="hybridMultilevel"/>
    <w:lvl w:ilvl="0">
      <w:lvlJc w:val="left"/>
      <w:lvlText w:val="%1."/>
      <w:numFmt w:val="decimal"/>
      <w:start w:val="11"/>
    </w:lvl>
    <w:lvl w:ilvl="1">
      <w:lvlJc w:val="left"/>
      <w:lvlText w:val="%2"/>
      <w:numFmt w:val="decimal"/>
      <w:start w:val="1"/>
    </w:lvl>
    <w:lvl w:ilvl="2">
      <w:lvlJc w:val="left"/>
      <w:lvlText w:val="%3."/>
      <w:numFmt w:val="decimal"/>
      <w:start w:val="15"/>
    </w:lvl>
    <w:lvl w:ilvl="3">
      <w:lvlJc w:val="left"/>
      <w:lvlText w:val="%4."/>
      <w:numFmt w:val="lowerLetter"/>
      <w:start w:val="1"/>
    </w:lvl>
    <w:lvl w:ilvl="4">
      <w:lvlJc w:val="left"/>
      <w:lvlText w:val="%5."/>
      <w:numFmt w:val="lowerLetter"/>
      <w:start w:val="4"/>
    </w:lvl>
  </w:abstractNum>
  <w:abstractNum w:abstractNumId="130">
    <w:nsid w:val="3B594807"/>
    <w:multiLevelType w:val="hybridMultilevel"/>
    <w:lvl w:ilvl="0">
      <w:lvlJc w:val="left"/>
      <w:lvlText w:val="%1."/>
      <w:numFmt w:val="lowerLetter"/>
      <w:start w:val="6"/>
    </w:lvl>
  </w:abstractNum>
  <w:abstractNum w:abstractNumId="131">
    <w:nsid w:val="6CAA2304"/>
    <w:multiLevelType w:val="hybridMultilevel"/>
    <w:lvl w:ilvl="0">
      <w:lvlJc w:val="left"/>
      <w:lvlText w:val="%1."/>
      <w:numFmt w:val="decimal"/>
      <w:start w:val="1"/>
    </w:lvl>
  </w:abstractNum>
  <w:abstractNum w:abstractNumId="132">
    <w:nsid w:val="3F7C2FF4"/>
    <w:multiLevelType w:val="hybridMultilevel"/>
    <w:lvl w:ilvl="0">
      <w:lvlJc w:val="left"/>
      <w:lvlText w:val="%1."/>
      <w:numFmt w:val="upperLetter"/>
      <w:start w:val="3"/>
    </w:lvl>
  </w:abstractNum>
  <w:abstractNum w:abstractNumId="133">
    <w:nsid w:val="25413BEC"/>
    <w:multiLevelType w:val="hybridMultilevel"/>
    <w:lvl w:ilvl="0">
      <w:lvlJc w:val="left"/>
      <w:lvlText w:val="%1."/>
      <w:numFmt w:val="upperLetter"/>
      <w:start w:val="5"/>
    </w:lvl>
  </w:abstractNum>
  <w:abstractNum w:abstractNumId="134">
    <w:nsid w:val="17180B0B"/>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2"/>
    </w:lvl>
  </w:abstractNum>
  <w:abstractNum w:abstractNumId="135">
    <w:nsid w:val="579328B9"/>
    <w:multiLevelType w:val="hybridMultilevel"/>
    <w:lvl w:ilvl="0">
      <w:lvlJc w:val="left"/>
      <w:lvlText w:val="%1"/>
      <w:numFmt w:val="decimal"/>
      <w:start w:val="1"/>
    </w:lvl>
    <w:lvl w:ilvl="1">
      <w:lvlJc w:val="left"/>
      <w:lvlText w:val="%2"/>
      <w:numFmt w:val="decimal"/>
      <w:start w:val="1"/>
    </w:lvl>
    <w:lvl w:ilvl="2">
      <w:lvlJc w:val="left"/>
      <w:lvlText w:val="%3."/>
      <w:numFmt w:val="upperLetter"/>
      <w:start w:val="4"/>
    </w:lvl>
    <w:lvl w:ilvl="3">
      <w:lvlJc w:val="left"/>
      <w:lvlText w:val="%4."/>
      <w:numFmt w:val="upperLetter"/>
      <w:start w:val="6"/>
    </w:lvl>
  </w:abstractNum>
  <w:abstractNum w:abstractNumId="136">
    <w:nsid w:val="5D205E20"/>
    <w:multiLevelType w:val="hybridMultilevel"/>
    <w:lvl w:ilvl="0">
      <w:lvlJc w:val="left"/>
      <w:lvlText w:val="%1."/>
      <w:numFmt w:val="decimal"/>
      <w:start w:val="3"/>
    </w:lvl>
    <w:lvl w:ilvl="1">
      <w:lvlJc w:val="left"/>
      <w:lvlText w:val="%2."/>
      <w:numFmt w:val="decimal"/>
      <w:start w:val="4"/>
    </w:lvl>
    <w:lvl w:ilvl="2">
      <w:lvlJc w:val="left"/>
      <w:lvlText w:val="%3."/>
      <w:numFmt w:val="upperLetter"/>
      <w:start w:val="1"/>
    </w:lvl>
    <w:lvl w:ilvl="3">
      <w:lvlJc w:val="left"/>
      <w:lvlText w:val="%4"/>
      <w:numFmt w:val="upperLetter"/>
      <w:start w:val="1"/>
    </w:lvl>
  </w:abstractNum>
  <w:abstractNum w:abstractNumId="137">
    <w:nsid w:val="11CCA8BA"/>
    <w:multiLevelType w:val="hybridMultilevel"/>
    <w:lvl w:ilvl="0">
      <w:lvlJc w:val="left"/>
      <w:lvlText w:val="%1"/>
      <w:numFmt w:val="upperLetter"/>
      <w:start w:val="1"/>
    </w:lvl>
    <w:lvl w:ilvl="1">
      <w:lvlJc w:val="left"/>
      <w:lvlText w:val="%2."/>
      <w:numFmt w:val="upperLetter"/>
      <w:start w:val="2"/>
    </w:lvl>
  </w:abstractNum>
  <w:abstractNum w:abstractNumId="138">
    <w:nsid w:val="4D32AB86"/>
    <w:multiLevelType w:val="hybridMultilevel"/>
    <w:lvl w:ilvl="0">
      <w:lvlJc w:val="left"/>
      <w:lvlText w:val="%1."/>
      <w:numFmt w:val="upperLetter"/>
      <w:start w:val="4"/>
    </w:lvl>
    <w:lvl w:ilvl="1">
      <w:lvlJc w:val="left"/>
      <w:lvlText w:val="%2"/>
      <w:numFmt w:val="upperLetter"/>
      <w:start w:val="1"/>
    </w:lvl>
  </w:abstractNum>
  <w:abstractNum w:abstractNumId="139">
    <w:nsid w:val="3F07ACC3"/>
    <w:multiLevelType w:val="hybridMultilevel"/>
    <w:lvl w:ilvl="0">
      <w:lvlJc w:val="left"/>
      <w:lvlText w:val="%1."/>
      <w:numFmt w:val="decimal"/>
      <w:start w:val="3"/>
    </w:lvl>
    <w:lvl w:ilvl="1">
      <w:lvlJc w:val="left"/>
      <w:lvlText w:val="%2."/>
      <w:numFmt w:val="lowerRoman"/>
      <w:start w:val="1"/>
    </w:lvl>
  </w:abstractNum>
  <w:abstractNum w:abstractNumId="140">
    <w:nsid w:val="6B47F63E"/>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1"/>
    </w:lvl>
  </w:abstractNum>
  <w:abstractNum w:abstractNumId="141">
    <w:nsid w:val="5CB44A05"/>
    <w:multiLevelType w:val="hybridMultilevel"/>
    <w:lvl w:ilvl="0">
      <w:lvlJc w:val="left"/>
      <w:lvlText w:val="%1."/>
      <w:numFmt w:val="decimal"/>
      <w:start w:val="4"/>
    </w:lvl>
    <w:lvl w:ilvl="1">
      <w:lvlJc w:val="left"/>
      <w:lvlText w:val="%2"/>
      <w:numFmt w:val="lowerRoman"/>
      <w:start w:val="1"/>
    </w:lvl>
    <w:lvl w:ilvl="2">
      <w:lvlJc w:val="left"/>
      <w:lvlText w:val="%3"/>
      <w:numFmt w:val="lowerLetter"/>
      <w:start w:val="1"/>
    </w:lvl>
  </w:abstractNum>
  <w:abstractNum w:abstractNumId="142">
    <w:nsid w:val="16CF80F1"/>
    <w:multiLevelType w:val="hybridMultilevel"/>
    <w:lvl w:ilvl="0">
      <w:lvlJc w:val="left"/>
      <w:lvlText w:val="%1"/>
      <w:numFmt w:val="decimal"/>
      <w:start w:val="1"/>
    </w:lvl>
    <w:lvl w:ilvl="1">
      <w:lvlJc w:val="left"/>
      <w:lvlText w:val="%2."/>
      <w:numFmt w:val="upperLetter"/>
      <w:start w:val="6"/>
    </w:lvl>
    <w:lvl w:ilvl="2">
      <w:lvlJc w:val="left"/>
      <w:lvlText w:val="%3"/>
      <w:numFmt w:val="upperLetter"/>
      <w:start w:val="1"/>
    </w:lvl>
  </w:abstractNum>
  <w:abstractNum w:abstractNumId="143">
    <w:nsid w:val="1C695DEC"/>
    <w:multiLevelType w:val="hybridMultilevel"/>
    <w:lvl w:ilvl="0">
      <w:lvlJc w:val="left"/>
      <w:lvlText w:val="%1."/>
      <w:numFmt w:val="decimal"/>
      <w:start w:val="5"/>
    </w:lvl>
    <w:lvl w:ilvl="1">
      <w:lvlJc w:val="left"/>
      <w:lvlText w:val="%2"/>
      <w:numFmt w:val="upperLetter"/>
      <w:start w:val="1"/>
    </w:lvl>
    <w:lvl w:ilvl="2">
      <w:lvlJc w:val="left"/>
      <w:lvlText w:val="%3."/>
      <w:numFmt w:val="upperLetter"/>
      <w:start w:val="1"/>
    </w:lvl>
  </w:abstractNum>
  <w:abstractNum w:abstractNumId="144">
    <w:nsid w:val="3FCFAED9"/>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
    </w:lvl>
  </w:abstractNum>
  <w:abstractNum w:abstractNumId="145">
    <w:nsid w:val="F856867"/>
    <w:multiLevelType w:val="hybridMultilevel"/>
    <w:lvl w:ilvl="0">
      <w:lvlJc w:val="left"/>
      <w:lvlText w:val="%1."/>
      <w:numFmt w:val="decimal"/>
      <w:start w:val="6"/>
    </w:lvl>
    <w:lvl w:ilvl="1">
      <w:lvlJc w:val="left"/>
      <w:lvlText w:val="%2."/>
      <w:numFmt w:val="upperLetter"/>
      <w:start w:val="1"/>
    </w:lvl>
    <w:lvl w:ilvl="2">
      <w:lvlJc w:val="left"/>
      <w:lvlText w:val="%3."/>
      <w:numFmt w:val="upperLetter"/>
      <w:start w:val="2"/>
    </w:lvl>
  </w:abstractNum>
  <w:abstractNum w:abstractNumId="146">
    <w:nsid w:val="11B1CC33"/>
    <w:multiLevelType w:val="hybridMultilevel"/>
    <w:lvl w:ilvl="0">
      <w:lvlJc w:val="left"/>
      <w:lvlText w:val="%1."/>
      <w:numFmt w:val="upperLetter"/>
      <w:start w:val="4"/>
    </w:lvl>
  </w:abstractNum>
  <w:abstractNum w:abstractNumId="147">
    <w:nsid w:val="2E22FBB7"/>
    <w:multiLevelType w:val="hybridMultilevel"/>
    <w:lvl w:ilvl="0">
      <w:lvlJc w:val="left"/>
      <w:lvlText w:val="%1."/>
      <w:numFmt w:val="decimal"/>
      <w:start w:val="7"/>
    </w:lvl>
  </w:abstractNum>
  <w:abstractNum w:abstractNumId="148">
    <w:nsid w:val="29934699"/>
    <w:multiLevelType w:val="hybridMultilevel"/>
    <w:lvl w:ilvl="0">
      <w:lvlJc w:val="left"/>
      <w:lvlText w:val="%1"/>
      <w:numFmt w:val="decimal"/>
      <w:start w:val="1"/>
    </w:lvl>
    <w:lvl w:ilvl="1">
      <w:lvlJc w:val="left"/>
      <w:lvlText w:val="%2."/>
      <w:numFmt w:val="decimal"/>
      <w:start w:val="8"/>
    </w:lvl>
    <w:lvl w:ilvl="2">
      <w:lvlJc w:val="left"/>
      <w:lvlText w:val="%3."/>
      <w:numFmt w:val="upperLetter"/>
      <w:start w:val="1"/>
    </w:lvl>
  </w:abstractNum>
  <w:abstractNum w:abstractNumId="149">
    <w:nsid w:val="77485850"/>
    <w:multiLevelType w:val="hybridMultilevel"/>
    <w:lvl w:ilvl="0">
      <w:lvlJc w:val="left"/>
      <w:lvlText w:val="%1."/>
      <w:numFmt w:val="decimal"/>
      <w:start w:val="9"/>
    </w:lvl>
    <w:lvl w:ilvl="1">
      <w:lvlJc w:val="left"/>
      <w:lvlText w:val="%2"/>
      <w:numFmt w:val="decimal"/>
      <w:start w:val="1"/>
    </w:lvl>
    <w:lvl w:ilvl="2">
      <w:lvlJc w:val="left"/>
      <w:lvlText w:val="%3"/>
      <w:numFmt w:val="upperLetter"/>
      <w:start w:val="1"/>
    </w:lvl>
  </w:abstractNum>
  <w:abstractNum w:abstractNumId="150">
    <w:nsid w:val="744939A3"/>
    <w:multiLevelType w:val="hybridMultilevel"/>
    <w:lvl w:ilvl="0">
      <w:lvlJc w:val="left"/>
      <w:lvlText w:val="%1."/>
      <w:numFmt w:val="decimal"/>
      <w:start w:val="10"/>
    </w:lvl>
  </w:abstractNum>
  <w:abstractNum w:abstractNumId="151">
    <w:nsid w:val="4FA0D2E3"/>
    <w:multiLevelType w:val="hybridMultilevel"/>
    <w:lvl w:ilvl="0">
      <w:lvlJc w:val="left"/>
      <w:lvlText w:val="%1"/>
      <w:numFmt w:val="decimal"/>
      <w:start w:val="1"/>
    </w:lvl>
    <w:lvl w:ilvl="1">
      <w:lvlJc w:val="left"/>
      <w:lvlText w:val="%2."/>
      <w:numFmt w:val="upperLetter"/>
      <w:start w:val="1"/>
    </w:lvl>
  </w:abstractNum>
  <w:abstractNum w:abstractNumId="152">
    <w:nsid w:val="6B1D2C14"/>
    <w:multiLevelType w:val="hybridMultilevel"/>
    <w:lvl w:ilvl="0">
      <w:lvlJc w:val="left"/>
      <w:lvlText w:val="%1."/>
      <w:numFmt w:val="decimal"/>
      <w:start w:val="15"/>
    </w:lvl>
    <w:lvl w:ilvl="1">
      <w:lvlJc w:val="left"/>
      <w:lvlText w:val="%2"/>
      <w:numFmt w:val="upperLetter"/>
      <w:start w:val="1"/>
    </w:lvl>
  </w:abstractNum>
  <w:abstractNum w:abstractNumId="153">
    <w:nsid w:val="68B867D3"/>
    <w:multiLevelType w:val="hybridMultilevel"/>
    <w:lvl w:ilvl="0">
      <w:lvlJc w:val="left"/>
      <w:lvlText w:val="%1"/>
      <w:numFmt w:val="upperLetter"/>
      <w:start w:val="1"/>
    </w:lvl>
    <w:lvl w:ilvl="1">
      <w:lvlJc w:val="left"/>
      <w:lvlText w:val="%2."/>
      <w:numFmt w:val="upperLetter"/>
      <w:start w:val="2"/>
    </w:lvl>
  </w:abstractNum>
  <w:abstractNum w:abstractNumId="154">
    <w:nsid w:val="3F7F5DD9"/>
    <w:multiLevelType w:val="hybridMultilevel"/>
    <w:lvl w:ilvl="0">
      <w:lvlJc w:val="left"/>
      <w:lvlText w:val="%1."/>
      <w:numFmt w:val="upperLetter"/>
      <w:start w:val="4"/>
    </w:lvl>
    <w:lvl w:ilvl="1">
      <w:lvlJc w:val="left"/>
      <w:lvlText w:val="%2"/>
      <w:numFmt w:val="upperLetter"/>
      <w:start w:val="1"/>
    </w:lvl>
  </w:abstractNum>
  <w:abstractNum w:abstractNumId="155">
    <w:nsid w:val="2AE05A34"/>
    <w:multiLevelType w:val="hybridMultilevel"/>
    <w:lvl w:ilvl="0">
      <w:lvlJc w:val="left"/>
      <w:lvlText w:val="%1"/>
      <w:numFmt w:val="upperLetter"/>
      <w:start w:val="1"/>
    </w:lvl>
    <w:lvl w:ilvl="1">
      <w:lvlJc w:val="left"/>
      <w:lvlText w:val="%2."/>
      <w:numFmt w:val="upperLetter"/>
      <w:start w:val="9"/>
    </w:lvl>
  </w:abstractNum>
  <w:abstractNum w:abstractNumId="156">
    <w:nsid w:val="32794FF7"/>
    <w:multiLevelType w:val="hybridMultilevel"/>
    <w:lvl w:ilvl="0">
      <w:lvlJc w:val="left"/>
      <w:lvlText w:val="%1."/>
      <w:numFmt w:val="upperLetter"/>
      <w:start w:val="10"/>
    </w:lvl>
    <w:lvl w:ilvl="1">
      <w:lvlJc w:val="left"/>
      <w:lvlText w:val="%2."/>
      <w:numFmt w:val="upperLetter"/>
      <w:start w:val="12"/>
    </w:lvl>
  </w:abstractNum>
  <w:abstractNum w:abstractNumId="157">
    <w:nsid w:val="5454945E"/>
    <w:multiLevelType w:val="hybridMultilevel"/>
    <w:lvl w:ilvl="0">
      <w:lvlJc w:val="left"/>
      <w:lvlText w:val="%1."/>
      <w:numFmt w:val="decimal"/>
      <w:start w:val="1"/>
    </w:lvl>
  </w:abstractNum>
  <w:abstractNum w:abstractNumId="158">
    <w:nsid w:val="4DEFDFA0"/>
    <w:multiLevelType w:val="hybridMultilevel"/>
    <w:lvl w:ilvl="0">
      <w:lvlJc w:val="left"/>
      <w:lvlText w:val="%1."/>
      <w:numFmt w:val="decimal"/>
      <w:start w:val="3"/>
    </w:lvl>
  </w:abstractNum>
  <w:abstractNum w:abstractNumId="159">
    <w:nsid w:val="2123D5F2"/>
    <w:multiLevelType w:val="hybridMultilevel"/>
    <w:lvl w:ilvl="0">
      <w:lvlJc w:val="left"/>
      <w:lvlText w:val="%1"/>
      <w:numFmt w:val="decimal"/>
      <w:start w:val="1"/>
    </w:lvl>
    <w:lvl w:ilvl="1">
      <w:lvlJc w:val="left"/>
      <w:lvlText w:val="%2."/>
      <w:numFmt w:val="decimal"/>
      <w:start w:val="7"/>
    </w:lvl>
  </w:abstractNum>
  <w:abstractNum w:abstractNumId="160">
    <w:nsid w:val="135B8110"/>
    <w:multiLevelType w:val="hybridMultilevel"/>
    <w:lvl w:ilvl="0">
      <w:lvlJc w:val="left"/>
      <w:lvlText w:val="%1."/>
      <w:numFmt w:val="decimal"/>
      <w:start w:val="11"/>
    </w:lvl>
    <w:lvl w:ilvl="1">
      <w:lvlJc w:val="left"/>
      <w:lvlText w:val="%2"/>
      <w:numFmt w:val="decimal"/>
      <w:start w:val="1"/>
    </w:lvl>
  </w:abstractNum>
  <w:abstractNum w:abstractNumId="161">
    <w:nsid w:val="94927A8"/>
    <w:multiLevelType w:val="hybridMultilevel"/>
    <w:lvl w:ilvl="0">
      <w:lvlJc w:val="left"/>
      <w:lvlText w:val="%1."/>
      <w:numFmt w:val="decimal"/>
      <w:start w:val="12"/>
    </w:lvl>
  </w:abstractNum>
  <w:abstractNum w:abstractNumId="162">
    <w:nsid w:val="DCDF8F6"/>
    <w:multiLevelType w:val="hybridMultilevel"/>
    <w:lvl w:ilvl="0">
      <w:lvlJc w:val="left"/>
      <w:lvlText w:val="%1."/>
      <w:numFmt w:val="lowerLetter"/>
      <w:start w:val="1"/>
    </w:lvl>
  </w:abstractNum>
  <w:abstractNum w:abstractNumId="163">
    <w:nsid w:val="52D7B105"/>
    <w:multiLevelType w:val="hybridMultilevel"/>
    <w:lvl w:ilvl="0">
      <w:lvlJc w:val="left"/>
      <w:lvlText w:val="%1."/>
      <w:numFmt w:val="lowerLetter"/>
      <w:start w:val="6"/>
    </w:lvl>
  </w:abstractNum>
  <w:abstractNum w:abstractNumId="164">
    <w:nsid w:val="2E8A6394"/>
    <w:multiLevelType w:val="hybridMultilevel"/>
    <w:lvl w:ilvl="0">
      <w:lvlJc w:val="left"/>
      <w:lvlText w:val="%1."/>
      <w:numFmt w:val="decimal"/>
      <w:start w:val="1"/>
    </w:lvl>
  </w:abstractNum>
  <w:abstractNum w:abstractNumId="165">
    <w:nsid w:val="24E60401"/>
    <w:multiLevelType w:val="hybridMultilevel"/>
    <w:lvl w:ilvl="0">
      <w:lvlJc w:val="left"/>
      <w:lvlText w:val="%1."/>
      <w:numFmt w:val="upperLetter"/>
      <w:start w:val="9"/>
    </w:lvl>
  </w:abstractNum>
  <w:abstractNum w:abstractNumId="166">
    <w:nsid w:val="2A6AD9BE"/>
    <w:multiLevelType w:val="hybridMultilevel"/>
    <w:lvl w:ilvl="0">
      <w:lvlJc w:val="left"/>
      <w:lvlText w:val="%1."/>
      <w:numFmt w:val="upperLetter"/>
      <w:start w:val="35"/>
    </w:lvl>
    <w:lvl w:ilvl="1">
      <w:lvlJc w:val="left"/>
      <w:lvlText w:val="%2"/>
      <w:numFmt w:val="upperLetter"/>
      <w:start w:val="1"/>
    </w:lvl>
  </w:abstractNum>
  <w:abstractNum w:abstractNumId="167">
    <w:nsid w:val="BAAC1B4"/>
    <w:multiLevelType w:val="hybridMultilevel"/>
    <w:lvl w:ilvl="0">
      <w:lvlJc w:val="left"/>
      <w:lvlText w:val="(%1)"/>
      <w:numFmt w:val="lowerLetter"/>
      <w:start w:val="1"/>
    </w:lvl>
  </w:abstractNum>
  <w:abstractNum w:abstractNumId="168">
    <w:nsid w:val="36B2ACBC"/>
    <w:multiLevelType w:val="hybridMultilevel"/>
    <w:lvl w:ilvl="0">
      <w:lvlJc w:val="left"/>
      <w:lvlText w:val="(%1)"/>
      <w:numFmt w:val="lowerLetter"/>
      <w:start w:val="17"/>
    </w:lvl>
  </w:abstractNum>
  <w:abstractNum w:abstractNumId="169">
    <w:nsid w:val="779D8544"/>
    <w:multiLevelType w:val="hybridMultilevel"/>
    <w:lvl w:ilvl="0">
      <w:lvlJc w:val="left"/>
      <w:lvlText w:val="%1."/>
      <w:numFmt w:val="upperLetter"/>
      <w:start w:val="61"/>
    </w:lvl>
  </w:abstractNum>
  <w:abstractNum w:abstractNumId="170">
    <w:nsid w:val="4AB26E78"/>
    <w:multiLevelType w:val="hybridMultilevel"/>
    <w:lvl w:ilvl="0">
      <w:lvlJc w:val="left"/>
      <w:lvlText w:val="%1."/>
      <w:numFmt w:val="upperLetter"/>
      <w:start w:val="5"/>
    </w:lvl>
    <w:lvl w:ilvl="1">
      <w:lvlJc w:val="left"/>
      <w:lvlText w:val="%2."/>
      <w:numFmt w:val="decimal"/>
      <w:start w:val="1"/>
    </w:lvl>
  </w:abstractNum>
  <w:abstractNum w:abstractNumId="171">
    <w:nsid w:val="21FAA2FA"/>
    <w:multiLevelType w:val="hybridMultilevel"/>
    <w:lvl w:ilvl="0">
      <w:lvlJc w:val="left"/>
      <w:lvlText w:val="%1."/>
      <w:numFmt w:val="decimal"/>
      <w:start w:val="3"/>
    </w:lvl>
  </w:abstractNum>
  <w:abstractNum w:abstractNumId="172">
    <w:nsid w:val="5451CF49"/>
    <w:multiLevelType w:val="hybridMultilevel"/>
    <w:lvl w:ilvl="0">
      <w:lvlJc w:val="left"/>
      <w:lvlText w:val="%1."/>
      <w:numFmt w:val="upperLetter"/>
      <w:start w:val="6"/>
    </w:lvl>
  </w:abstractNum>
  <w:abstractNum w:abstractNumId="173">
    <w:nsid w:val="6181EF69"/>
    <w:multiLevelType w:val="hybridMultilevel"/>
    <w:lvl w:ilvl="0">
      <w:lvlJc w:val="left"/>
      <w:lvlText w:val="%1."/>
      <w:numFmt w:val="upperLetter"/>
      <w:start w:val="9"/>
    </w:lvl>
  </w:abstractNum>
  <w:abstractNum w:abstractNumId="174">
    <w:nsid w:val="3E6400E6"/>
    <w:multiLevelType w:val="hybridMultilevel"/>
    <w:lvl w:ilvl="0">
      <w:lvlJc w:val="left"/>
      <w:lvlText w:val="%1."/>
      <w:numFmt w:val="upperLetter"/>
      <w:start w:val="10"/>
    </w:lvl>
  </w:abstractNum>
  <w:abstractNum w:abstractNumId="175">
    <w:nsid w:val="14217E23"/>
    <w:multiLevelType w:val="hybridMultilevel"/>
    <w:lvl w:ilvl="0">
      <w:lvlJc w:val="left"/>
      <w:lvlText w:val="%1."/>
      <w:numFmt w:val="decimal"/>
      <w:start w:val="1"/>
    </w:lvl>
  </w:abstractNum>
  <w:abstractNum w:abstractNumId="176">
    <w:nsid w:val="710757D0"/>
    <w:multiLevelType w:val="hybridMultilevel"/>
    <w:lvl w:ilvl="0">
      <w:lvlJc w:val="left"/>
      <w:lvlText w:val="%1."/>
      <w:numFmt w:val="decimal"/>
      <w:start w:val="1"/>
    </w:lvl>
    <w:lvl w:ilvl="1">
      <w:lvlJc w:val="left"/>
      <w:lvlText w:val="(%2)"/>
      <w:numFmt w:val="lowerLetter"/>
      <w:start w:val="1"/>
    </w:lvl>
  </w:abstractNum>
  <w:abstractNum w:abstractNumId="177">
    <w:nsid w:val="5015CD1A"/>
    <w:multiLevelType w:val="hybridMultilevel"/>
    <w:lvl w:ilvl="0">
      <w:lvlJc w:val="left"/>
      <w:lvlText w:val="%1."/>
      <w:numFmt w:val="decimal"/>
      <w:start w:val="1"/>
    </w:lvl>
    <w:lvl w:ilvl="1">
      <w:lvlJc w:val="left"/>
      <w:lvlText w:val="(%2)"/>
      <w:numFmt w:val="lowerLetter"/>
      <w:start w:val="1"/>
    </w:lvl>
  </w:abstractNum>
  <w:abstractNum w:abstractNumId="178">
    <w:nsid w:val="424479DA"/>
    <w:multiLevelType w:val="hybridMultilevel"/>
    <w:lvl w:ilvl="0">
      <w:lvlJc w:val="left"/>
      <w:lvlText w:val="%1."/>
      <w:numFmt w:val="decimal"/>
      <w:start w:val="1"/>
    </w:lvl>
  </w:abstractNum>
  <w:abstractNum w:abstractNumId="179">
    <w:nsid w:val="1A9A9E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81" Type="http://schemas.openxmlformats.org/officeDocument/2006/relationships/image" Target="media/image145.png"/><Relationship Id="rId195" Type="http://schemas.openxmlformats.org/officeDocument/2006/relationships/image" Target="media/image146.png"/><Relationship Id="rId218" Type="http://schemas.openxmlformats.org/officeDocument/2006/relationships/image" Target="media/image147.png"/><Relationship Id="rId219" Type="http://schemas.openxmlformats.org/officeDocument/2006/relationships/image" Target="media/image148.png"/><Relationship Id="rId220" Type="http://schemas.openxmlformats.org/officeDocument/2006/relationships/image" Target="media/image149.png"/><Relationship Id="rId221" Type="http://schemas.openxmlformats.org/officeDocument/2006/relationships/image" Target="media/image150.png"/><Relationship Id="rId222" Type="http://schemas.openxmlformats.org/officeDocument/2006/relationships/image" Target="media/image151.png"/><Relationship Id="rId223" Type="http://schemas.openxmlformats.org/officeDocument/2006/relationships/image" Target="media/image152.png"/><Relationship Id="rId224" Type="http://schemas.openxmlformats.org/officeDocument/2006/relationships/image" Target="media/image153.png"/><Relationship Id="rId225" Type="http://schemas.openxmlformats.org/officeDocument/2006/relationships/image" Target="media/image154.png"/><Relationship Id="rId226" Type="http://schemas.openxmlformats.org/officeDocument/2006/relationships/image" Target="media/image155.png"/><Relationship Id="rId227" Type="http://schemas.openxmlformats.org/officeDocument/2006/relationships/image" Target="media/image156.png"/><Relationship Id="rId228" Type="http://schemas.openxmlformats.org/officeDocument/2006/relationships/image" Target="media/image157.png"/><Relationship Id="rId229" Type="http://schemas.openxmlformats.org/officeDocument/2006/relationships/image" Target="media/image158.png"/><Relationship Id="rId230" Type="http://schemas.openxmlformats.org/officeDocument/2006/relationships/image" Target="media/image159.png"/><Relationship Id="rId231" Type="http://schemas.openxmlformats.org/officeDocument/2006/relationships/image" Target="media/image160.png"/><Relationship Id="rId232" Type="http://schemas.openxmlformats.org/officeDocument/2006/relationships/image" Target="media/image161.png"/><Relationship Id="rId233" Type="http://schemas.openxmlformats.org/officeDocument/2006/relationships/image" Target="media/image162.png"/><Relationship Id="rId234" Type="http://schemas.openxmlformats.org/officeDocument/2006/relationships/image" Target="media/image163.png"/><Relationship Id="rId235" Type="http://schemas.openxmlformats.org/officeDocument/2006/relationships/image" Target="media/image164.png"/><Relationship Id="rId236" Type="http://schemas.openxmlformats.org/officeDocument/2006/relationships/image" Target="media/image165.png"/><Relationship Id="rId237" Type="http://schemas.openxmlformats.org/officeDocument/2006/relationships/image" Target="media/image166.png"/><Relationship Id="rId238" Type="http://schemas.openxmlformats.org/officeDocument/2006/relationships/image" Target="media/image167.png"/><Relationship Id="rId239" Type="http://schemas.openxmlformats.org/officeDocument/2006/relationships/image" Target="media/image168.png"/><Relationship Id="rId240" Type="http://schemas.openxmlformats.org/officeDocument/2006/relationships/image" Target="media/image169.png"/><Relationship Id="rId241" Type="http://schemas.openxmlformats.org/officeDocument/2006/relationships/image" Target="media/image170.png"/><Relationship Id="rId242" Type="http://schemas.openxmlformats.org/officeDocument/2006/relationships/image" Target="media/image171.png"/><Relationship Id="rId243" Type="http://schemas.openxmlformats.org/officeDocument/2006/relationships/image" Target="media/image172.png"/><Relationship Id="rId244" Type="http://schemas.openxmlformats.org/officeDocument/2006/relationships/image" Target="media/image173.png"/><Relationship Id="rId245" Type="http://schemas.openxmlformats.org/officeDocument/2006/relationships/image" Target="media/image174.png"/><Relationship Id="rId246" Type="http://schemas.openxmlformats.org/officeDocument/2006/relationships/image" Target="media/image175.png"/><Relationship Id="rId247" Type="http://schemas.openxmlformats.org/officeDocument/2006/relationships/image" Target="media/image176.png"/><Relationship Id="rId248" Type="http://schemas.openxmlformats.org/officeDocument/2006/relationships/image" Target="media/image177.png"/><Relationship Id="rId249" Type="http://schemas.openxmlformats.org/officeDocument/2006/relationships/image" Target="media/image178.png"/><Relationship Id="rId250" Type="http://schemas.openxmlformats.org/officeDocument/2006/relationships/image" Target="media/image179.png"/><Relationship Id="rId251" Type="http://schemas.openxmlformats.org/officeDocument/2006/relationships/image" Target="media/image180.png"/><Relationship Id="rId252" Type="http://schemas.openxmlformats.org/officeDocument/2006/relationships/image" Target="media/image181.png"/><Relationship Id="rId253" Type="http://schemas.openxmlformats.org/officeDocument/2006/relationships/image" Target="media/image182.png"/><Relationship Id="rId254" Type="http://schemas.openxmlformats.org/officeDocument/2006/relationships/image" Target="media/image183.png"/><Relationship Id="rId255" Type="http://schemas.openxmlformats.org/officeDocument/2006/relationships/image" Target="media/image184.png"/><Relationship Id="rId256" Type="http://schemas.openxmlformats.org/officeDocument/2006/relationships/image" Target="media/image185.png"/><Relationship Id="rId257" Type="http://schemas.openxmlformats.org/officeDocument/2006/relationships/image" Target="media/image186.png"/><Relationship Id="rId258" Type="http://schemas.openxmlformats.org/officeDocument/2006/relationships/image" Target="media/image187.png"/><Relationship Id="rId259" Type="http://schemas.openxmlformats.org/officeDocument/2006/relationships/image" Target="media/image188.png"/><Relationship Id="rId260" Type="http://schemas.openxmlformats.org/officeDocument/2006/relationships/image" Target="media/image189.png"/><Relationship Id="rId261" Type="http://schemas.openxmlformats.org/officeDocument/2006/relationships/image" Target="media/image190.png"/><Relationship Id="rId262" Type="http://schemas.openxmlformats.org/officeDocument/2006/relationships/image" Target="media/image191.png"/><Relationship Id="rId263" Type="http://schemas.openxmlformats.org/officeDocument/2006/relationships/image" Target="media/image192.png"/><Relationship Id="rId264" Type="http://schemas.openxmlformats.org/officeDocument/2006/relationships/image" Target="media/image193.png"/><Relationship Id="rId265" Type="http://schemas.openxmlformats.org/officeDocument/2006/relationships/image" Target="media/image194.png"/><Relationship Id="rId266" Type="http://schemas.openxmlformats.org/officeDocument/2006/relationships/image" Target="media/image195.png"/><Relationship Id="rId267" Type="http://schemas.openxmlformats.org/officeDocument/2006/relationships/image" Target="media/image196.png"/><Relationship Id="rId268" Type="http://schemas.openxmlformats.org/officeDocument/2006/relationships/image" Target="media/image197.png"/><Relationship Id="rId269" Type="http://schemas.openxmlformats.org/officeDocument/2006/relationships/image" Target="media/image198.png"/><Relationship Id="rId270" Type="http://schemas.openxmlformats.org/officeDocument/2006/relationships/image" Target="media/image199.png"/><Relationship Id="rId271" Type="http://schemas.openxmlformats.org/officeDocument/2006/relationships/image" Target="media/image200.png"/><Relationship Id="rId272" Type="http://schemas.openxmlformats.org/officeDocument/2006/relationships/image" Target="media/image201.png"/><Relationship Id="rId273" Type="http://schemas.openxmlformats.org/officeDocument/2006/relationships/image" Target="media/image202.png"/><Relationship Id="rId274" Type="http://schemas.openxmlformats.org/officeDocument/2006/relationships/image" Target="media/image203.png"/><Relationship Id="rId275" Type="http://schemas.openxmlformats.org/officeDocument/2006/relationships/image" Target="media/image204.png"/><Relationship Id="rId276" Type="http://schemas.openxmlformats.org/officeDocument/2006/relationships/image" Target="media/image205.png"/><Relationship Id="rId277" Type="http://schemas.openxmlformats.org/officeDocument/2006/relationships/image" Target="media/image206.png"/><Relationship Id="rId278" Type="http://schemas.openxmlformats.org/officeDocument/2006/relationships/image" Target="media/image207.png"/><Relationship Id="rId279" Type="http://schemas.openxmlformats.org/officeDocument/2006/relationships/image" Target="media/image208.png"/><Relationship Id="rId280" Type="http://schemas.openxmlformats.org/officeDocument/2006/relationships/image" Target="media/image209.png"/><Relationship Id="rId281" Type="http://schemas.openxmlformats.org/officeDocument/2006/relationships/image" Target="media/image210.png"/><Relationship Id="rId282" Type="http://schemas.openxmlformats.org/officeDocument/2006/relationships/image" Target="media/image211.png"/><Relationship Id="rId283" Type="http://schemas.openxmlformats.org/officeDocument/2006/relationships/image" Target="media/image212.png"/><Relationship Id="rId284" Type="http://schemas.openxmlformats.org/officeDocument/2006/relationships/image" Target="media/image213.png"/><Relationship Id="rId285" Type="http://schemas.openxmlformats.org/officeDocument/2006/relationships/image" Target="media/image214.png"/><Relationship Id="rId286" Type="http://schemas.openxmlformats.org/officeDocument/2006/relationships/image" Target="media/image215.png"/><Relationship Id="rId287" Type="http://schemas.openxmlformats.org/officeDocument/2006/relationships/image" Target="media/image216.png"/><Relationship Id="rId288" Type="http://schemas.openxmlformats.org/officeDocument/2006/relationships/image" Target="media/image217.png"/><Relationship Id="rId289" Type="http://schemas.openxmlformats.org/officeDocument/2006/relationships/image" Target="media/image218.png"/><Relationship Id="rId290" Type="http://schemas.openxmlformats.org/officeDocument/2006/relationships/image" Target="media/image219.png"/><Relationship Id="rId291" Type="http://schemas.openxmlformats.org/officeDocument/2006/relationships/image" Target="media/image220.png"/><Relationship Id="rId150" Type="http://schemas.openxmlformats.org/officeDocument/2006/relationships/hyperlink" Target="http://www.sec.gov/Archives/edgar/data/1434647/000119312523225486/d547103dex21.htm" TargetMode="External"/><Relationship Id="rId151" Type="http://schemas.openxmlformats.org/officeDocument/2006/relationships/hyperlink" Target="http://www.sec.gov/Archives/edgar/data/1434647/000119312515140072/d911803dex31.htm" TargetMode="External"/><Relationship Id="rId152" Type="http://schemas.openxmlformats.org/officeDocument/2006/relationships/hyperlink" Target="http://www.sec.gov/Archives/edgar/data/0001434647/000143774920025891/ex_218888.htm" TargetMode="External"/><Relationship Id="rId153" Type="http://schemas.openxmlformats.org/officeDocument/2006/relationships/hyperlink" Target="http://www.sec.gov/Archives/edgar/data/1434647/000119312521197280/d192970dex31.htm" TargetMode="External"/><Relationship Id="rId154" Type="http://schemas.openxmlformats.org/officeDocument/2006/relationships/hyperlink" Target="http://www.sec.gov/Archives/edgar/data/1434647/000119312521197280/d192970dex32.htm" TargetMode="External"/><Relationship Id="rId155" Type="http://schemas.openxmlformats.org/officeDocument/2006/relationships/hyperlink" Target="http://www.sec.gov/Archives/edgar/data/1434647/000119312521197280/d192970dex33.htm" TargetMode="External"/><Relationship Id="rId156" Type="http://schemas.openxmlformats.org/officeDocument/2006/relationships/hyperlink" Target="http://www.sec.gov/Archives/edgar/data/1434647/000143774923004450/ex_478052.htm" TargetMode="External"/><Relationship Id="rId157" Type="http://schemas.openxmlformats.org/officeDocument/2006/relationships/hyperlink" Target="http://www.sec.gov/Archives/edgar/data/1434647/000143774924005904/ex_632349.htm" TargetMode="External"/><Relationship Id="rId158" Type="http://schemas.openxmlformats.org/officeDocument/2006/relationships/hyperlink" Target="http://www.sec.gov/Archives/edgar/data/1434647/000143774921005785/ex_227827.htm" TargetMode="External"/><Relationship Id="rId159" Type="http://schemas.openxmlformats.org/officeDocument/2006/relationships/hyperlink" Target="http://www.sec.gov/Archives/edgar/data/1434647/000119312521007494/d848409dex43.htm" TargetMode="External"/><Relationship Id="rId160" Type="http://schemas.openxmlformats.org/officeDocument/2006/relationships/hyperlink" Target="http://www.sec.gov/Archives/edgar/data/1434647/000143774921001230/ex_222593.htm" TargetMode="External"/><Relationship Id="rId161" Type="http://schemas.openxmlformats.org/officeDocument/2006/relationships/hyperlink" Target="http://www.sec.gov/Archives/edgar/data/1434647/000119312521197280/d192970dex41.htm" TargetMode="External"/><Relationship Id="rId162" Type="http://schemas.openxmlformats.org/officeDocument/2006/relationships/hyperlink" Target="http://www.sec.gov/Archives/edgar/data/1434647/000119312523280240/d209243dex41.htm" TargetMode="External"/><Relationship Id="rId163" Type="http://schemas.openxmlformats.org/officeDocument/2006/relationships/hyperlink" Target="http://www.sec.gov/Archives/edgar/data/1434647/000119312515119078/d793437dex101.htm" TargetMode="External"/><Relationship Id="rId164" Type="http://schemas.openxmlformats.org/officeDocument/2006/relationships/hyperlink" Target="http://www.sec.gov/Archives/edgar/data/1434647/000143774921002351/ex_225425.htm" TargetMode="External"/><Relationship Id="rId165" Type="http://schemas.openxmlformats.org/officeDocument/2006/relationships/hyperlink" Target="http://www.sec.gov/Archives/edgar/data/1434647/000156459016011814/kmph-ex101_35.htm" TargetMode="External"/><Relationship Id="rId166" Type="http://schemas.openxmlformats.org/officeDocument/2006/relationships/hyperlink" Target="http://www.sec.gov/Archives/edgar/data/1434647/000119312516728641/d273331dex102.htm" TargetMode="External"/><Relationship Id="rId167" Type="http://schemas.openxmlformats.org/officeDocument/2006/relationships/hyperlink" Target="http://www.sec.gov/Archives/edgar/data/1434647/000143774918021146/ex_130426.htm" TargetMode="External"/><Relationship Id="rId168" Type="http://schemas.openxmlformats.org/officeDocument/2006/relationships/hyperlink" Target="http://www.sec.gov/Archives/edgar/data/1434647/000143774919003789/ex_136276.htm" TargetMode="External"/><Relationship Id="rId169" Type="http://schemas.openxmlformats.org/officeDocument/2006/relationships/hyperlink" Target="http://www.sec.gov/Archives/edgar/data/1434647/000119312520039368/d832312dex103.htm" TargetMode="External"/><Relationship Id="rId170" Type="http://schemas.openxmlformats.org/officeDocument/2006/relationships/hyperlink" Target="http://www.sec.gov/Archives/edgar/data/1434647/000119312521007494/d848409dex101.htm" TargetMode="External"/><Relationship Id="rId171" Type="http://schemas.openxmlformats.org/officeDocument/2006/relationships/hyperlink" Target="http://www.sec.gov/Archives/edgar/data/1434647/000119312515087360/d793437dex105.htm" TargetMode="External"/><Relationship Id="rId172" Type="http://schemas.openxmlformats.org/officeDocument/2006/relationships/hyperlink" Target="http://www.sec.gov/Archives/edgar/data/1434647/000119312515087360/d793437dex107.htm" TargetMode="External"/><Relationship Id="rId175" Type="http://schemas.openxmlformats.org/officeDocument/2006/relationships/hyperlink" Target="http://www.sec.gov/Archives/edgar/data/1434647/000119312515087360/d793437dex103.htm" TargetMode="External"/><Relationship Id="rId176" Type="http://schemas.openxmlformats.org/officeDocument/2006/relationships/hyperlink" Target="http://www.sec.gov/Archives/edgar/data/1434647/000119312515119078/d793437dex1010.htm" TargetMode="External"/><Relationship Id="rId177" Type="http://schemas.openxmlformats.org/officeDocument/2006/relationships/hyperlink" Target="http://www.sec.gov/Archives/edgar/data/1434647/000119312515087360/d793437dex1011.htm" TargetMode="External"/><Relationship Id="rId178" Type="http://schemas.openxmlformats.org/officeDocument/2006/relationships/hyperlink" Target="http://www.sec.gov/Archives/edgar/data/1434647/000119312515087360/d793437dex1012.htm" TargetMode="External"/><Relationship Id="rId179" Type="http://schemas.openxmlformats.org/officeDocument/2006/relationships/hyperlink" Target="http://www.sec.gov/Archives/edgar/data/1434647/000119312515087360/d793437dex1013.htm" TargetMode="External"/><Relationship Id="rId180" Type="http://schemas.openxmlformats.org/officeDocument/2006/relationships/hyperlink" Target="http://www.sec.gov/Archives/edgar/data/1434647/000143774921019912/ex_272734.htm" TargetMode="External"/><Relationship Id="rId182" Type="http://schemas.openxmlformats.org/officeDocument/2006/relationships/hyperlink" Target="http://www.sec.gov/Archives/edgar/data/1434647/000119312515087360/d793437dex1015.htm" TargetMode="External"/><Relationship Id="rId183" Type="http://schemas.openxmlformats.org/officeDocument/2006/relationships/hyperlink" Target="http://www.sec.gov/Archives/edgar/data/1434647/000119312515087360/d793437dex1016.htm" TargetMode="External"/><Relationship Id="rId184" Type="http://schemas.openxmlformats.org/officeDocument/2006/relationships/hyperlink" Target="http://www.sec.gov/Archives/edgar/data/1434647/000143774919009870/kmph20190331_10q.htm" TargetMode="External"/><Relationship Id="rId185" Type="http://schemas.openxmlformats.org/officeDocument/2006/relationships/hyperlink" Target="http://www.sec.gov/Archives/edgar/data/1434647/000143774921019912/ex_272735.htm" TargetMode="External"/><Relationship Id="rId186" Type="http://schemas.openxmlformats.org/officeDocument/2006/relationships/hyperlink" Target="http://www.sec.gov/ix?doc=/Archives/edgar/data/0001434647/000143774924010430/zvra20231231_10k.htm" TargetMode="External"/><Relationship Id="rId187" Type="http://schemas.openxmlformats.org/officeDocument/2006/relationships/hyperlink" Target="http://www.sec.gov/ix?doc=/Archives/edgar/data/0001434647/000143774923023716/zvra20230630_10q.htm" TargetMode="External"/><Relationship Id="rId188" Type="http://schemas.openxmlformats.org/officeDocument/2006/relationships/hyperlink" Target="http://www.sec.gov/Archives/edgar/data/1434647/000119312515087360/d793437dex1017.htm" TargetMode="External"/><Relationship Id="rId189" Type="http://schemas.openxmlformats.org/officeDocument/2006/relationships/hyperlink" Target="http://www.sec.gov/Archives/edgar/data/1434647/000156459015007410/kmph-ex107_273.htm" TargetMode="External"/><Relationship Id="rId190" Type="http://schemas.openxmlformats.org/officeDocument/2006/relationships/hyperlink" Target="http://www.sec.gov/Archives/edgar/data/1434647/000156459015010727/kmph-ex102_27.htm" TargetMode="External"/><Relationship Id="rId191" Type="http://schemas.openxmlformats.org/officeDocument/2006/relationships/hyperlink" Target="http://www.sec.gov/Archives/edgar/data/1434647/000119312515087360/d793437dex1020.htm" TargetMode="External"/><Relationship Id="rId192" Type="http://schemas.openxmlformats.org/officeDocument/2006/relationships/hyperlink" Target="http://www.sec.gov/Archives/edgar/data/1434647/000156459015010727/kmph-ex101_26.htm" TargetMode="External"/><Relationship Id="rId193" Type="http://schemas.openxmlformats.org/officeDocument/2006/relationships/hyperlink" Target="http://www.sec.gov/Archives/edgar/data/1434647/000143774923014570/ex_520549.htm" TargetMode="External"/><Relationship Id="rId194" Type="http://schemas.openxmlformats.org/officeDocument/2006/relationships/hyperlink" Target="http://www.sec.gov/Archives/edgar/data/1434647/000156459016019302/kmph-10q_20160331.htm" TargetMode="External"/><Relationship Id="rId196" Type="http://schemas.openxmlformats.org/officeDocument/2006/relationships/hyperlink" Target="http://www.sec.gov/ix?doc=/Archives/edgar/data/0001434647/000143774924026474/zvra20240630_10q.htm" TargetMode="External"/><Relationship Id="rId197" Type="http://schemas.openxmlformats.org/officeDocument/2006/relationships/hyperlink" Target="http://www.sec.gov/ix?doc=/Archives/edgar/data/0001434647/000143774923027993/zvra20231005_8k.htm" TargetMode="External"/><Relationship Id="rId198" Type="http://schemas.openxmlformats.org/officeDocument/2006/relationships/hyperlink" Target="http://www.sec.gov/Archives/edgar/data/1434647/000143774917004317/kmph20161231_10k.htm" TargetMode="External"/><Relationship Id="rId199" Type="http://schemas.openxmlformats.org/officeDocument/2006/relationships/hyperlink" Target="http://www.sec.gov/Archives/edgar/data/1434647/000143774917004317/ex10-29.htm" TargetMode="External"/><Relationship Id="rId200" Type="http://schemas.openxmlformats.org/officeDocument/2006/relationships/hyperlink" Target="http://www.sec.gov/Archives/edgar/data/1434647/000143774917004317/ex10-30.htm" TargetMode="External"/><Relationship Id="rId201" Type="http://schemas.openxmlformats.org/officeDocument/2006/relationships/hyperlink" Target="http://www.sec.gov/Archives/edgar/data/1434647/000143774917004317/ex10-31.htm" TargetMode="External"/><Relationship Id="rId202" Type="http://schemas.openxmlformats.org/officeDocument/2006/relationships/hyperlink" Target="http://www.sec.gov/Archives/edgar/data/1434647/000119312520039368/d832312dex101.htm" TargetMode="External"/><Relationship Id="rId203" Type="http://schemas.openxmlformats.org/officeDocument/2006/relationships/hyperlink" Target="http://www.sec.gov/Archives/edgar/data/1434647/000119312519237105/d759901dex102.htm" TargetMode="External"/><Relationship Id="rId204" Type="http://schemas.openxmlformats.org/officeDocument/2006/relationships/hyperlink" Target="http://www.sec.gov/Archives/edgar/data/1434647/000143774921019912/ex_263534.htm" TargetMode="External"/><Relationship Id="rId205" Type="http://schemas.openxmlformats.org/officeDocument/2006/relationships/hyperlink" Target="http://www.sec.gov/Archives/edgar/data/1434647/000143774921001230/ex_222594.htm" TargetMode="External"/><Relationship Id="rId206" Type="http://schemas.openxmlformats.org/officeDocument/2006/relationships/hyperlink" Target="http://www.sec.gov/Archives/edgar/data/1434647/000119312521197280/d192970dex101.htm" TargetMode="External"/><Relationship Id="rId207" Type="http://schemas.openxmlformats.org/officeDocument/2006/relationships/hyperlink" Target="http://www.sec.gov/Archives/edgar/data/1434647/000119312521207570/d365973dex101.htm" TargetMode="External"/><Relationship Id="rId208" Type="http://schemas.openxmlformats.org/officeDocument/2006/relationships/hyperlink" Target="http://www.sec.gov/Archives/edgar/data/1434647/000119312522150975/d292447dex101.htm" TargetMode="External"/><Relationship Id="rId209" Type="http://schemas.openxmlformats.org/officeDocument/2006/relationships/hyperlink" Target="http://www.sec.gov/Archives/edgar/data/1434647/000119312522164291/d332274dex101.htm" TargetMode="External"/><Relationship Id="rId210" Type="http://schemas.openxmlformats.org/officeDocument/2006/relationships/hyperlink" Target="http://www.sec.gov/Archives/edgar/data/1434647/000119312523225486/d547103dex101.htm" TargetMode="External"/><Relationship Id="rId211" Type="http://schemas.openxmlformats.org/officeDocument/2006/relationships/hyperlink" Target="http://www.sec.gov/Archives/edgar/data/1434647/000119312523225486/d547103dex102.htm" TargetMode="External"/><Relationship Id="rId212" Type="http://schemas.openxmlformats.org/officeDocument/2006/relationships/hyperlink" Target="http://www.sec.gov/Archives/edgar/data/1434647/000119312523225486/d547103dex103.htm" TargetMode="External"/><Relationship Id="rId213" Type="http://schemas.openxmlformats.org/officeDocument/2006/relationships/hyperlink" Target="http://www.sec.gov/Archives/edgar/data/1434647/000119312523225486/d547103dex104.htm" TargetMode="External"/><Relationship Id="rId214" Type="http://schemas.openxmlformats.org/officeDocument/2006/relationships/hyperlink" Target="http://www.sec.gov/Archives/edgar/data/1434647/000143774923023716/ex_528364.htm" TargetMode="External"/><Relationship Id="rId215" Type="http://schemas.openxmlformats.org/officeDocument/2006/relationships/hyperlink" Target="http://www.sec.gov/ix?doc=/Archives/edgar/data/0001434647/000119312523280240/d209243d8k.htm" TargetMode="External"/><Relationship Id="rId216" Type="http://schemas.openxmlformats.org/officeDocument/2006/relationships/hyperlink" Target="http://www.sec.gov/ix?doc=/Archives/edgar/data/0001434647/000143774924015705/zvra20240331_10q.htm" TargetMode="External"/><Relationship Id="rId217" Type="http://schemas.openxmlformats.org/officeDocument/2006/relationships/hyperlink" Target="http://www.sec.gov/Archives/edgar/data/1434647/000119312523280240/d209243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2025-03-12T16:39:06Z</dcterms:created>
  <dcterms:modified xsi:type="dcterms:W3CDTF">2025-03-12T16:39:06Z</dcterms:modified>
</cp:coreProperties>
</file>