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193675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820" w:right="1580" w:hanging="3813"/>
        <w:spacing w:after="0" w:line="490" w:lineRule="auto"/>
        <w:tabs>
          <w:tab w:leader="none" w:pos="5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80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-8255</wp:posOffset>
            </wp:positionV>
            <wp:extent cx="625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85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1180 Celebration Boulevard, Suite 103, Celebration, FL</w:t>
            </w:r>
          </w:p>
        </w:tc>
        <w:tc>
          <w:tcPr>
            <w:tcW w:w="3200" w:type="dxa"/>
            <w:vAlign w:val="bottom"/>
          </w:tcPr>
          <w:p>
            <w:pPr>
              <w:jc w:val="right"/>
              <w:ind w:right="1050"/>
              <w:spacing w:after="0"/>
              <w:rPr>
                <w:sz w:val="20"/>
                <w:szCs w:val="20"/>
                <w:color w:val="auto"/>
              </w:rPr>
            </w:pPr>
            <w:r>
              <w:rPr>
                <w:rFonts w:ascii="Arial" w:cs="Arial" w:eastAsia="Arial" w:hAnsi="Arial"/>
                <w:sz w:val="18"/>
                <w:szCs w:val="18"/>
                <w:b w:val="1"/>
                <w:bCs w:val="1"/>
                <w:color w:val="auto"/>
              </w:rPr>
              <w:t>34747</w:t>
            </w:r>
          </w:p>
        </w:tc>
      </w:tr>
      <w:tr>
        <w:trPr>
          <w:trHeight w:val="234"/>
        </w:trPr>
        <w:tc>
          <w:tcPr>
            <w:tcW w:w="628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(Zip Code)</w:t>
            </w:r>
          </w:p>
        </w:tc>
      </w:tr>
      <w:tr>
        <w:trPr>
          <w:trHeight w:val="430"/>
        </w:trPr>
        <w:tc>
          <w:tcPr>
            <w:tcW w:w="6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150" w:type="dxa"/>
        <w:tblCellMar>
          <w:top w:w="0" w:type="dxa"/>
          <w:left w:w="0" w:type="dxa"/>
          <w:bottom w:w="0" w:type="dxa"/>
          <w:right w:w="0" w:type="dxa"/>
        </w:tblCellMar>
      </w:tblPr>
      <w:tr>
        <w:trPr>
          <w:trHeight w:val="214"/>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Common</w:t>
            </w:r>
          </w:p>
        </w:tc>
        <w:tc>
          <w:tcPr>
            <w:tcW w:w="3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KMPH</w:t>
            </w:r>
          </w:p>
        </w:tc>
        <w:tc>
          <w:tcPr>
            <w:tcW w:w="2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0"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Total shares of common stock outstanding as of May 12, 2021: 28,507,297</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259715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302260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720090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11"/>
          </w:tcPr>
          <w:p>
            <w:pPr>
              <w:jc w:val="center"/>
              <w:ind w:right="3880"/>
              <w:spacing w:after="0"/>
              <w:rPr>
                <w:sz w:val="20"/>
                <w:szCs w:val="20"/>
                <w:color w:val="auto"/>
              </w:rPr>
            </w:pPr>
            <w:r>
              <w:rPr>
                <w:rFonts w:ascii="Arial" w:cs="Arial" w:eastAsia="Arial" w:hAnsi="Arial"/>
                <w:sz w:val="18"/>
                <w:szCs w:val="18"/>
                <w:b w:val="1"/>
                <w:bCs w:val="1"/>
                <w:color w:val="auto"/>
              </w:rPr>
              <w:t>KEMPHARM, INC.</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40" w:type="dxa"/>
            <w:vAlign w:val="bottom"/>
            <w:gridSpan w:val="11"/>
          </w:tcPr>
          <w:p>
            <w:pPr>
              <w:jc w:val="center"/>
              <w:ind w:right="3880"/>
              <w:spacing w:after="0"/>
              <w:rPr>
                <w:sz w:val="20"/>
                <w:szCs w:val="20"/>
                <w:color w:val="auto"/>
              </w:rPr>
            </w:pPr>
            <w:r>
              <w:rPr>
                <w:rFonts w:ascii="Arial" w:cs="Arial" w:eastAsia="Arial" w:hAnsi="Arial"/>
                <w:sz w:val="18"/>
                <w:szCs w:val="18"/>
                <w:b w:val="1"/>
                <w:bCs w:val="1"/>
                <w:color w:val="auto"/>
                <w:w w:val="97"/>
              </w:rPr>
              <w:t>FORM 10-Q</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380" w:type="dxa"/>
            <w:vAlign w:val="bottom"/>
            <w:gridSpan w:val="13"/>
            <w:shd w:val="clear" w:color="auto" w:fill="CCEEFF"/>
          </w:tcPr>
          <w:p>
            <w:pPr>
              <w:jc w:val="center"/>
              <w:ind w:right="3160"/>
              <w:spacing w:after="0" w:line="175"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214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STATEMENTS</w:t>
              </w:r>
            </w:hyperlink>
          </w:p>
        </w:tc>
        <w:tc>
          <w:tcPr>
            <w:tcW w:w="7400" w:type="dxa"/>
            <w:vAlign w:val="bottom"/>
            <w:tcBorders>
              <w:bottom w:val="single" w:sz="8" w:color="CCEEFF"/>
            </w:tcBorders>
            <w:gridSpan w:val="1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80" w:type="dxa"/>
            <w:vAlign w:val="bottom"/>
            <w:gridSpan w:val="24"/>
          </w:tcPr>
          <w:p>
            <w:pPr>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MARCH 31, 2021 (UNAUDITED) AND DECEMBER 31, 2020</w:t>
              </w:r>
            </w:hyperlink>
          </w:p>
        </w:tc>
        <w:tc>
          <w:tcPr>
            <w:tcW w:w="380" w:type="dxa"/>
            <w:vAlign w:val="bottom"/>
            <w:gridSpan w:val="5"/>
          </w:tcPr>
          <w:p>
            <w:pPr>
              <w:jc w:val="center"/>
              <w:ind w:left="90"/>
              <w:spacing w:after="0" w:line="175"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380" w:type="dxa"/>
            <w:vAlign w:val="bottom"/>
            <w:gridSpan w:val="24"/>
            <w:shd w:val="clear" w:color="auto" w:fill="CCEEFF"/>
          </w:tcPr>
          <w:p>
            <w:pPr>
              <w:spacing w:after="0" w:line="175"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STATEMENTS OF OPERATIONS FOR THE THREE MONTHS ENDED MARCH 31, 2021</w:t>
              </w:r>
            </w:hyperlink>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0" w:type="dxa"/>
            <w:vAlign w:val="bottom"/>
            <w:tcBorders>
              <w:top w:val="single" w:sz="8" w:color="0000EE"/>
            </w:tcBorders>
            <w:gridSpan w:val="22"/>
            <w:shd w:val="clear" w:color="auto" w:fill="CCEEFF"/>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380" w:type="dxa"/>
            <w:vAlign w:val="bottom"/>
            <w:tcBorders>
              <w:top w:val="single" w:sz="8" w:color="CCEEFF"/>
            </w:tcBorders>
            <w:gridSpan w:val="2"/>
            <w:shd w:val="clear" w:color="auto" w:fill="CCEEFF"/>
          </w:tcPr>
          <w:p>
            <w:pPr>
              <w:spacing w:after="0"/>
              <w:rPr>
                <w:sz w:val="16"/>
                <w:szCs w:val="16"/>
                <w:color w:val="auto"/>
              </w:rPr>
            </w:pPr>
          </w:p>
        </w:tc>
        <w:tc>
          <w:tcPr>
            <w:tcW w:w="380" w:type="dxa"/>
            <w:vAlign w:val="bottom"/>
            <w:tcBorders>
              <w:top w:val="single" w:sz="8" w:color="CCEEFF"/>
            </w:tcBorders>
            <w:gridSpan w:val="5"/>
            <w:shd w:val="clear" w:color="auto" w:fill="CCEEFF"/>
          </w:tcPr>
          <w:p>
            <w:pPr>
              <w:jc w:val="center"/>
              <w:ind w:left="90"/>
              <w:spacing w:after="0" w:line="195"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80" w:type="dxa"/>
            <w:vAlign w:val="bottom"/>
            <w:gridSpan w:val="24"/>
          </w:tcPr>
          <w:p>
            <w:pPr>
              <w:spacing w:after="0" w:line="175"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STOCKHOLDERS' EQUITY (DEFICIT) FOR THE THREE MONTHS</w:t>
              </w:r>
            </w:hyperlink>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8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ENDED MARCH 31, 2021 AND 2020</w:t>
              </w:r>
            </w:hyperlink>
          </w:p>
        </w:tc>
        <w:tc>
          <w:tcPr>
            <w:tcW w:w="500" w:type="dxa"/>
            <w:vAlign w:val="bottom"/>
            <w:gridSpan w:val="3"/>
          </w:tcPr>
          <w:p>
            <w:pPr>
              <w:spacing w:after="0"/>
              <w:rPr>
                <w:sz w:val="16"/>
                <w:szCs w:val="16"/>
                <w:color w:val="auto"/>
              </w:rPr>
            </w:pPr>
          </w:p>
        </w:tc>
        <w:tc>
          <w:tcPr>
            <w:tcW w:w="380" w:type="dxa"/>
            <w:vAlign w:val="bottom"/>
            <w:gridSpan w:val="5"/>
          </w:tcPr>
          <w:p>
            <w:pPr>
              <w:jc w:val="center"/>
              <w:ind w:left="90"/>
              <w:spacing w:after="0" w:line="195"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40" w:type="dxa"/>
            <w:vAlign w:val="bottom"/>
            <w:tcBorders>
              <w:bottom w:val="single" w:sz="8" w:color="0000EE"/>
            </w:tcBorders>
            <w:gridSpan w:val="23"/>
            <w:shd w:val="clear" w:color="auto" w:fill="CCEEFF"/>
          </w:tcPr>
          <w:p>
            <w:pPr>
              <w:spacing w:after="0" w:line="175"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UNAUDITED CONDENSED STATEMENTS OF CASH FLOWS FOR THE THREE MONTHS ENDED MARCH 31, 2021</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380" w:type="dxa"/>
            <w:vAlign w:val="bottom"/>
            <w:gridSpan w:val="24"/>
            <w:shd w:val="clear" w:color="auto" w:fill="CCEEFF"/>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AND 2020</w:t>
              </w:r>
            </w:hyperlink>
          </w:p>
        </w:tc>
        <w:tc>
          <w:tcPr>
            <w:tcW w:w="380" w:type="dxa"/>
            <w:vAlign w:val="bottom"/>
            <w:gridSpan w:val="5"/>
            <w:shd w:val="clear" w:color="auto" w:fill="CCEEFF"/>
          </w:tcPr>
          <w:p>
            <w:pPr>
              <w:jc w:val="center"/>
              <w:ind w:left="90"/>
              <w:spacing w:after="0" w:line="195"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80" w:type="dxa"/>
            <w:vAlign w:val="bottom"/>
            <w:gridSpan w:val="24"/>
          </w:tcPr>
          <w:p>
            <w:pPr>
              <w:spacing w:after="0" w:line="175"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380" w:type="dxa"/>
            <w:vAlign w:val="bottom"/>
            <w:gridSpan w:val="5"/>
          </w:tcPr>
          <w:p>
            <w:pPr>
              <w:jc w:val="center"/>
              <w:ind w:left="90"/>
              <w:spacing w:after="0" w:line="175"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8860" w:type="dxa"/>
            <w:vAlign w:val="bottom"/>
            <w:gridSpan w:val="21"/>
          </w:tcPr>
          <w:p>
            <w:pPr>
              <w:spacing w:after="0" w:line="175"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680" w:type="dxa"/>
            <w:vAlign w:val="bottom"/>
            <w:gridSpan w:val="4"/>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60" w:type="dxa"/>
            <w:vAlign w:val="bottom"/>
            <w:gridSpan w:val="12"/>
            <w:shd w:val="clear" w:color="auto" w:fill="CCEEFF"/>
          </w:tcPr>
          <w:p>
            <w:pPr>
              <w:jc w:val="center"/>
              <w:ind w:right="3180"/>
              <w:spacing w:after="0" w:line="175"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 OTHER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1A.</w:t>
            </w:r>
          </w:p>
        </w:tc>
        <w:tc>
          <w:tcPr>
            <w:tcW w:w="1860" w:type="dxa"/>
            <w:vAlign w:val="bottom"/>
            <w:gridSpan w:val="6"/>
          </w:tcPr>
          <w:p>
            <w:pPr>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7680" w:type="dxa"/>
            <w:vAlign w:val="bottom"/>
            <w:gridSpan w:val="19"/>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6040" w:type="dxa"/>
            <w:vAlign w:val="bottom"/>
            <w:gridSpan w:val="16"/>
            <w:shd w:val="clear" w:color="auto" w:fill="CCEEFF"/>
          </w:tcPr>
          <w:p>
            <w:pPr>
              <w:spacing w:after="0" w:line="175"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UNREGISTERED SALES OF EQUITY SECURITIES AND USE OF PROCEEDS</w:t>
              </w:r>
            </w:hyperlink>
          </w:p>
        </w:tc>
        <w:tc>
          <w:tcPr>
            <w:tcW w:w="3500" w:type="dxa"/>
            <w:vAlign w:val="bottom"/>
            <w:gridSpan w:val="9"/>
            <w:shd w:val="clear" w:color="auto" w:fill="CCEEFF"/>
          </w:tcPr>
          <w:p>
            <w:pPr>
              <w:spacing w:after="0"/>
              <w:rPr>
                <w:sz w:val="15"/>
                <w:szCs w:val="15"/>
                <w:color w:val="auto"/>
              </w:rPr>
            </w:pPr>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6040" w:type="dxa"/>
            <w:vAlign w:val="bottom"/>
            <w:gridSpan w:val="16"/>
          </w:tcPr>
          <w:p>
            <w:pPr>
              <w:spacing w:after="0" w:line="175" w:lineRule="exact"/>
              <w:rPr>
                <w:rFonts w:ascii="Arial" w:cs="Arial" w:eastAsia="Arial" w:hAnsi="Arial"/>
                <w:sz w:val="18"/>
                <w:szCs w:val="18"/>
                <w:color w:val="0000EE"/>
              </w:rPr>
            </w:pPr>
            <w:hyperlink w:anchor="page120">
              <w:r>
                <w:rPr>
                  <w:rFonts w:ascii="Arial" w:cs="Arial" w:eastAsia="Arial" w:hAnsi="Arial"/>
                  <w:sz w:val="18"/>
                  <w:szCs w:val="18"/>
                  <w:color w:val="0000EE"/>
                </w:rPr>
                <w:t>DEFAULTS UPON SENIOR SECURITIES</w:t>
              </w:r>
            </w:hyperlink>
          </w:p>
        </w:tc>
        <w:tc>
          <w:tcPr>
            <w:tcW w:w="3500" w:type="dxa"/>
            <w:vAlign w:val="bottom"/>
            <w:gridSpan w:val="9"/>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120">
              <w:r>
                <w:rPr>
                  <w:rFonts w:ascii="Arial" w:cs="Arial" w:eastAsia="Arial" w:hAnsi="Arial"/>
                  <w:sz w:val="18"/>
                  <w:szCs w:val="18"/>
                  <w:color w:val="0000EE"/>
                </w:rPr>
                <w:t>MINE SAFETY DISCLOSURES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5.</w:t>
            </w:r>
          </w:p>
        </w:tc>
        <w:tc>
          <w:tcPr>
            <w:tcW w:w="2420" w:type="dxa"/>
            <w:vAlign w:val="bottom"/>
            <w:gridSpan w:val="9"/>
          </w:tcPr>
          <w:p>
            <w:pPr>
              <w:spacing w:after="0" w:line="175" w:lineRule="exact"/>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7120" w:type="dxa"/>
            <w:vAlign w:val="bottom"/>
            <w:gridSpan w:val="16"/>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6.</w:t>
            </w: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121">
              <w:r>
                <w:rPr>
                  <w:rFonts w:ascii="Arial" w:cs="Arial" w:eastAsia="Arial" w:hAnsi="Arial"/>
                  <w:sz w:val="18"/>
                  <w:szCs w:val="18"/>
                  <w:color w:val="0000EE"/>
                </w:rPr>
                <w:t>EXHIBITS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540" w:type="dxa"/>
            <w:vAlign w:val="bottom"/>
            <w:gridSpan w:val="25"/>
            <w:shd w:val="clear" w:color="auto" w:fill="CCEEFF"/>
          </w:tcPr>
          <w:p>
            <w:pPr>
              <w:spacing w:after="0" w:line="175" w:lineRule="exact"/>
              <w:rPr>
                <w:rFonts w:ascii="Arial" w:cs="Arial" w:eastAsia="Arial" w:hAnsi="Arial"/>
                <w:sz w:val="18"/>
                <w:szCs w:val="18"/>
                <w:color w:val="0000EE"/>
              </w:rPr>
            </w:pPr>
            <w:hyperlink w:anchor="page122">
              <w:r>
                <w:rPr>
                  <w:rFonts w:ascii="Arial" w:cs="Arial" w:eastAsia="Arial" w:hAnsi="Arial"/>
                  <w:sz w:val="18"/>
                  <w:szCs w:val="18"/>
                  <w:color w:val="0000EE"/>
                </w:rPr>
                <w:t>SIGNATURES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1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920" w:type="dxa"/>
            <w:vAlign w:val="bottom"/>
          </w:tcPr>
          <w:p>
            <w:pPr>
              <w:jc w:val="center"/>
              <w:ind w:left="3190"/>
              <w:spacing w:after="0"/>
              <w:rPr>
                <w:sz w:val="20"/>
                <w:szCs w:val="20"/>
                <w:color w:val="auto"/>
              </w:rPr>
            </w:pPr>
            <w:r>
              <w:rPr>
                <w:rFonts w:ascii="Arial" w:cs="Arial" w:eastAsia="Arial" w:hAnsi="Arial"/>
                <w:sz w:val="18"/>
                <w:szCs w:val="18"/>
                <w:b w:val="1"/>
                <w:bCs w:val="1"/>
                <w:color w:val="auto"/>
              </w:rPr>
              <w:t>KEMPHARM, INC.</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jc w:val="center"/>
              <w:ind w:left="3210"/>
              <w:spacing w:after="0"/>
              <w:rPr>
                <w:sz w:val="20"/>
                <w:szCs w:val="20"/>
                <w:color w:val="auto"/>
              </w:rPr>
            </w:pPr>
            <w:r>
              <w:rPr>
                <w:rFonts w:ascii="Arial" w:cs="Arial" w:eastAsia="Arial" w:hAnsi="Arial"/>
                <w:sz w:val="18"/>
                <w:szCs w:val="18"/>
                <w:b w:val="1"/>
                <w:bCs w:val="1"/>
                <w:color w:val="auto"/>
                <w:w w:val="97"/>
              </w:rPr>
              <w:t>CONDENSED BALANCE SHEETS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jc w:val="center"/>
              <w:ind w:left="319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Accounts and other receivables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assets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loans payable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Convertible notes, less current portion,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Derivative and warrant liability</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Series A convertible preferred stock, $0.0001 par value, 9,578 shares authorized, 9,577 shares issued and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shares outstanding as of March 31, 2021 (unaudited) and December 31, 2020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tcPr>
          <w:p>
            <w:pPr>
              <w:ind w:left="320"/>
              <w:spacing w:after="0" w:line="201" w:lineRule="exact"/>
              <w:rPr>
                <w:sz w:val="20"/>
                <w:szCs w:val="20"/>
                <w:color w:val="auto"/>
              </w:rPr>
            </w:pPr>
            <w:r>
              <w:rPr>
                <w:rFonts w:ascii="Arial" w:cs="Arial" w:eastAsia="Arial" w:hAnsi="Arial"/>
                <w:sz w:val="18"/>
                <w:szCs w:val="18"/>
                <w:color w:val="auto"/>
                <w:w w:val="91"/>
              </w:rPr>
              <w:t>Series B-1 convertible preferred stock, $0.0001 par value, 1,576 shares authorized, 1,576 shares issued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and no shares outstanding as of March 31, 2021 (unaudited) and December 31, 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Series B-2 convertible preferred stock, $0.0001 par value, 31,480 shares authorized, 31,476.98412 shares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issued and no shares outstanding as of March 31, 2021 (unaudited); 27,000 shares authorized, no shares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or outstanding as of December 31, 2020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tcPr>
          <w:p>
            <w:pPr>
              <w:ind w:left="320"/>
              <w:spacing w:after="0" w:line="201" w:lineRule="exact"/>
              <w:rPr>
                <w:sz w:val="20"/>
                <w:szCs w:val="20"/>
                <w:color w:val="auto"/>
              </w:rPr>
            </w:pPr>
            <w:r>
              <w:rPr>
                <w:rFonts w:ascii="Arial" w:cs="Arial" w:eastAsia="Arial" w:hAnsi="Arial"/>
                <w:sz w:val="18"/>
                <w:szCs w:val="18"/>
                <w:color w:val="auto"/>
                <w:w w:val="95"/>
              </w:rPr>
              <w:t>Undesignated preferred stock, $0.0001 par value, 9,957,366 shares authorized, no shares issued 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w w:val="98"/>
              </w:rPr>
              <w:t>outstanding as of March 31, 2021 (unaudited); 9,961,846 shares authorized, no shares issued or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outstanding as of December 31, 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Common stock, $0.0001 par value, 250,000,000 shares authorized, 28,480,156 shares issued and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outstanding as of March 31, 2021 (unaudited); 4,537,321 shares issued and outstanding as of December 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353,018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192,062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84,251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 (deficit)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12,117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and direct contract acquisition costs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Severance expense</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related to amortization of debt issuance costs and discount</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Interest expense on principal</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Interest and other income (expense), net</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expenses</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(10,296)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Deemed dividend</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(47,740)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140"/>
              <w:spacing w:after="0" w:line="195" w:lineRule="exact"/>
              <w:rPr>
                <w:sz w:val="20"/>
                <w:szCs w:val="20"/>
                <w:color w:val="auto"/>
              </w:rPr>
            </w:pPr>
            <w:r>
              <w:rPr>
                <w:rFonts w:ascii="Arial" w:cs="Arial" w:eastAsia="Arial" w:hAnsi="Arial"/>
                <w:sz w:val="18"/>
                <w:szCs w:val="18"/>
                <w:color w:val="auto"/>
              </w:rPr>
              <w:t>Net loss attributable to common stockholders</w:t>
            </w:r>
          </w:p>
        </w:tc>
        <w:tc>
          <w:tcPr>
            <w:tcW w:w="146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1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19,146,270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3,004,559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20" w:hanging="160"/>
        <w:spacing w:after="0" w:line="265" w:lineRule="auto"/>
        <w:rPr>
          <w:sz w:val="20"/>
          <w:szCs w:val="20"/>
          <w:color w:val="auto"/>
        </w:rPr>
      </w:pPr>
      <w:r>
        <w:rPr>
          <w:rFonts w:ascii="Arial" w:cs="Arial" w:eastAsia="Arial" w:hAnsi="Arial"/>
          <w:sz w:val="16"/>
          <w:szCs w:val="16"/>
          <w:color w:val="auto"/>
        </w:rPr>
        <w:t>Balance as of January 1, 2021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Issuance of common stock in</w:t>
      </w:r>
    </w:p>
    <w:p>
      <w:pPr>
        <w:spacing w:after="0" w:line="18"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connection with Public Offering, net of discounts and commissions</w:t>
      </w:r>
    </w:p>
    <w:p>
      <w:pPr>
        <w:spacing w:after="0" w:line="2" w:lineRule="exact"/>
        <w:rPr>
          <w:sz w:val="20"/>
          <w:szCs w:val="20"/>
          <w:color w:val="auto"/>
        </w:rPr>
      </w:pPr>
    </w:p>
    <w:p>
      <w:pPr>
        <w:jc w:val="both"/>
        <w:ind w:left="160"/>
        <w:spacing w:after="0" w:line="280" w:lineRule="auto"/>
        <w:rPr>
          <w:sz w:val="20"/>
          <w:szCs w:val="20"/>
          <w:color w:val="auto"/>
        </w:rPr>
      </w:pPr>
      <w:r>
        <w:rPr>
          <w:rFonts w:ascii="Arial" w:cs="Arial" w:eastAsia="Arial" w:hAnsi="Arial"/>
          <w:sz w:val="15"/>
          <w:szCs w:val="15"/>
          <w:color w:val="auto"/>
        </w:rPr>
        <w:t>Issuance of common stock in connection with the exercise of warrants in the Inducement Transaction, net of discounts and commissions</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the exercise of common stock warrants</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warrants issued in connection with the Exchange Agreement</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Series B-2 Preferred Stock issued in accordance with the Exchange Agreement</w:t>
      </w:r>
    </w:p>
    <w:p>
      <w:pPr>
        <w:spacing w:after="0" w:line="3"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as a result of Series B-2 Preferred Stock conversion</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warrants issued in connection with the Inducement Transaction</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Deemed dividend related the Inducement Transaction Offering expenses charged to equity</w:t>
      </w:r>
    </w:p>
    <w:p>
      <w:pPr>
        <w:spacing w:after="0" w:line="3" w:lineRule="exact"/>
        <w:rPr>
          <w:sz w:val="20"/>
          <w:szCs w:val="20"/>
          <w:color w:val="auto"/>
        </w:rPr>
      </w:pPr>
    </w:p>
    <w:p>
      <w:pPr>
        <w:jc w:val="both"/>
        <w:ind w:left="160"/>
        <w:spacing w:after="0" w:line="274" w:lineRule="auto"/>
        <w:rPr>
          <w:sz w:val="20"/>
          <w:szCs w:val="20"/>
          <w:color w:val="auto"/>
        </w:rPr>
      </w:pPr>
      <w:r>
        <w:rPr>
          <w:rFonts w:ascii="Arial" w:cs="Arial" w:eastAsia="Arial" w:hAnsi="Arial"/>
          <w:sz w:val="16"/>
          <w:szCs w:val="16"/>
          <w:color w:val="auto"/>
        </w:rPr>
        <w:t>Issuance of common stock in exchange for consulting services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2021</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7"/>
        </w:trPr>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r>
      <w:tr>
        <w:trPr>
          <w:trHeight w:val="202"/>
        </w:trPr>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Convertible</w:t>
            </w:r>
          </w:p>
        </w:tc>
        <w:tc>
          <w:tcPr>
            <w:tcW w:w="12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Convertible</w:t>
            </w:r>
          </w:p>
        </w:tc>
        <w:tc>
          <w:tcPr>
            <w:tcW w:w="11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Stockholders'</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(Deficit)</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192,062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(258,474)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(66,412)</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(10,296)</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675</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49,284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49,285</w:t>
            </w:r>
          </w:p>
        </w:tc>
      </w:tr>
      <w:tr>
        <w:trPr>
          <w:trHeight w:val="1008"/>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40,390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40,391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25,593</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15,990</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29,056</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29,055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38,437</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(37,444)</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(1,106)</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(268,770)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84,251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-4768850</wp:posOffset>
            </wp:positionV>
            <wp:extent cx="71329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-4504690</wp:posOffset>
            </wp:positionV>
            <wp:extent cx="7132955" cy="25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-3736340</wp:posOffset>
            </wp:positionV>
            <wp:extent cx="7132955" cy="640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6400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-2712720</wp:posOffset>
            </wp:positionV>
            <wp:extent cx="71329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-1816735</wp:posOffset>
            </wp:positionV>
            <wp:extent cx="7132955" cy="384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-1049020</wp:posOffset>
            </wp:positionV>
            <wp:extent cx="7132955" cy="255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-537210</wp:posOffset>
            </wp:positionV>
            <wp:extent cx="7132955" cy="38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384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20"/>
            <w:col w:w="8860"/>
          </w:cols>
          <w:pgMar w:left="320" w:top="1035"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STATEMENTS OF CHANGES IN STOCKHOLDERS’ DEFICIT,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5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20" w:hanging="160"/>
        <w:spacing w:after="0" w:line="265" w:lineRule="auto"/>
        <w:rPr>
          <w:sz w:val="20"/>
          <w:szCs w:val="20"/>
          <w:color w:val="auto"/>
        </w:rPr>
      </w:pPr>
      <w:r>
        <w:rPr>
          <w:rFonts w:ascii="Arial" w:cs="Arial" w:eastAsia="Arial" w:hAnsi="Arial"/>
          <w:sz w:val="16"/>
          <w:szCs w:val="16"/>
          <w:color w:val="auto"/>
        </w:rPr>
        <w:t>Balance as of January 1, 2020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equity line of credit</w:t>
      </w:r>
    </w:p>
    <w:p>
      <w:pPr>
        <w:spacing w:after="0" w:line="2" w:lineRule="exact"/>
        <w:rPr>
          <w:sz w:val="20"/>
          <w:szCs w:val="20"/>
          <w:color w:val="auto"/>
        </w:rPr>
      </w:pPr>
    </w:p>
    <w:p>
      <w:pPr>
        <w:ind w:left="160"/>
        <w:spacing w:after="0" w:line="266" w:lineRule="auto"/>
        <w:rPr>
          <w:sz w:val="20"/>
          <w:szCs w:val="20"/>
          <w:color w:val="auto"/>
        </w:rPr>
      </w:pPr>
      <w:r>
        <w:rPr>
          <w:rFonts w:ascii="Arial" w:cs="Arial" w:eastAsia="Arial" w:hAnsi="Arial"/>
          <w:sz w:val="16"/>
          <w:szCs w:val="16"/>
          <w:color w:val="auto"/>
        </w:rPr>
        <w:t>Issuance of common stock in connection with Deerfield Optional Conversion Feature Recognition of deferred offering costs in connection with equity line of credit Offering expenses charged to equity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Convertible</w:t>
            </w:r>
          </w:p>
        </w:tc>
        <w:tc>
          <w:tcPr>
            <w:tcW w:w="12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Convertible</w:t>
            </w:r>
          </w:p>
        </w:tc>
        <w:tc>
          <w:tcPr>
            <w:tcW w:w="11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16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Stockholders'</w:t>
            </w:r>
          </w:p>
        </w:tc>
      </w:t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171,258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(74,456)</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1,112</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9,600</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93"/>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182,793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-2081530</wp:posOffset>
            </wp:positionV>
            <wp:extent cx="713295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-1816735</wp:posOffset>
            </wp:positionV>
            <wp:extent cx="7132955" cy="255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-1176655</wp:posOffset>
            </wp:positionV>
            <wp:extent cx="7132955" cy="384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-408940</wp:posOffset>
            </wp:positionV>
            <wp:extent cx="7132955" cy="255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20"/>
            <w:col w:w="8860"/>
          </w:cols>
          <w:pgMar w:left="320" w:top="578"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8"/>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(10,296)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Amortization of debt issuance costs and debt discount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sublease and disposal of property and equipment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Consulting fees paid in common stock</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Public Offering, net of discounts and commissions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49,285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Inducement Transaction, net of discounts and commissions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41,384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equity line of credit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principal on finance lease liabilities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principal on convertible notes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(37,924)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proceeds from exercise of common stock warrants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25,593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74,290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71,704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76,026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Facility Notes principal converted to Series B-2 Preferred Stock</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31,477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2019 Notes principal converted to common stock</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5"/>
              </w:rPr>
              <w:t>Commitment shares issued in connection with equity line of credit included in deferred offering costs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Amounts due for property and equipment included in accounts payable and accrued expenses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Amounts due for deferred offering costs included in accounts payable and accrued expenses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issued to underwriters in connection with Public Offering</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46" w:lineRule="exact"/>
        <w:rPr>
          <w:sz w:val="20"/>
          <w:szCs w:val="20"/>
          <w:color w:val="auto"/>
        </w:rPr>
      </w:pPr>
    </w:p>
    <w:p>
      <w:pPr>
        <w:ind w:left="460" w:hanging="45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KemPharm, Inc. (the “Company”) is a specialty pharmaceutical company focused on the discovery and development of proprietary prodrugs to treat serious medical conditions through its proprietary Ligand Activated Therapy ("LAT") technology. The Company utilizes its proprietary LAT technology to generate improved prodrug versions of U.S. Food and Drug Administration (the "FDA") approved drugs as well as to generate prodrug versions of existing compounds that may have applications for new disease indications. The Company's product candidate pipeline is focused on the high need areas of attention deficit hyperactivity disorder ("ADHD") and stimulant use disorder ("SUD"). The Company has received FDA approval for APADAZ, an immediate-release combination product containing benzhydrocodone, a prodrug of hydrocodone and acetaminophen. On March 2, 2021, the Company announced that the FDA approved the new drug application ("NDA") for AZSTARYS (formerly referred to as KP415), a once-daily product for the treatment of ADHD in patients age six years and older. The Company's additional clinical product candidate for the treatment of ADHD include KP484, and the Company's clinical product candidate for the treatment of SUD includes KP879.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23, 2020, the Company completed a one-for-sixteen reverse stock split (the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 and the par value of the Company’s common stock remained unchanged at $0.0001 per share. No fractional shares were issued in connection with the Reverse Stock Split. Stockholders who otherwise held fractional shares of the Company’s common stock as a result of the Reverse Stock Split received a cash payment in lieu of such fractional shares. Except where disclosed, all amounts related to number of shares and per share amounts have been retroactively restated in these unaudited condensed financial statements to reflect this Reverse Stock Split.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2020 ELOC Agreement</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2020, the Company entered into a purchase agreement for an equity line of credit (the “2020 ELOC Agreement”) with Lincoln Park which provides that, upon the terms and subject to the conditions and limitations set forth therein, the Company may sell to Lincoln Park up to $4.0 million of shares of common stock from time to time over the 12-month term of the 2020 ELOC Agreement, and upon execution of the 2020 ELOC Agreement the Company issued an additional 19,289 shares of common stock to Lincoln Park as commitment shares in accordance with the closing conditions within the 2020 ELOC Agreement. Concurrently with entering into the 2020 ELOC Agreement, the Company also entered into a registration rights agreement with Lincoln Park (the “2020 ELOC Registration Rights Agreement”) pursuant to which the Company agreed to register the sale of the shares of common stock that have been and may be issued to Lincoln Park under the 2020 ELOC Agreement pursuant to the Company’s existing shelf registration statement on Form S-3 or a new registration statement. In May 2020, the Company reached the maximum allowable shares to be issued under the registration statement of 579,260 shares (inclusive of the 19,289 commitment shares) as defined in Section 2(f)(i) of the 2020 ELOC Agreement and therefore cannot issue additional shares under the 2020 ELOC Agreement. Through May 2020, the Company sold 559,971 shares of common stock to Lincoln Park (exclusive of the 19,289 commitment shares) under the 2020 ELOC Agreement for gross proceeds of approximately $2.3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on February 1, 2021, the Underwriter again exercised its over-allotment option to purchase 374,035 shares of common stock.</w:t>
      </w:r>
    </w:p>
    <w:p>
      <w:pPr>
        <w:spacing w:after="0" w:line="20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Capital Market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 w:name="page11"/>
    <w:bookmarkEnd w:id="10"/>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preparation of unaudited condensed financial statements in conformity with U.S. GAAP requires the Company to make estimates and assumptions that affect the amounts reported in the unaudited condensed financial statements and accompanying notes. Actual results could differ from those estimates.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starting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6"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KP415 License Agreement</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serdexmethylphenidate (“SDX”) and d-methylphenidate (“d-MPH”), including AZSTARYS, KP484, and, at the option of Commave, KP879, KP922 or any other product candidate developed by the Company containing SDX and developed to treat ADHD or any other central nervous system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exchange for the exclusive, worldwide license, discussed above, Commave paid the Company a non-refundable upfront payment of $10.0 million. The Company is also entitled to additional payments from Commave of up to $63.0 million, conditioned upon the achievement of specified regulatory milestones related to AZSTARYS and KP484. In May 2020, the FDA accepted the Company’s NDA for AZSTARYS. Per the KP415 License Agreement, the Company received a regulatory milestone payment of $5.0 million following the FDA’s acceptance of the AZSTARYS NDA. In addition, the Company is entitled to payments from Commave of up to $420.0 million in the aggregate, conditioned upon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Commave also agreed to be responsible for and reimburse the Company for all of the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the Company otherwise retains all responsibility for the conduct of all regulatory activities required to obtain new drug application approval of AZSTARYS and KP484; provided that Commave shall be the sponsor of any clinical trials conducted by the Company on behalf of Commave.</w:t>
      </w:r>
    </w:p>
    <w:p>
      <w:pPr>
        <w:spacing w:after="0" w:line="1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or KP879 under the KP415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 w:name="page14"/>
    <w:bookmarkEnd w:id="13"/>
    <w:p>
      <w:pPr>
        <w:jc w:val="both"/>
        <w:spacing w:after="0" w:line="283" w:lineRule="auto"/>
        <w:rPr>
          <w:sz w:val="20"/>
          <w:szCs w:val="20"/>
          <w:color w:val="auto"/>
        </w:rPr>
      </w:pPr>
      <w:r>
        <w:rPr>
          <w:rFonts w:ascii="Arial" w:cs="Arial" w:eastAsia="Arial" w:hAnsi="Arial"/>
          <w:sz w:val="16"/>
          <w:szCs w:val="16"/>
          <w:color w:val="auto"/>
        </w:rPr>
        <w:t>The consideration allocated to the performance of consulting services, which includes the reimbursement of out-of-pocket third-party research and development costs, was the fair value of the Development Costs (as defined in the KP415 License Agreement), which reflects the standalone selling price. The Company utilized a blended approach which took into consideration the adjusted market assessment approach and the expected cost plus a margin approach to determine this standalone selling price. This blended approach utilized the adjusted market approach and expected cost plus margin approach to value the performance of consulting services which included analyzing hourly rates of vendors in the a market who perform similar services to those of the Company to develop a range and then analyzing the average cost per hour of our internal resources and applying a margin which placed the value in the median of the previously identified range. For the reimbursement of out-of-pocket third-party research and development costs the Company utilized the expected cost plus a margin approach, which included estimating the actual out-of-pocket cost the Company expects to pay to third-parties for research and development costs and applying a margin, if necessary. The Company determined that no margin was necessary of these out-of-pocket third-party research and development costs as these are purely pass-through costs and the margin for managing these third-party activities is included within the value of the performance of consulting services. The Company determined that the performance of consulting services, including reimbursement of out-of-pocket third-party research and development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out-of-pocket third-party research and development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discussed above, the combination of the standalone selling price of these consulting services and certain out-of-pocket third-party research and development costs for AZSTARYS was the fair value of the Development Costs at inception. These Development Costs effectively created a cap on certain consulting services and out-of-pocket third-party research and development costs identified in the initial product development plan for AZSTARYS which was anticipated at the inception date of the KP415 License Agreement. As of March 31, 2021, the Company has recognized all of the consulting services and out-of-pocket third-party research and development costs under this cap.</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KP415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KP415 License Agreement) under the KP415 License Agreement (the “Additional Product Option”). In addition to the Additional Product Option, Commave was also granted a right of first refusal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 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entitled to additional payments from Commave conditioned upon the achievement of specified regulatory milestones related to AZSTARYS and KP484 and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May 2020, the FDA accepted the Company’s NDA for AZSTARYS. Per the KP415 License Agreement, the Company received a regulatory milestone payment of $5.0 million following the FDA’s acceptance of the AZSTARYS NDA. Since the FDA accepted the Company’s NDA for AZSTARYS the constraint was removed and revenue recognized. The associated revenue was allocated among the two performance obligations identified at contract inception. Since both performance obligations were satisfied as of the end of the second quarter of 2020 the full $5.0 million payment was recognized as revenue during the second quarter of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4" w:name="page15"/>
    <w:bookmarkEnd w:id="14"/>
    <w:p>
      <w:pPr>
        <w:jc w:val="both"/>
        <w:spacing w:after="0" w:line="267" w:lineRule="auto"/>
        <w:rPr>
          <w:sz w:val="20"/>
          <w:szCs w:val="20"/>
          <w:color w:val="auto"/>
        </w:rPr>
      </w:pPr>
      <w:r>
        <w:rPr>
          <w:rFonts w:ascii="Arial" w:cs="Arial" w:eastAsia="Arial" w:hAnsi="Arial"/>
          <w:sz w:val="17"/>
          <w:szCs w:val="17"/>
          <w:color w:val="auto"/>
        </w:rPr>
        <w:t>On April 8, 2021, the Company entered into Amendment No. 1 to the KP415 Amendment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agreed to pay the Company $10.0 million within thirty calendar days following receipt of the scheduling determination of the compound SDX by the U.S. Drug Enforcement Agency (the "DEA"), which occurred on May 7, 2020. SDX is the prodrug component of AZSTARYS. In addition, the KP415 Amendment increases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the Company quarterly, tiered royalty payments ranging from a percentage in the high single digits to the mid-twenties of Net Sales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Commave and the Company also agreed to modify Commave’s right of first refusal such that the Company’s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Per the KP415 Amendment, the Company earned a regulatory milestone payment of $10.0 million following the FDA’s approval of the AZSTARYS NDA. Since the FDA approved the NDA for AZSTARYS the constraint was removed and revenue recognized. The associated revenue was allocated among the two performance obligations identified at contract inception. Since both performance obligations were satisfied as of the end of the first quarter of 2021 the full $10.0 million was recognized as revenue during the first quarter of 2021. In accordance with ASC 340-40,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Company recognized $1.0 million of royalty costs due to payment to Aquestive related to the regulatory milestone earned and recorded it in the item titled royalty and direct contract acquisition costs in the unaudited condensed statements of operations.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March 31, 2021 and 2020, the Company recognized revenue under the KP415 License Agreement of $10.0 million and $2.1 million, respectively. There was no deferred revenue related to this agreement as of March 31, 2021 or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APADAZ License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2018, the Company entered into a Collaboration and License Agreement (the “APADAZ License Agreement”) with KVK Tech, Inc. (“KVK”) pursuant to which we have granted an exclusive license to KVK to conduct regulatory activities for, manufacture and commercialize APADAZ in the United States.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APADAZ License Agreement, KVK agreed to pay the Company certain payments and cost reimbursements of an estimated $3.4 million, which includes a payment of $2.0 million within 10 days of the achievement of a specified milestone related to the initial formulary adoption of APADAZ (the “Initial Adoption Milestone”). In addition, KVK has agreed to make additional payments to the Company upon the achievement of specified sales milestones of up to $53.0 million in the aggregate. Further, the Company and KVK will share the quarterly net profits of APADAZ by KVK in the United States at specified tiered percentages, ranging from the Company receiving 30% to 50% of net profits, based on the amount of net sales on a rolling four quarter basis. The Company is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The Company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if the other party encounters bankruptcy or insolvency or (iii) if the Initial Adoption Milestone is not achieved. Upon termination, all licenses and other rights granted by the Company to KVK pursuant to the APADAZ License Agreement would revert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Consulting Arrangements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is responsible for leading all commercialization activities for AZSTARYS under the KP415 License Agreement, as discussed above.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Corium Consulting Agreement, the Company is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the Company for all development, commercialization and regulatory expenses incurred as part of the performance of the Corium Consulting Services.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March 31, 2021, the Company has recognized approximately 45% of the consulting services and third-party pass-through costs under the Corium Consulting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months ended March 31, 2021, the Company recognized revenue under the Corium Consulting Agreement of $1.6 million. There was no revenue recognized for the three months ended March 31, 2020 related to the Corium Consulting Agreement. As of March 31, 2021, the Company had deferred revenue related to this agreement of $0.2 million. As of December 31, 2020, the Company had deferred revenue related to this agreement or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Consulting Arrangements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2021, the Company recognized revenue under other consulting arrangements of $0.5 million. There was no revenue recognized from other consulting arrangements for the three months ended March 31, 2020. There was no deferred revenue from other consulting arrangements as of March 31, 2021 or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Accounts and other receivables consists of receivables under the KP415 License Agreement and Corium Consulting Agreement, as well as receivables related to other consulting arrangements, income tax receivables and other receivables due to the Company. Receivables under the KP415 License Agreement and Corium Consulting Agreement are recorded for amounts due to the Company related to reimbursable third-party costs and performance of consulting services. These receivables, as well as the receivables related to other consulting arrangements, are evaluated to determine if any reserve or allowance should be established at each reporting date. As of March 31, 2021, the Company had receivables related to the Corium Consulting Agreement in the amount of $0.6 million, other consulting arrangements in the amount of $0.6 million and $10.0 million related to the KP415 License Agreement. As of December 31, 2020, the Company had receivables related to the Corium Consulting Agreement of $2.1 million, other consulting arrangements of $0.4 million and no receivables related to the KP415 License Agreement. As of March 31, 2021 and December 31, 2020, no reserve or allowance for doubtful accounts has been established.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the Company’s financial statements and disclosures.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w:t>
      </w:r>
      <w:r>
        <w:rPr>
          <w:rFonts w:ascii="Arial" w:cs="Arial" w:eastAsia="Arial" w:hAnsi="Arial"/>
          <w:sz w:val="17"/>
          <w:szCs w:val="17"/>
          <w:i w:val="1"/>
          <w:iCs w:val="1"/>
          <w:color w:val="auto"/>
        </w:rPr>
        <w:t>Disclosure Framework</w:t>
      </w:r>
      <w:r>
        <w:rPr>
          <w:rFonts w:ascii="Arial" w:cs="Arial" w:eastAsia="Arial" w:hAnsi="Arial"/>
          <w:sz w:val="17"/>
          <w:szCs w:val="17"/>
          <w:color w:val="auto"/>
        </w:rPr>
        <w:t>—</w:t>
      </w:r>
      <w:r>
        <w:rPr>
          <w:rFonts w:ascii="Arial" w:cs="Arial" w:eastAsia="Arial" w:hAnsi="Arial"/>
          <w:sz w:val="17"/>
          <w:szCs w:val="17"/>
          <w:i w:val="1"/>
          <w:iCs w:val="1"/>
          <w:color w:val="auto"/>
        </w:rPr>
        <w:t>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Measurement, based on the concepts in the FASB Concepts Statement, </w:t>
      </w:r>
      <w:r>
        <w:rPr>
          <w:rFonts w:ascii="Arial" w:cs="Arial" w:eastAsia="Arial" w:hAnsi="Arial"/>
          <w:sz w:val="17"/>
          <w:szCs w:val="17"/>
          <w:i w:val="1"/>
          <w:iCs w:val="1"/>
          <w:color w:val="auto"/>
        </w:rPr>
        <w:t>Conceptual Framework for Financial Reporting</w:t>
      </w:r>
      <w:r>
        <w:rPr>
          <w:rFonts w:ascii="Arial" w:cs="Arial" w:eastAsia="Arial" w:hAnsi="Arial"/>
          <w:sz w:val="17"/>
          <w:szCs w:val="17"/>
          <w:color w:val="auto"/>
        </w:rPr>
        <w:t>—</w:t>
      </w:r>
      <w:r>
        <w:rPr>
          <w:rFonts w:ascii="Arial" w:cs="Arial" w:eastAsia="Arial" w:hAnsi="Arial"/>
          <w:sz w:val="17"/>
          <w:szCs w:val="17"/>
          <w:i w:val="1"/>
          <w:iCs w:val="1"/>
          <w:color w:val="auto"/>
        </w:rPr>
        <w:t>Chapter 8: Notes to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which the FASB finalized on August 28, 2018, including the consideration of costs and benefits. This update applies to all entities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the Company’s financial statements and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Standards—Not Yet Adopted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w:t>
      </w:r>
      <w:r>
        <w:rPr>
          <w:rFonts w:ascii="Arial" w:cs="Arial" w:eastAsia="Arial" w:hAnsi="Arial"/>
          <w:sz w:val="17"/>
          <w:szCs w:val="17"/>
          <w:i w:val="1"/>
          <w:iCs w:val="1"/>
          <w:color w:val="auto"/>
        </w:rPr>
        <w: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w:t>
      </w:r>
      <w:r>
        <w:rPr>
          <w:rFonts w:ascii="Arial" w:cs="Arial" w:eastAsia="Arial" w:hAnsi="Arial"/>
          <w:sz w:val="17"/>
          <w:szCs w:val="17"/>
          <w:color w:val="auto"/>
        </w:rPr>
        <w:t>’</w:t>
      </w:r>
      <w:r>
        <w:rPr>
          <w:rFonts w:ascii="Arial" w:cs="Arial" w:eastAsia="Arial" w:hAnsi="Arial"/>
          <w:sz w:val="17"/>
          <w:szCs w:val="17"/>
          <w:i w:val="1"/>
          <w:iCs w:val="1"/>
          <w:color w:val="auto"/>
        </w:rPr>
        <w:t>s Own Equity (Subtopic 815-40); Accounting for Convertible Instruments and Contracts in an Entity</w:t>
      </w:r>
      <w:r>
        <w:rPr>
          <w:rFonts w:ascii="Arial" w:cs="Arial" w:eastAsia="Arial" w:hAnsi="Arial"/>
          <w:sz w:val="17"/>
          <w:szCs w:val="17"/>
          <w:color w:val="auto"/>
        </w:rPr>
        <w:t>’</w:t>
      </w:r>
      <w:r>
        <w:rPr>
          <w:rFonts w:ascii="Arial" w:cs="Arial" w:eastAsia="Arial" w:hAnsi="Arial"/>
          <w:sz w:val="17"/>
          <w:szCs w:val="17"/>
          <w:i w:val="1"/>
          <w:iCs w:val="1"/>
          <w:color w:val="auto"/>
        </w:rPr>
        <w:t xml:space="preserve">s Own Equity </w:t>
      </w:r>
      <w:r>
        <w:rPr>
          <w:rFonts w:ascii="Arial" w:cs="Arial" w:eastAsia="Arial" w:hAnsi="Arial"/>
          <w:sz w:val="17"/>
          <w:szCs w:val="17"/>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Early adoption is permitted, but no earlier than fiscal years beginning after December 15, 2020, including interim periods within those fiscal years. FASB specified that an entity should adopt the guidance as of the beginning of its annual fiscal year. The Company is currently evaluating the impact the adoption of ASU 2020-06 could have on the Company’s financial statements and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 w:name="page19"/>
    <w:bookmarkEnd w:id="18"/>
    <w:p>
      <w:pPr>
        <w:ind w:left="460" w:hanging="45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March 31, 2021, the Company had no convertible notes outstanding. As of December 31, 2020, the Company had convertible notes outstanding in the aggregate principal amount of $68.2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 (i) 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$6,980,824 plus any capitalized interest to date on March 31, 2021. Prepayment of the outstanding balance was not allowed without written consent of Deerfield.</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was further adjusted to $46.25 per share in connection with the Company entering into the Inducement Transaction (as defined in Note F) which triggered the anti-dilution provisions of the Deerfield Warrant. This warrant qualifies as a participating security under ASC Topic 260, Earnings per Share, and is treated as such in the net loss per share calculation (Note I).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unaudited condensed statements of operations. In February 2021, the debt was extinguished and the discount and debt issuance costs were written off as a loss on extinguishment.</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 xml:space="preserve">Issuance of </w:t>
      </w:r>
      <w:r>
        <w:rPr>
          <w:rFonts w:ascii="Arial" w:cs="Arial" w:eastAsia="Arial" w:hAnsi="Arial"/>
          <w:sz w:val="18"/>
          <w:szCs w:val="18"/>
          <w:b w:val="1"/>
          <w:bCs w:val="1"/>
          <w:color w:val="auto"/>
        </w:rPr>
        <w:t>5.50%</w:t>
      </w:r>
      <w:r>
        <w:rPr>
          <w:rFonts w:ascii="Arial" w:cs="Arial" w:eastAsia="Arial" w:hAnsi="Arial"/>
          <w:sz w:val="18"/>
          <w:szCs w:val="18"/>
          <w:b w:val="1"/>
          <w:bCs w:val="1"/>
          <w:i w:val="1"/>
          <w:iCs w:val="1"/>
          <w:color w:val="auto"/>
        </w:rPr>
        <w:t xml:space="preserve"> Senior Convertible Notes and Third Amendment to Senior Secured Convertible Note and Warrant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Indenture included customary terms and covenants, including certain events of default after which the 2021 Notes may have become due and payable immediately.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2021 Note Exchange Effected in December 2019</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$71,418,011 (the “December 2019 Notes”), in exchange for the cancellation of an aggregate of $71,418,011 principal amount and accrued interest of the Company’s 2021 Notes. Upon entering into the December 2019 Exchange Agreement, the Company agreed to pay the December 2019 Holders, in the aggregate, an interest payment of $745,011 which represents 50% of the accrued interest, as of December 18, 2019, on the 2021 Notes owned by the December 2019 Holders. The remainder of such interest was included in the principal amount of the December 2019 Notes.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spacing w:after="0" w:line="1" w:lineRule="exact"/>
        <w:rPr>
          <w:sz w:val="20"/>
          <w:szCs w:val="20"/>
          <w:color w:val="auto"/>
        </w:rPr>
      </w:pPr>
    </w:p>
    <w:p>
      <w:pPr>
        <w:ind w:right="20" w:firstLine="7"/>
        <w:spacing w:after="0" w:line="258"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all of the notes will be secured by the liens securing the indebtedness under the Deerfield Facility Agreement, and (ii) name Deerfield as the “Collateral Agent” under the GSA.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080" w:gutter="0" w:footer="0" w:header="0"/>
        </w:sectPr>
      </w:pPr>
    </w:p>
    <w:bookmarkStart w:id="21" w:name="page22"/>
    <w:bookmarkEnd w:id="21"/>
    <w:p>
      <w:pPr>
        <w:jc w:val="both"/>
        <w:spacing w:after="0" w:line="284" w:lineRule="auto"/>
        <w:rPr>
          <w:sz w:val="20"/>
          <w:szCs w:val="20"/>
          <w:color w:val="auto"/>
        </w:rPr>
      </w:pPr>
      <w:r>
        <w:rPr>
          <w:rFonts w:ascii="Arial" w:cs="Arial" w:eastAsia="Arial" w:hAnsi="Arial"/>
          <w:sz w:val="16"/>
          <w:szCs w:val="16"/>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March 31, 2021, the Deerfield Lenders have converted $17.1 million of principal under the December 2019 Notes into all 1,777,437 shares of common stock available under the Deerfield Optional Conversion Feature.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determined the changes to the Deerfield Convertible Note met the definition of a troubled debt restructuring under ASC 470-60, </w:t>
      </w:r>
      <w:r>
        <w:rPr>
          <w:rFonts w:ascii="Arial" w:cs="Arial" w:eastAsia="Arial" w:hAnsi="Arial"/>
          <w:sz w:val="18"/>
          <w:szCs w:val="18"/>
          <w:i w:val="1"/>
          <w:iCs w:val="1"/>
          <w:color w:val="auto"/>
        </w:rPr>
        <w:t>Troubled</w:t>
      </w:r>
      <w:r>
        <w:rPr>
          <w:rFonts w:ascii="Arial" w:cs="Arial" w:eastAsia="Arial" w:hAnsi="Arial"/>
          <w:sz w:val="18"/>
          <w:szCs w:val="18"/>
          <w:color w:val="auto"/>
        </w:rPr>
        <w:t xml:space="preserve"> </w:t>
      </w:r>
      <w:r>
        <w:rPr>
          <w:rFonts w:ascii="Arial" w:cs="Arial" w:eastAsia="Arial" w:hAnsi="Arial"/>
          <w:sz w:val="18"/>
          <w:szCs w:val="18"/>
          <w:i w:val="1"/>
          <w:iCs w:val="1"/>
          <w:color w:val="auto"/>
        </w:rPr>
        <w:t>Debt Restructurings by Debtors</w:t>
      </w:r>
      <w:r>
        <w:rPr>
          <w:rFonts w:ascii="Arial" w:cs="Arial" w:eastAsia="Arial" w:hAnsi="Arial"/>
          <w:sz w:val="18"/>
          <w:szCs w:val="18"/>
          <w:color w:val="auto"/>
        </w:rPr>
        <w:t>, as the Company was experiencing financial difficulties and Deerfield granted a concession. The amendments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2021 Note Exchange Effected in January 2020</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$3,037,354 (the “January 2020 Note”) in exchange for the cancellation of an aggregate of $3,037,354 principal amount and accrued interest of the 2021 Note then owned by Kingdon. Upon entering into the January 2020 Exchange Agreement, the Company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December 2020 Exchange Agreement and Amendment to Facility Agreement, Notes and 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8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4" w:name="page25"/>
    <w:bookmarkEnd w:id="24"/>
    <w:p>
      <w:pPr>
        <w:jc w:val="both"/>
        <w:spacing w:after="0" w:line="258" w:lineRule="auto"/>
        <w:rPr>
          <w:sz w:val="20"/>
          <w:szCs w:val="20"/>
          <w:color w:val="auto"/>
        </w:rPr>
      </w:pPr>
      <w:r>
        <w:rPr>
          <w:rFonts w:ascii="Arial" w:cs="Arial" w:eastAsia="Arial" w:hAnsi="Arial"/>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246" w:lineRule="exact"/>
        <w:rPr>
          <w:sz w:val="20"/>
          <w:szCs w:val="20"/>
          <w:color w:val="auto"/>
        </w:rPr>
      </w:pPr>
    </w:p>
    <w:p>
      <w:pPr>
        <w:ind w:left="460" w:right="24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202" w:lineRule="exact"/>
        <w:rPr>
          <w:rFonts w:ascii="Arial" w:cs="Arial" w:eastAsia="Arial" w:hAnsi="Arial"/>
          <w:sz w:val="34"/>
          <w:szCs w:val="34"/>
          <w:color w:val="auto"/>
          <w:vertAlign w:val="subscript"/>
        </w:rPr>
      </w:pPr>
    </w:p>
    <w:p>
      <w:pPr>
        <w:ind w:left="460" w:right="52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(the "Debt Payment"), in partial repayment of the remaining outstanding principal and accrued interest of the Facility Notes.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was prepayable upon specified conditions, and</w:t>
      </w:r>
    </w:p>
    <w:p>
      <w:pPr>
        <w:spacing w:after="0" w:line="222" w:lineRule="exact"/>
        <w:rPr>
          <w:rFonts w:ascii="Arial" w:cs="Arial" w:eastAsia="Arial" w:hAnsi="Arial"/>
          <w:sz w:val="18"/>
          <w:szCs w:val="18"/>
          <w:color w:val="auto"/>
        </w:rPr>
      </w:pPr>
    </w:p>
    <w:p>
      <w:pPr>
        <w:ind w:left="460" w:right="80" w:hanging="224"/>
        <w:spacing w:after="0" w:line="181" w:lineRule="auto"/>
        <w:tabs>
          <w:tab w:leader="none" w:pos="460" w:val="left"/>
        </w:tabs>
        <w:numPr>
          <w:ilvl w:val="0"/>
          <w:numId w:val="8"/>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was recorded in the unaudited condensed statement of operations for the three months ended March 31, 2021 and additional debt issuance costs related the new notes were capitalized and amortized using the effective interest method through the Payoff of Facility Agreement Notes (discussed below).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3" w:lineRule="exact"/>
        <w:rPr>
          <w:sz w:val="20"/>
          <w:szCs w:val="20"/>
          <w:color w:val="auto"/>
        </w:rPr>
      </w:pPr>
    </w:p>
    <w:p>
      <w:pPr>
        <w:jc w:val="both"/>
        <w:ind w:firstLine="7"/>
        <w:spacing w:after="0" w:line="266" w:lineRule="auto"/>
        <w:tabs>
          <w:tab w:leader="none" w:pos="221"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does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Company determined the payoff letter met the liability derecognition threshold under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is recorded on the unaudited condensed statements of operations for the three months ended March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23, 2020, the Company received proceeds of $0.8 million from the PPP Loan under the PPP of the CARES Act, a portion of which may be forgiven, which the Company used to retain current employees, maintain payroll and make lease and utility payments. The PPP Loan matures on April 23, 2022 and bears annual interest at a rate of 1.0%. Payments of principal and interest on the PPP Loan were originally deferred for the first six months of the</w:t>
      </w:r>
    </w:p>
    <w:p>
      <w:pPr>
        <w:spacing w:after="0" w:line="2" w:lineRule="exact"/>
        <w:rPr>
          <w:sz w:val="20"/>
          <w:szCs w:val="20"/>
          <w:color w:val="auto"/>
        </w:rPr>
      </w:pPr>
    </w:p>
    <w:p>
      <w:pPr>
        <w:jc w:val="both"/>
        <w:ind w:firstLine="7"/>
        <w:spacing w:after="0" w:line="275" w:lineRule="auto"/>
        <w:tabs>
          <w:tab w:leader="none" w:pos="3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Loan term. Thereafter, the Company would have been required to pay the lender equal monthly payments of principal and interest. As of March 31, 2021, $0.7 million of the PPP Loan is recorded on the unaudited condensed balance sheets in current portion of loans payable and $0.1 million is recorded in loan payable, less current portion.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may apply for and be granted forgiveness for all or part of the PPP Loan. The Company applied for forgiveness for all of the PPP Loan in the fourth quarter of 2020 and is still awaiting a decision on forgiveness. The amount of loan proceeds eligible for forgiveness was originally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provided that at least 75% of the loan amount was used for eligible payroll costs. Subject to the other requirements and limitations on loan forgiveness, only loan proceeds spent on payroll and other eligible costs during the covered eight-week period would have qualified for forgiveness.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7" w:name="page28"/>
    <w:bookmarkEnd w:id="27"/>
    <w:p>
      <w:pPr>
        <w:spacing w:after="0" w:line="275" w:lineRule="auto"/>
        <w:rPr>
          <w:sz w:val="20"/>
          <w:szCs w:val="20"/>
          <w:color w:val="auto"/>
        </w:rPr>
      </w:pPr>
      <w:r>
        <w:rPr>
          <w:rFonts w:ascii="Arial" w:cs="Arial" w:eastAsia="Arial" w:hAnsi="Arial"/>
          <w:sz w:val="18"/>
          <w:szCs w:val="18"/>
          <w:color w:val="auto"/>
        </w:rPr>
        <w:t>On June 5, 2020, President Trump signed into law the PPP Flexibility Act of 2020 (the “Flexibility Act”), which among other things provided the following important changes to the PPP:</w:t>
      </w:r>
    </w:p>
    <w:p>
      <w:pPr>
        <w:spacing w:after="0" w:line="171" w:lineRule="exact"/>
        <w:rPr>
          <w:sz w:val="20"/>
          <w:szCs w:val="20"/>
          <w:color w:val="auto"/>
        </w:rPr>
      </w:pPr>
    </w:p>
    <w:p>
      <w:pPr>
        <w:jc w:val="both"/>
        <w:ind w:left="460" w:hanging="224"/>
        <w:spacing w:after="0" w:line="26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Extended the covered period for loan forgiveness from eight weeks after the date of loan disbursement to 24 weeks after the date of loan disbursement, providing substantially greater flexibility for borrowers to qualify for loan forgiveness. Borrowers who had already received PPP loans retained the option to use an eight-week covered period.</w:t>
      </w:r>
    </w:p>
    <w:p>
      <w:pPr>
        <w:spacing w:after="0" w:line="182" w:lineRule="exact"/>
        <w:rPr>
          <w:rFonts w:ascii="Arial" w:cs="Arial" w:eastAsia="Arial" w:hAnsi="Arial"/>
          <w:sz w:val="18"/>
          <w:szCs w:val="18"/>
          <w:color w:val="auto"/>
        </w:rPr>
      </w:pPr>
    </w:p>
    <w:p>
      <w:pPr>
        <w:jc w:val="both"/>
        <w:ind w:left="460" w:hanging="224"/>
        <w:spacing w:after="0" w:line="30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Lowered the requirements that 75 percent of a borrower’s loan proceeds must be used for payroll costs and that 75 percent of the loan forgiveness amount must have been spent on payroll costs during the 24-week loan forgiveness covered period to 60 percent for each of these requirements. If a borrower uses less than 60 percent of the loan amount for payroll costs during the forgiveness covered period, the borrower will continue to be eligible for partial loan forgiveness, subject to at least 60 percent of the loan forgiveness amount having been used for payroll costs.</w:t>
      </w:r>
    </w:p>
    <w:p>
      <w:pPr>
        <w:spacing w:after="0" w:line="155" w:lineRule="exact"/>
        <w:rPr>
          <w:rFonts w:ascii="Arial" w:cs="Arial" w:eastAsia="Arial" w:hAnsi="Arial"/>
          <w:sz w:val="16"/>
          <w:szCs w:val="16"/>
          <w:color w:val="auto"/>
        </w:rPr>
      </w:pPr>
    </w:p>
    <w:p>
      <w:pPr>
        <w:jc w:val="both"/>
        <w:ind w:left="460" w:hanging="224"/>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a safe harbor from reductions in loan forgiveness based on reductions in full-time equivalent employees for borrowers that are unable to return to the same level of business activity the business was operating at before February 15, 2020, due to compliance with requirements or guidance issued between March 1, 2020 and December 31, 2020 by the Secretary of Health and Human Services, the Director of the Centers for Disease Control and Prevention, or the Occupational Safety and Health Administration, related to worker or customer safety requirements related to COVID– 19.</w:t>
      </w:r>
    </w:p>
    <w:p>
      <w:pPr>
        <w:spacing w:after="0" w:line="19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a safe harbor from reductions in loan forgiveness based on reductions in full-time equivalent employees, to provide protections for borrowers that are both unable to rehire individuals who were employees of the borrower on February 15, 2020, and unable to hire similarly qualified employees for unfilled positions by December 31, 2020.</w:t>
      </w:r>
    </w:p>
    <w:p>
      <w:pPr>
        <w:spacing w:after="0" w:line="18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to five years the maturity of PPP loans that are approved by the U.S. Small Business Administration (the “SBA”) (based on the date SBA assigns a loan number) on or after June 5, 2020.</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Extended the deferral period for borrower payments of principal, interest, and fees on PPP loans to the date that SBA remits the borrower’s loan forgiveness amount to the lender (or, if the borrower does not apply for loan forgiveness, 10 months after the end of the borrower’s loan forgiveness covered period).</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the changes provided by the Flexibility Act the Company took advantage of (i) the extended covered period for loan forgiveness from eight weeks to 24 weeks, (ii) the lowered requirement that a certain percentage of loan proceeds must be used for payroll costs from 75 percent to 60 percent, (iii) the extended deferral period for payments of principal, interest and fees from six months after loan disbursement to 10 months after the SBA remits the borrower’s loan forgiveness amount to the lender and (iv) any safe harbor provisions as applicable. The Company will be required to repay any portion of the outstanding principal that is not forgiven, along with accrued interest, in accordance with the amortization schedule described above. Based on the changes provided by the Flexibility Act the Company expects that substantially all of the PPP loan will be forgiven, however, the Company cannot provide any assurance that the Company will be eligible for loan forgiveness or that any amount of the PPP Loan will ultimately be forgiven by the SBA.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2021, the Company has one irrevocable letter of credit supporting certain finance lease agreements. This letter of credit is guaranteed by a money market account which is reported as restricted cash on the unaudited condensed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8" w:name="page29"/>
    <w:bookmarkEnd w:id="28"/>
    <w:p>
      <w:pPr>
        <w:ind w:left="460" w:hanging="453"/>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March 31, 2021 and December 31, 2020, no accruals have been made related to commitments and contingencies.</w:t>
      </w:r>
    </w:p>
    <w:p>
      <w:pPr>
        <w:spacing w:after="0" w:line="195"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2021, the Company had 10,000,000 shares of authorized preferred stock, of which 9,578 shares were designated as Series A Preferred Stock, 1,576 shares were designated as Series B-1 Preferred Stock and 31,480 shares were designated as Series B-2 Preferred Stock. Of the designated preferred stock, 9,577 shares of Series A Preferred Stock, 1,576 shares of Series B-1 Preferred Stock and 31,476.98412 shares of Series B-2 Preferred Stock were issued as of March 31, 2021. As of December 31, 2020, the Company had 10,000,000 shares of authorized preferred stock, of which 9,578 shares were designated as Series A Preferred Stock, 1,576 shares were designated as Series B-1 Preferred Stock and 27,000 shares were designated as Series B-2 Preferred Stock. Of the designated preferred stock, 9,577 shares of Series A Preferred Stock, 1,576 shares of Series B-1 Preferred Stock and no shares of Series B-2 Preferred Stock were issued as of December 31, 2020. As of March 31, 2021 and December 31, 2020, no shares of Series A Preferred Stock, Series B-1 Preferred Stock or Series B-2 Preferred Stock were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Preferred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Designation of Preferences, Rights and Limitations of the Series B-2 Convertible Preferred Stock</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the Public Offering, pursuant to the terms of the December 2020 Exchange Agreement, the Company:</w:t>
      </w:r>
    </w:p>
    <w:p>
      <w:pPr>
        <w:spacing w:after="0" w:line="223" w:lineRule="exact"/>
        <w:rPr>
          <w:sz w:val="20"/>
          <w:szCs w:val="20"/>
          <w:color w:val="auto"/>
        </w:rPr>
      </w:pPr>
    </w:p>
    <w:p>
      <w:pPr>
        <w:ind w:left="460" w:hanging="224"/>
        <w:spacing w:after="0" w:line="27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Exchanged approximately $31.5 million (the "Exchange") of the outstanding principal and accrued interest on the Facility Notes for (i) the Series B-2 Preferred Stock and (ii) the Exchange Warrants;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made a payment of approximately $30.3 million (the “Debt Payment”) in partial repayment of the remaining outstanding principal and accrued interest on the Facility Notes.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all shares of Series B-2 Preferred Stock have been converted into 4,842,699 shares of common stock.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9" w:name="page30"/>
    <w:bookmarkEnd w:id="29"/>
    <w:p>
      <w:pPr>
        <w:ind w:left="460" w:hanging="453"/>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3"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As of March 31, 2021 and December 31, 2020, the Company had authorized shares of common stock of 250,000,000 shares. Of the authorized shares, 28,480,156 and 4,537,321 shares of common stock were issued and outstanding as of March 31, 2021 and December 31, 2020,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and December 31, 2020, the Company had reserved authorized shares of common stock for future issuance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Conversion of January 2020 Note</w:t>
            </w:r>
          </w:p>
        </w:tc>
        <w:tc>
          <w:tcPr>
            <w:tcW w:w="10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34,615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December 2019 Notes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625,747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Outstanding awards under equity incentive plans</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354,869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355,785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9,544,693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151,442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229,317</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47,825</w:t>
            </w:r>
          </w:p>
        </w:tc>
        <w:tc>
          <w:tcPr>
            <w:tcW w:w="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common shares reserved for future issuance</w:t>
            </w: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10,128,879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1,296,515</w:t>
            </w:r>
          </w:p>
        </w:tc>
        <w:tc>
          <w:tcPr>
            <w:tcW w:w="80" w:type="dxa"/>
            <w:vAlign w:val="bottom"/>
            <w:tcBorders>
              <w:bottom w:val="single" w:sz="8" w:color="auto"/>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7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52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common stock activity for the three months ended March 31, 2021:</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of Common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Stock</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4,537,321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Common stock issued as a result of the Public Offering</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7,139,498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as a result of Series B-2 Preferred Stock conversions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4,842,699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11,951,038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520" w:type="dxa"/>
            <w:vAlign w:val="bottom"/>
            <w:gridSpan w:val="2"/>
          </w:tcPr>
          <w:p>
            <w:pPr>
              <w:ind w:left="1140"/>
              <w:spacing w:after="0"/>
              <w:rPr>
                <w:sz w:val="20"/>
                <w:szCs w:val="20"/>
                <w:color w:val="auto"/>
              </w:rPr>
            </w:pPr>
            <w:r>
              <w:rPr>
                <w:rFonts w:ascii="Arial" w:cs="Arial" w:eastAsia="Arial" w:hAnsi="Arial"/>
                <w:sz w:val="18"/>
                <w:szCs w:val="18"/>
                <w:color w:val="auto"/>
              </w:rPr>
              <w:t>Balance as of March 31, 2021</w:t>
            </w:r>
          </w:p>
        </w:tc>
        <w:tc>
          <w:tcPr>
            <w:tcW w:w="1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28,480,156</w:t>
            </w:r>
          </w:p>
        </w:tc>
        <w:tc>
          <w:tcPr>
            <w:tcW w:w="8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1710"/>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Warrant Inducement transaction on January 26, 2021 (discussed below) the anti-dilution provisions within the Deerfield Warrant were triggered and the exercise price was reduced from $93.60 per share to $46.25 per share. The Company amortized the debt discount over the term of the Deerfield Convertible Note and the expense was recorded as interest expense related to amortization of debt issuance costs and discount in the unaudited condensed statements of operations. The Deerfield Convertible Note was extinguished in February 2021 and the remaining debt discount was written off and recognized as a loss on extinguishment of debt.</w:t>
      </w:r>
    </w:p>
    <w:p>
      <w:pPr>
        <w:spacing w:after="0" w:line="17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statements of operations. Changes in the number of shares that are expected to be issued are treated as changes in variable consideration under ASC 606 and are recorded as a change in contract asset in the balance sheets. As of March 31, 2021 and December 31, 2020, a contract asset of $0.4 million is recorded in other long-term assets on the balance sheets related to the KVK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As of March 31, 2021, all pre-funded warrants have been exercised for 926,841 shares of common stock and gross proceeds of approximately $72.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March 31, 2021, 3,157,895 Offering Warrants have been exercised for 2,726,918 shares of common stock and gross proceeds of approximately $14.9 million. These amounts are exclusive of the Offering Warrants exercised as part of the Inducement Transaction discussed below.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Warrant</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March 31, 2021, no Underwriter Warrants have been exercised.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Warrant Exercise Inducement Letters and Issuance of Warrants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26, 2021, the Company entered into warrant exercise inducement offer letters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Inducement Warrants was $0.125 per share underlying each Inducement Warrant, and the Inducement Warrants have an exercise price of $6.36 per share. The Company received aggregate gross proceeds of approximately $44.0 million from the exercise of the Existing Warrants by the Exercising Holders and the sale of the Inducement Warrants. The Company engaged Roth as its exclusive placement agent in connection with these transactions and paid Roth a fee equal to 6% of gross proceeds from the exercise of the Existing Warrants by the Exercising Holders and the sale of the Inducement Warrants. As a result of this transaction the anti-dilution provisions contained with the Deerfield Warrant were triggered and the exercise price of the Deerfield Warrant was reduced from $93.60 per share to $46.25 per share.</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Inducement Warrants were immediately exercisable and expire on the fifth anniversary of their issuance date, at an exercise price per share of common stock equal to $6.36 per share. The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Inducement Warrant to the extent that the holder and its affiliates and any other person or entities with which such holder would constitute a Section 13(d) “group” would own more than 4.99% (or, upon election by a holder prior to the issuance of its Inducement Warrants, 9.99%) of the Company’s outstanding common stock immediately after exercise. Except as otherwise provided in the Inducement Warrants or by virtue of such holder’s ownership of shares of the Company’s common stock, the holders of the Inducement Warrants do not have the rights or privileges of holders of common stock with respect to the shares of common stock underlying the Inducement Warrants, including any voting rights, until they exercise their Inducement Warrants. The Inducement Warrants provide that holders have the right to participate in distributions or dividends paid on the Company’s common stock. In the event of a fundamental transaction, as described in the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Inducement Warrants will be entitled to receive upon exercise of the Inducement Warrants the kind and amount of securities, cash or other property that the holders would have received had they exercised the Inducement Warrants immediately prior to such fundamental transaction. In addition, in the event of a fundamental transaction which is approved by the Company’s board of directors, the holders of the Inducement Warrants have the right to require the Company or a successor entity to redeem the Inducement Warrants for cash in the amount of the Black Scholes value of the unexercised portion of the Inducement Warrants on the date of the consummation of the fundamental transaction. In the event of a fundamental transaction which is not approved by the Company’s board of directors, the holders of the Inducement Warrants have the right to require the Company or a successor entity to redeem the Inducement Warrants in the amount of the Black Scholes value of the unexercised portion of the Warrants on the date of the consummation of the fundamental transaction payable in the form of consideration paid to the holders of common stock in such fundamental transaction. As of March 31, 2021, 1,676,921 Inducement Warrants have been exercised for 1,676,921 shares of common stock and gross proceeds of approximately $10.7 million.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the Inducement Transaction we recognized a deemed dividend of $37.4 million which is the difference between the grant date fair value of the Inducement Warrants and the purchase price of the Inducement Warrants. This deemed dividend is added to net loss to arrive at net loss attributable to common stockholders on the unaudited condensed statements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ind w:left="460" w:hanging="453"/>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The maximum number of shares of common stock that may be issued under the 2014 Plan is 589,659 as of March 31, 2021. The number of shares of common stock reserved for issuance under the 2014 Plan will automatically increase on January 1 of each year, beginning on January 1, 2016, and ending on and including January 1, 2024, by 4% of the total number of shares of the Company’s capital stock outstanding on December 31 of the preceding calendar year, or a lesser number of shares determined by the Board. Pursuant to the terms of the 2014 Plan, on January 1, 2021, the common stock reserved for issuance under the 2014 Plan automatically increased by 181,492 shares.</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2020, the Company granted to certain consultants fully vested restricted stock awards (“RSAs”) under the 2014 Plan. The RSAs were granted as compensation in accordance with each consultants consulting agreement for services performed during 2020. For the three months ended March 31, 2020, RSAs were granted for a total of 3,806 shares of common stock. No RSAs were granted during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during the three months ended March 31, 2021 or 2020.</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Stock-based compensation expense recorded under the Incentive Stock Plan and the 2014 Plan is included in the following line items in the accompanying statements of operations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08"/>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1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15"/>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expense</w:t>
            </w:r>
          </w:p>
        </w:tc>
        <w:tc>
          <w:tcPr>
            <w:tcW w:w="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gridSpan w:val="2"/>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1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1,029</w:t>
            </w: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There was $0.4 million of stock-based compensation expense related to performance-based awards recognized during the three months ended March 31, 2021. There was no stock-based compensation expense related to performance-based awards recognized during the three months ended March 31, 2020.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4" w:name="page35"/>
    <w:bookmarkEnd w:id="34"/>
    <w:p>
      <w:pPr>
        <w:ind w:left="460" w:hanging="453"/>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5" w:lineRule="exact"/>
        <w:rPr>
          <w:sz w:val="20"/>
          <w:szCs w:val="20"/>
          <w:color w:val="auto"/>
        </w:rPr>
      </w:pPr>
    </w:p>
    <w:p>
      <w:pPr>
        <w:ind w:left="460" w:hanging="22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 w:lineRule="exact"/>
        <w:rPr>
          <w:rFonts w:ascii="Arial" w:cs="Arial" w:eastAsia="Arial" w:hAnsi="Arial"/>
          <w:sz w:val="18"/>
          <w:szCs w:val="18"/>
          <w:color w:val="auto"/>
        </w:rPr>
      </w:pPr>
    </w:p>
    <w:p>
      <w:pPr>
        <w:ind w:left="460" w:hanging="224"/>
        <w:spacing w:after="0" w:line="24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carrying amounts of certain financial instruments, including cash and cash equivalents, restricted cash and accounts payable and accrued expenses, approximate their respective fair values due to the short-term nature of such instruments.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Deerfield Convertible Note, December 2019 Notes and the January 2020 Note were $7.3 million, $56.2 million and $3.1 million, respectively, as of December 31, 2020. The Deerfield Convertible Note, December 2019 Notes and the January 2020 Note were all extinguished in the first quarter of 2021 and therefore had no value as of March 31, 2021. The Deerfield Convertible Note, December 2019 Notes and the January 2020 Note fell within Level 3 of the fair value hierarchy as their value was based on the credit worthiness of the Company, which was an unobservable input. The Company used a Tsiveriotis-Fernandes model to value the Deerfield Convertible Note, December 2019 Notes and the January 2020 Note as of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March 31, 2021 and December 31,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Identical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Unobservable</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Assets (Level</w:t>
            </w:r>
          </w:p>
        </w:tc>
        <w:tc>
          <w:tcPr>
            <w:tcW w:w="80" w:type="dxa"/>
            <w:vAlign w:val="bottom"/>
          </w:tcPr>
          <w:p>
            <w:pPr>
              <w:spacing w:after="0"/>
              <w:rPr>
                <w:sz w:val="18"/>
                <w:szCs w:val="18"/>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Inputs (Level</w:t>
            </w: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Inputs (Level</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Embedded Warrant Put Option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KVK Warrant liability</w:t>
            </w: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42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2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Deerfield Warrant liability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Embedded Warrant Put Option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Deerfield Note Conversion Feature</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KVK Warrant liability</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Quoted Prices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Significant</w:t>
            </w:r>
          </w:p>
        </w:tc>
      </w:tr>
      <w:tr>
        <w:trPr>
          <w:trHeight w:val="215"/>
        </w:trPr>
        <w:tc>
          <w:tcPr>
            <w:tcW w:w="20" w:type="dxa"/>
            <w:vAlign w:val="bottom"/>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Identical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Unobservable</w:t>
            </w:r>
          </w:p>
        </w:tc>
      </w:tr>
      <w:tr>
        <w:trPr>
          <w:trHeight w:val="215"/>
        </w:trPr>
        <w:tc>
          <w:tcPr>
            <w:tcW w:w="20" w:type="dxa"/>
            <w:vAlign w:val="bottom"/>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Assets (Level</w:t>
            </w:r>
          </w:p>
        </w:tc>
        <w:tc>
          <w:tcPr>
            <w:tcW w:w="80" w:type="dxa"/>
            <w:vAlign w:val="bottom"/>
          </w:tcPr>
          <w:p>
            <w:pPr>
              <w:spacing w:after="0"/>
              <w:rPr>
                <w:sz w:val="18"/>
                <w:szCs w:val="18"/>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Inputs (Level</w:t>
            </w: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Inputs (Level</w:t>
            </w:r>
          </w:p>
        </w:tc>
      </w:tr>
      <w:tr>
        <w:trPr>
          <w:trHeight w:val="233"/>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w:t>
            </w:r>
          </w:p>
        </w:tc>
      </w:tr>
      <w:tr>
        <w:trPr>
          <w:trHeight w:val="194"/>
        </w:trPr>
        <w:tc>
          <w:tcPr>
            <w:tcW w:w="20" w:type="dxa"/>
            <w:vAlign w:val="bottom"/>
          </w:tcPr>
          <w:p>
            <w:pPr>
              <w:spacing w:after="0"/>
              <w:rPr>
                <w:sz w:val="16"/>
                <w:szCs w:val="16"/>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82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-716280</wp:posOffset>
            </wp:positionV>
            <wp:extent cx="5699760" cy="136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-443230</wp:posOffset>
            </wp:positionV>
            <wp:extent cx="5699760" cy="13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-161290</wp:posOffset>
            </wp:positionV>
            <wp:extent cx="5699760" cy="161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578" w:right="339" w:bottom="1440" w:gutter="0" w:footer="0" w:header="0"/>
        </w:sectPr>
      </w:pP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Deerfield Warrant liability and embedded Warrant Put Option are, and the embedded Deerfield Note Put Option was, measured at fair value on a recurring basis. As of March 31, 2021, the Deerfield Warrant liability and embedded Warrant Put Option are, and as of December 31, 2020 the Deerfield Warrant liability, embedded Warrant Put Option and the embedded Deerfield Note Conversion Feature were, reported on the unaudited condensed balance sheets in derivative and warrant liability. The Company used a Monte Carlo simulation to value the Deerfield Warrant liability, embedded Warrant Put Option and the embedded Deerfield Note Conversion Feature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and changes in the fair value of the embedded Deerfield Note Put Option were, reflected in the unaudited condensed statements of operations for the three months ended March 31, 2021 and 2020 as a fair value adjustment related to derivative and warrant liability.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derivative liability for the Deerfield Warrant was $240,000 and $230,000 at March 31, 2021 and December 31, 2020, respectively. The derivative liability for the embedded Warrant Put Option was $52,000 and $25,000 at March 31, 2021 and December 31, 2020, respectively. The derivative liability for the Deerfield Note Conversion Feature had no value at December 31, 2020. A 10% increase in the enterprise value would result in an increase of $61,000 in the estimated fair value of the Deerfield Warrant liability and an increase of $1,000 in the estimated fair value of the embedded Warrant Put Option liability. In addition, the Company assumed a weighted-average probability of a liquidity event occurring of approximately 14% with an estimated probability-weighted value of approximately $35.3 million and a weighted-average probability of a fundamental change event occurring of approximately 30% with an estimated probability-weighted value of approximately $1.1 billion, respectively, with estimated timing in each scenario of the fourth quarter of 2022.</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KVK Warrant liability is measured at fair value on a recurring basis. As of March 31, 2021 and December 31, 2020, the KVK Warrant liability is reported on the unaudited condensed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unaudited condensed statements of operations for the three months ended March 31, 2021 and 2020 as a fair value adjustment related to derivative and warrant liability.</w:t>
      </w:r>
    </w:p>
    <w:p>
      <w:pPr>
        <w:spacing w:after="0" w:line="17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33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6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Adjustment to fair value</w:t>
            </w:r>
          </w:p>
        </w:tc>
        <w:tc>
          <w:tcPr>
            <w:tcW w:w="22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33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6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340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35</w:t>
            </w: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type w:val="continuous"/>
        </w:sectPr>
      </w:pPr>
    </w:p>
    <w:bookmarkStart w:id="36" w:name="page37"/>
    <w:bookmarkEnd w:id="36"/>
    <w:p>
      <w:pPr>
        <w:ind w:left="460" w:hanging="453"/>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two-class method, for periods with net income, basic net income per share of common stock is computed by dividing the net income attributable to shares of common stock by the weighted average number of shares of common stock outstanding during the period. Net income attributable to shares of common stock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loss per share of common stock is computed under the two-class method by using the weighted average number of shares of common stock outstanding plus the potential dilutive effects of stock options and warrants. In addition, the Company analyzes the potential dilutive effect of the outstanding convertible securities under the if-converted method when calculating diluted loss per share of common stock in which it is assumed that the outstanding convertible securities convert into common stock at the beginning of the period or date of issuance, if the convertible security was issued during the period. The Company reports the more dilutive of the approaches (two-class or if-converted) as its diluted net loss per share of common stock during the period.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Diluted net loss per share of common stock is the same as basic net loss per share of common stock for the three months ended March 31, 2021 and 2020 because the effects of potentially dilutive items were anti-dilutive for the respective periods. The following securities, presented on a common stock equivalent basis, have been excluded from the calculation of weighted average number of shares of common stock outstanding because their effect is anti-dilutive: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3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Conversion of January 2020 Note</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32,917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December 2019 Notes*</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1,246,486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Awards under equity incentive plans</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354,869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395,197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9,544,693</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151,442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w w:val="91"/>
              </w:rPr>
              <w:t>Total securities excluded from the calculation of weighted average number of</w:t>
            </w: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color w:val="auto"/>
              </w:rPr>
              <w:t>9,899,562</w:t>
            </w:r>
          </w:p>
        </w:tc>
        <w:tc>
          <w:tcPr>
            <w:tcW w:w="16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1,903,165</w:t>
            </w:r>
          </w:p>
        </w:tc>
        <w:tc>
          <w:tcPr>
            <w:tcW w:w="0" w:type="dxa"/>
            <w:vAlign w:val="bottom"/>
          </w:tcPr>
          <w:p>
            <w:pPr>
              <w:spacing w:after="0"/>
              <w:rPr>
                <w:sz w:val="1"/>
                <w:szCs w:val="1"/>
                <w:color w:val="auto"/>
              </w:rPr>
            </w:pPr>
          </w:p>
        </w:tc>
      </w:tr>
      <w:tr>
        <w:trPr>
          <w:trHeight w:val="189"/>
        </w:trPr>
        <w:tc>
          <w:tcPr>
            <w:tcW w:w="5660" w:type="dxa"/>
            <w:vAlign w:val="bottom"/>
            <w:gridSpan w:val="2"/>
          </w:tcPr>
          <w:p>
            <w:pPr>
              <w:spacing w:after="0" w:line="189" w:lineRule="exact"/>
              <w:rPr>
                <w:sz w:val="20"/>
                <w:szCs w:val="20"/>
                <w:color w:val="auto"/>
              </w:rPr>
            </w:pPr>
            <w:r>
              <w:rPr>
                <w:rFonts w:ascii="Arial" w:cs="Arial" w:eastAsia="Arial" w:hAnsi="Arial"/>
                <w:sz w:val="18"/>
                <w:szCs w:val="18"/>
                <w:color w:val="auto"/>
              </w:rPr>
              <w:t>shares of common stock outstanding</w:t>
            </w:r>
          </w:p>
        </w:tc>
        <w:tc>
          <w:tcPr>
            <w:tcW w:w="164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1140" w:right="1220" w:hanging="9"/>
        <w:spacing w:after="0" w:line="321" w:lineRule="auto"/>
        <w:tabs>
          <w:tab w:leader="none" w:pos="12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Inclusive of 652,437 shares of Common Stock issuable (i) in exchange of the Deerfield Optional Conversion Feature, or (ii) upon conversion of the Series B-2 Preferred Stock issuable in exchange of the Deerfield Optional Conversion Feature.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7" w:name="page38"/>
    <w:bookmarkEnd w:id="37"/>
    <w:p>
      <w:pPr>
        <w:ind w:left="460" w:hanging="453"/>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Expense</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2020, the Company eliminated the chief business officer role and Gordon K. Johnson separated from the Company. In connection with his separation, Mr. Johnson was entitled to severance benefits as documented in his Amended and Restated Employment Agreement entered into in June 2015. The severance benefits consisted of personnel and other related charges of approximately $0.4 million and stock compensation expense of approximately $0.4 million related to the acceleration of vesting on unvested shares subject to certain stock options. These severance benefits are presented as severance expense in the unaudited condensed statements of operations for the three months ended March 31, 2020. As of December 31, 2020, the Company had accrued severance expense recorded within accounts payable and accrued expenses in the amount of $0.1 million. As of and for the three months ended March 31, 2021, there was no accrued severance or severance expense, respectively.</w:t>
      </w:r>
    </w:p>
    <w:p>
      <w:pPr>
        <w:spacing w:after="0" w:line="200" w:lineRule="exact"/>
        <w:rPr>
          <w:sz w:val="20"/>
          <w:szCs w:val="20"/>
          <w:color w:val="auto"/>
        </w:rPr>
      </w:pPr>
    </w:p>
    <w:p>
      <w:pPr>
        <w:spacing w:after="0" w:line="218"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5 years, some of which include options to extend the leases for up to 5 years, and some which include options to terminate the leases within 1 year. In February 2020, the Company agreed to sublease office space in Florida, comprised of one of the two contiguous suites, under a non-cancelable operating lease, which expires in February 2026. In October 2020, the Company agreed to terminate this sublease, in exchange for a termination payment, due to financial difficulties encountered by the subtenant as a result of COVID-19.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67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Lease Cost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w w:val="92"/>
              </w:rPr>
              <w:t>Three months ended March 31,</w:t>
            </w:r>
          </w:p>
        </w:tc>
        <w:tc>
          <w:tcPr>
            <w:tcW w:w="4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Total finance lease cost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sublease income</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132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4</w:t>
            </w:r>
          </w:p>
        </w:tc>
        <w:tc>
          <w:tcPr>
            <w:tcW w:w="10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short-term leases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Operating cash flows from variable lease costs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32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6720" w:type="dxa"/>
            <w:vAlign w:val="bottom"/>
            <w:gridSpan w:val="2"/>
          </w:tcPr>
          <w:p>
            <w:pPr>
              <w:jc w:val="right"/>
              <w:ind w:right="9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operating lease right-of-use assets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(years)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Operating leases (years)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Discount Rate</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40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2"/>
              </w:rPr>
              <w:t>2021 (excluding the three months ended March 31, 2021)</w:t>
            </w:r>
          </w:p>
        </w:tc>
        <w:tc>
          <w:tcPr>
            <w:tcW w:w="1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2024</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future interest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1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6"/>
        </w:trPr>
        <w:tc>
          <w:tcPr>
            <w:tcW w:w="1140" w:type="dxa"/>
            <w:vAlign w:val="bottom"/>
          </w:tcPr>
          <w:p>
            <w:pPr>
              <w:spacing w:after="0"/>
              <w:rPr>
                <w:sz w:val="24"/>
                <w:szCs w:val="24"/>
                <w:color w:val="auto"/>
              </w:rPr>
            </w:pPr>
          </w:p>
        </w:tc>
        <w:tc>
          <w:tcPr>
            <w:tcW w:w="426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jc w:val="right"/>
              <w:ind w:right="1150"/>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9" w:name="page40"/>
    <w:bookmarkEnd w:id="39"/>
    <w:p>
      <w:pPr>
        <w:ind w:left="460" w:hanging="453"/>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8, 2021, the Company entered into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agreed to pay the Company $10.0 million within thirty calendar days following receipt of the scheduling determination of the compound SDX by the U.S. Drug Enforcement Agency (the "DEA"), which occurred on May 7, 2020.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the Company quarterly, tiered royalty payments ranging from a percentage in the high single digits to the mid-twenties of Net Sales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68"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On May 7, 2021, the Company announced that SDX was classified as a Schedule IV controlled substance by the DEA. AZSTARYS is classified as a Schedule II controlled substance as it includes a 70:30 mixture of SDX (Schedule IV) and d-MPH (Schedule II), respectively. Per the KP415 Amendment, the Company earned a $10.0 million milestone payment which is payable within 30 days following the scheduling determination of SDX by the DEA.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0" w:name="page41"/>
    <w:bookmarkEnd w:id="40"/>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Unless the context otherwise requires, we use the terms “KemPharm,” “Company,” “we,” “us” and “our” in this Quarterly Report on Form 10-Q to refer to KemPharm, Inc. We have proprietary rights to a number of trademarks used in this Quarterly Report on Form 10-Q that are important to our business, including KemPharm, APADAZ, LAT and the KemPharm logo. All other trademarks, trade names and service marks appearing in this Quarterly Report on Form 10-Q are the property of their respective owners. Solely for convenience, the trademarks and trade names in this Quarterly Report on Form 10-Q are referred to without the ® and ™ symbols, but such references should not be construed as any indicator that their respective owners will not assert, to the fullest extent under applicable law, their rights thereto.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5" w:lineRule="exact"/>
        <w:rPr>
          <w:sz w:val="20"/>
          <w:szCs w:val="20"/>
          <w:color w:val="auto"/>
        </w:rPr>
      </w:pPr>
    </w:p>
    <w:p>
      <w:pPr>
        <w:ind w:left="460" w:right="560" w:hanging="224"/>
        <w:spacing w:after="0" w:line="275"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i w:val="1"/>
          <w:iCs w:val="1"/>
          <w:color w:val="auto"/>
        </w:rPr>
      </w:pPr>
    </w:p>
    <w:p>
      <w:pPr>
        <w:ind w:left="460" w:hanging="224"/>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ability to raise funds on commercially available reasonable terms, or at all, in order to support our continued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 of those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 candidates and partnered assets;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66" w:lineRule="exact"/>
        <w:rPr>
          <w:sz w:val="20"/>
          <w:szCs w:val="20"/>
          <w:color w:val="auto"/>
        </w:rPr>
      </w:pPr>
    </w:p>
    <w:p>
      <w:pPr>
        <w:ind w:left="460" w:hanging="224"/>
        <w:spacing w:after="0" w:line="27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0" w:lineRule="exact"/>
        <w:rPr>
          <w:rFonts w:ascii="Arial" w:cs="Arial" w:eastAsia="Arial" w:hAnsi="Arial"/>
          <w:sz w:val="18"/>
          <w:szCs w:val="18"/>
          <w:color w:val="auto"/>
        </w:rPr>
      </w:pPr>
    </w:p>
    <w:p>
      <w:pPr>
        <w:jc w:val="both"/>
        <w:ind w:left="460" w:right="20" w:hanging="224"/>
        <w:spacing w:after="0" w:line="26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rFonts w:ascii="Arial" w:cs="Arial" w:eastAsia="Arial" w:hAnsi="Arial"/>
          <w:sz w:val="18"/>
          <w:szCs w:val="18"/>
          <w:color w:val="auto"/>
        </w:rPr>
      </w:pPr>
    </w:p>
    <w:p>
      <w:pPr>
        <w:ind w:left="460" w:hanging="224"/>
        <w:spacing w:after="0" w:line="181" w:lineRule="auto"/>
        <w:tabs>
          <w:tab w:leader="none" w:pos="46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i w:val="1"/>
          <w:iCs w:val="1"/>
          <w:color w:val="auto"/>
        </w:rPr>
        <w:t>If commercialization of AZSTARYS, APADAZ or our other product candidates is not successful, or we experience significant delays in commercialization, our business will be harmed.</w:t>
      </w:r>
    </w:p>
    <w:p>
      <w:pPr>
        <w:spacing w:after="0" w:line="202" w:lineRule="exact"/>
        <w:rPr>
          <w:rFonts w:ascii="Arial" w:cs="Arial" w:eastAsia="Arial" w:hAnsi="Arial"/>
          <w:sz w:val="34"/>
          <w:szCs w:val="34"/>
          <w:color w:val="auto"/>
          <w:vertAlign w:val="subscript"/>
        </w:rPr>
      </w:pPr>
    </w:p>
    <w:p>
      <w:pPr>
        <w:ind w:left="460" w:right="20" w:hanging="224"/>
        <w:spacing w:after="0" w:line="181" w:lineRule="auto"/>
        <w:tabs>
          <w:tab w:leader="none" w:pos="46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202" w:lineRule="exact"/>
        <w:rPr>
          <w:rFonts w:ascii="Arial" w:cs="Arial" w:eastAsia="Arial" w:hAnsi="Arial"/>
          <w:sz w:val="34"/>
          <w:szCs w:val="34"/>
          <w:color w:val="auto"/>
          <w:vertAlign w:val="subscript"/>
        </w:rPr>
      </w:pPr>
    </w:p>
    <w:p>
      <w:pPr>
        <w:ind w:left="460" w:hanging="224"/>
        <w:spacing w:after="0" w:line="181" w:lineRule="auto"/>
        <w:tabs>
          <w:tab w:leader="none" w:pos="46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202" w:lineRule="exact"/>
        <w:rPr>
          <w:rFonts w:ascii="Arial" w:cs="Arial" w:eastAsia="Arial" w:hAnsi="Arial"/>
          <w:sz w:val="34"/>
          <w:szCs w:val="34"/>
          <w:color w:val="auto"/>
          <w:vertAlign w:val="subscript"/>
        </w:rPr>
      </w:pPr>
    </w:p>
    <w:p>
      <w:pPr>
        <w:ind w:left="460" w:hanging="224"/>
        <w:spacing w:after="0" w:line="181" w:lineRule="auto"/>
        <w:tabs>
          <w:tab w:leader="none" w:pos="46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202" w:lineRule="exact"/>
        <w:rPr>
          <w:rFonts w:ascii="Arial" w:cs="Arial" w:eastAsia="Arial" w:hAnsi="Arial"/>
          <w:sz w:val="34"/>
          <w:szCs w:val="34"/>
          <w:color w:val="auto"/>
          <w:vertAlign w:val="subscript"/>
        </w:rPr>
      </w:pPr>
    </w:p>
    <w:p>
      <w:pPr>
        <w:jc w:val="both"/>
        <w:ind w:left="460" w:hanging="224"/>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If we are unable to obtain and maintain trade secret protection or patent protection for our technology, AZSTARYS, KP879 and our other product candidates, or if the scope of the patent protection obtained is not sufficiently broad, our competitors could develop and commercialize technology and drugs similar or identical to ours, and our ability to successfully commercialize our technology, AZSTARYS, KP879 and our other product candidates, if approved, may be impaired.</w:t>
      </w:r>
    </w:p>
    <w:p>
      <w:pPr>
        <w:spacing w:after="0" w:line="184"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If we, subject to the approval of Commave Therapeutics, S.A.,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90" w:lineRule="exact"/>
        <w:rPr>
          <w:rFonts w:ascii="Arial" w:cs="Arial" w:eastAsia="Arial" w:hAnsi="Arial"/>
          <w:sz w:val="18"/>
          <w:szCs w:val="18"/>
          <w:color w:val="auto"/>
        </w:rPr>
      </w:pPr>
    </w:p>
    <w:p>
      <w:pPr>
        <w:ind w:left="460" w:hanging="224"/>
        <w:spacing w:after="0" w:line="181" w:lineRule="auto"/>
        <w:tabs>
          <w:tab w:leader="none" w:pos="46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i w:val="1"/>
          <w:iCs w:val="1"/>
          <w:color w:val="auto"/>
        </w:rPr>
        <w:t>The FDA may determine that any NDA we may submit under the 505(b)(2) regulatory pathway for any of our product candidates in the future is not sufficiently complete to permit a substantive review.</w:t>
      </w:r>
    </w:p>
    <w:p>
      <w:pPr>
        <w:spacing w:after="0" w:line="202" w:lineRule="exact"/>
        <w:rPr>
          <w:rFonts w:ascii="Arial" w:cs="Arial" w:eastAsia="Arial" w:hAnsi="Arial"/>
          <w:sz w:val="34"/>
          <w:szCs w:val="34"/>
          <w:color w:val="auto"/>
          <w:vertAlign w:val="subscript"/>
        </w:rPr>
      </w:pPr>
    </w:p>
    <w:p>
      <w:pPr>
        <w:jc w:val="both"/>
        <w:ind w:left="460" w:hanging="224"/>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have entered into collaborations with Commave to develop, manufacture and commercialize AZSTARYS and KP484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KP484 or other product candidates, if approved.</w:t>
      </w:r>
    </w:p>
    <w:p>
      <w:pPr>
        <w:spacing w:after="0" w:line="184"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The trading price of the shares of our common stock is likely to be volatile, and purchasers of our common stock could incur substantial losses.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specialty pharmaceutical company focused on the discovery and development of proprietary prodrugs to treat serious medical conditions through our proprietary Ligand Activated Therapy, or LAT, technology. We utilize our proprietary LAT technology to generate improved prodrug versions of drugs approved by the U.S. Food and Drug Administration, or FDA, as well as to generate prodrug versions of existing compounds that may have applications for new disease indications. Our product candidate pipeline is focused on the high need areas of attention deficit hyperactivity disorder, or ADHD, and stimulant use disorder, or SUD, and idiopathic hypersomnia, or IH. Our newly approved product, AZSTARYS, formerly referred to as KP415, and KP484, are both based on a prodrug of d-methylphenidate, or d-MPH, but with differing extended-release, or ER, effect profiles, and are intended for the treatment of ADHD. Our lead clinical development product candidate, KP879, is also based on a prodrug of d-MPH and is intended for the treatment of stimulant use disorder, or SUD. Our preclinical prodrug product candidate for the treatment of ideopathic hypersomnia, or IH, is KP1077. We have entered into a collaboration and license agreement with Commave Therapeutics SA (formerly known as Boston Pharmaceuticals S.A.), an affiliate of Gurnet Point Capital, or Commave, for the development, manufacture and commercialization of AZSTARYS, and any other of our product candidates containing serdexmethylphenidate, or SDX, and d-MPH. In addition, we have entered into a commercial partnership with KVK-Tech, Inc., or KVK, for APADAZ</w:t>
      </w:r>
      <w:r>
        <w:rPr>
          <w:rFonts w:ascii="Arial" w:cs="Arial" w:eastAsia="Arial" w:hAnsi="Arial"/>
          <w:sz w:val="28"/>
          <w:szCs w:val="28"/>
          <w:color w:val="auto"/>
          <w:vertAlign w:val="superscript"/>
        </w:rPr>
        <w:t>®</w:t>
      </w:r>
      <w:r>
        <w:rPr>
          <w:rFonts w:ascii="Arial" w:cs="Arial" w:eastAsia="Arial" w:hAnsi="Arial"/>
          <w:sz w:val="17"/>
          <w:szCs w:val="17"/>
          <w:color w:val="auto"/>
        </w:rPr>
        <w:t>, an FDA approved immediate-release, or IR, combination product of benzhydrocodone, our prodrug of hydrocodone, and acetaminophen, or APAP, for the short-term (no more than 14 days) management of acute pain severe enough to require an opioid analgesic and for which alternative treatments are inadequate.</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that our sources of revenues will be through payments arising from our license agreements with Commave and KVK, our consulting agreement with Corium and through other consulting arrangements and any other future arrangements we might enter into related to one of our other product candidates. To date, we have generated revenue from the KP415 License Agreement in the form of the non-refundable upfront payment of $10.0 million, of which we paid Aquestive $1.0 million as a royalty payment, a regulatory milestone payment of $5.0 million following the FDA’s acceptance of the AZSTARYS NDA, of which we paid Aquestive $0.5 million as a royalty payment, a regulatory milestone payment of $10.0 million following the FDA's approval of the AZSTARYS NDA, of which we paid Aquestive $1.0 million, reimbursement of out-of-pocket third-party research and development costs and payments related to the performance of consulting services. In addition, we have generated revenue under the Corium Consulting Agreement and other consulting arrangements for the performance of consulting services as well as reimbursement of out-of-pocket third-party costs associated with those services.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 2021, we announced that the FDA approved the NDA for AZSTARYS, a once-daily product for the treatment of ADHD in patients ranging from six years and older. Corium will lead the commercialization of AZSTARYS per the KP415 License Agreement. Corium expects to make AZSTARYS commercially available in the U.S. as early as the second half of 2021.</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May 7,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 Per the KP415 License Agreement, as amended, we earned a $10.0 million milestone payment which is payable within 30 days following the scheduling determination of SDX by the DEA.</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had recurring negative cash flows from operations. Our cash flows used in operations for the three months ended March 31, 2021 and 2020 were $2.6 million and $2.0 million, respectively.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82" w:lineRule="exact"/>
        <w:rPr>
          <w:sz w:val="20"/>
          <w:szCs w:val="20"/>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other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Recent Financial Developments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January and February 2021, we undertook a series of transactions to regain our Nasdaq Capital Market listing and improve our balance sheet. These included a reverse stock split, an underwritten public offering, or the Public Offering, a restructuring of our debt and ultimately a payoff of all remaining debt and a transaction in which we induced the holders of some of the warrants we issued in the public offering to exercise those warrants for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 and Nasdaq Relisting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order to relist our common stock on The Nasdaq Capital Market, our common stock was required to satisfy the initial listing standards of the Nasdaq Capital Market, which included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7, 2021, our common stock was approved for listing on The Nasdaq Capital Market. Our common stock began trading on The Nasdaq Capital Market on January 8, 2021 under the ticker symbol “KMPH”.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we entered into with our lenders in connection with this debt restructuring, which we refer to as the December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Exchange Agreement, on January 12, 2021, in connection with the closing of our Public Offering, we:</w:t>
      </w:r>
    </w:p>
    <w:p>
      <w:pPr>
        <w:spacing w:after="0" w:line="208" w:lineRule="exact"/>
        <w:rPr>
          <w:sz w:val="20"/>
          <w:szCs w:val="20"/>
          <w:color w:val="auto"/>
        </w:rPr>
      </w:pPr>
    </w:p>
    <w:p>
      <w:pPr>
        <w:ind w:left="460" w:hanging="224"/>
        <w:spacing w:after="0" w:line="30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148"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made a payment of $30.3 million, or the Debt Payment, in partial repayment of the remaining outstanding principal and accrued interest on the Facility Notes.</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share of Series B-2 convertible preferred stock issued pursuant to the December 2020 Exchange Agreement has a stated value of $1,000 and is convertible into shares of our common stock at any time, subject to specified limits, at a conversion price of $6.4999. The shares of Series B-2 convertible preferred stock issued under the December 2020 Exchange Agreement are convertible into an aggregate of 4,842,690 shares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Exchange Warrants have substantially the same terms and conditions as the warrants sold by us in our January 2021 underwritten offering.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is prepayable upon specified conditions;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would accrue at the rate of 6.75% per annum, payable quarterly, would be added to principal until June 30, 2021, and then be payable in cash thereafter.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also filed a registration statement to register for resale under the Securities Act the shares of common stock issuable upon conversion of the shares of Series B-2 convertible preferred stock and exercise of the Exchange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8, 2021, we issued and sold 6,765,463 shares of our common stock, pre-funded warrants to purchase 926,844 shares of our common stock and warrants to purchase 7,692,307 shares of our common stock at an exercise price per share of $6.50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Exchange Agreement Amendment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be Deerfield, issued on June 2, 2014, or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Warrant Exercise Inducement Letters and Issuance of Warrants</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26, 2021, we entered into warrant exercise inducement offer letters, or the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have an exercise price of $6.36 per share. We received aggregate gross proceeds of $44.0 million from the exercise of the Existing Warrants by the Exercising Holders and the sale of the Inducement Warrants.</w:t>
      </w:r>
    </w:p>
    <w:p>
      <w:pPr>
        <w:spacing w:after="0" w:line="16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Inducement Warrants which was declared effective on February 16,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payoff letter, all outstanding indebtedness and obligations of us owing to the Facility Note holders under the Facility Agreement have been paid in full. The Facility Agreement and the notes thereunder, as well as the security interests in the assets of us securing the Facility Agreement and note obligations, have been terminated.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employed our proprietary LAT technology to create a portfolio of product candidates and approved products that we believe will offer significant improvements over FDA-approved and widely-prescribed drugs.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KemPharm Partnered and Other Development Assets</w:t>
      </w:r>
    </w:p>
    <w:p>
      <w:pPr>
        <w:sectPr>
          <w:pgSz w:w="11900" w:h="16838" w:orient="portrait"/>
          <w:cols w:equalWidth="0" w:num="1">
            <w:col w:w="11240"/>
          </w:cols>
          <w:pgMar w:left="320" w:top="5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Parent Drug (Effect Profile)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5080</wp:posOffset>
            </wp:positionV>
            <wp:extent cx="2056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6130"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Methylphenidate (ER)</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(ADHD)</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Methylphenidate (ER)</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(ADHD)</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Methylphenidate (ER)</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 Product</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2"/>
              </w:rPr>
              <w:t>Next</w:t>
            </w:r>
          </w:p>
        </w:tc>
        <w:tc>
          <w:tcPr>
            <w:tcW w:w="0" w:type="dxa"/>
            <w:vAlign w:val="bottom"/>
          </w:tcPr>
          <w:p>
            <w:pPr>
              <w:spacing w:after="0"/>
              <w:rPr>
                <w:sz w:val="1"/>
                <w:szCs w:val="1"/>
                <w:color w:val="auto"/>
              </w:rPr>
            </w:pPr>
          </w:p>
        </w:tc>
      </w:tr>
      <w:tr>
        <w:trPr>
          <w:trHeight w:val="23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(Status)</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Status</w:t>
            </w:r>
          </w:p>
        </w:tc>
        <w:tc>
          <w:tcPr>
            <w:tcW w:w="8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Milestone^</w:t>
            </w:r>
          </w:p>
        </w:tc>
        <w:tc>
          <w:tcPr>
            <w:tcW w:w="0" w:type="dxa"/>
            <w:vAlign w:val="bottom"/>
          </w:tcPr>
          <w:p>
            <w:pPr>
              <w:spacing w:after="0"/>
              <w:rPr>
                <w:sz w:val="1"/>
                <w:szCs w:val="1"/>
                <w:color w:val="auto"/>
              </w:rPr>
            </w:pPr>
          </w:p>
        </w:tc>
      </w:tr>
      <w:tr>
        <w:trPr>
          <w:trHeight w:val="194"/>
        </w:trPr>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4"/>
              </w:rPr>
              <w:t>AZSTARYS</w:t>
            </w:r>
          </w:p>
        </w:tc>
        <w:tc>
          <w:tcPr>
            <w:tcW w:w="8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4"/>
              </w:rPr>
              <w:t>FDA</w:t>
            </w:r>
          </w:p>
        </w:tc>
        <w:tc>
          <w:tcPr>
            <w:tcW w:w="80" w:type="dxa"/>
            <w:vAlign w:val="bottom"/>
          </w:tcPr>
          <w:p>
            <w:pPr>
              <w:spacing w:after="0"/>
              <w:rPr>
                <w:sz w:val="16"/>
                <w:szCs w:val="16"/>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89"/>
              </w:rPr>
              <w:t>Commercial Launch - as early as H2 2021</w:t>
            </w: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100" w:type="dxa"/>
            <w:vAlign w:val="bottom"/>
          </w:tcPr>
          <w:p>
            <w:pPr>
              <w:jc w:val="center"/>
              <w:spacing w:after="0"/>
              <w:rPr>
                <w:sz w:val="20"/>
                <w:szCs w:val="20"/>
                <w:color w:val="auto"/>
              </w:rPr>
            </w:pPr>
            <w:r>
              <w:rPr>
                <w:rFonts w:ascii="Arial" w:cs="Arial" w:eastAsia="Arial" w:hAnsi="Arial"/>
                <w:sz w:val="18"/>
                <w:szCs w:val="18"/>
                <w:color w:val="auto"/>
                <w:w w:val="92"/>
              </w:rPr>
              <w:t>KP484</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Initiation of Pivotal Efficacy Trial - To Be</w:t>
            </w: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89"/>
              </w:rPr>
              <w:t>Determined by Partner</w:t>
            </w: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100" w:type="dxa"/>
            <w:vAlign w:val="bottom"/>
          </w:tcPr>
          <w:p>
            <w:pPr>
              <w:jc w:val="center"/>
              <w:spacing w:after="0"/>
              <w:rPr>
                <w:sz w:val="20"/>
                <w:szCs w:val="20"/>
                <w:color w:val="auto"/>
              </w:rPr>
            </w:pPr>
            <w:r>
              <w:rPr>
                <w:rFonts w:ascii="Arial" w:cs="Arial" w:eastAsia="Arial" w:hAnsi="Arial"/>
                <w:sz w:val="18"/>
                <w:szCs w:val="18"/>
                <w:color w:val="auto"/>
                <w:w w:val="94"/>
              </w:rPr>
              <w:t>KP879*</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Initiation of Clinical Program - 2021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-750570</wp:posOffset>
            </wp:positionV>
            <wp:extent cx="5699760" cy="273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9760" cy="273050"/>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-204470</wp:posOffset>
            </wp:positionV>
            <wp:extent cx="5699760" cy="273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9760" cy="2730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740" w:space="720"/>
            <w:col w:w="6780"/>
          </w:cols>
          <w:pgMar w:left="320" w:top="578" w:right="339" w:bottom="1440" w:gutter="0" w:footer="0" w:header="0"/>
          <w:type w:val="continuous"/>
        </w:sectPr>
      </w:pPr>
    </w:p>
    <w:tbl>
      <w:tblPr>
        <w:tblLayout w:type="fixed"/>
        <w:tblInd w:w="1140" w:type="dxa"/>
        <w:tblCellMar>
          <w:top w:w="0" w:type="dxa"/>
          <w:left w:w="0" w:type="dxa"/>
          <w:bottom w:w="0" w:type="dxa"/>
          <w:right w:w="0" w:type="dxa"/>
        </w:tblCellMar>
      </w:tblP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Prodrug (IH)</w:t>
            </w:r>
          </w:p>
        </w:tc>
        <w:tc>
          <w:tcPr>
            <w:tcW w:w="1820" w:type="dxa"/>
            <w:vAlign w:val="bottom"/>
          </w:tcPr>
          <w:p>
            <w:pPr>
              <w:jc w:val="center"/>
              <w:ind w:left="550"/>
              <w:spacing w:after="0"/>
              <w:rPr>
                <w:sz w:val="20"/>
                <w:szCs w:val="20"/>
                <w:color w:val="auto"/>
              </w:rPr>
            </w:pPr>
            <w:r>
              <w:rPr>
                <w:rFonts w:ascii="Arial" w:cs="Arial" w:eastAsia="Arial" w:hAnsi="Arial"/>
                <w:sz w:val="18"/>
                <w:szCs w:val="18"/>
                <w:color w:val="auto"/>
                <w:w w:val="90"/>
              </w:rPr>
              <w:t>KP1077</w:t>
            </w: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95"/>
              </w:rPr>
              <w:t>Preclinical</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Pre-IND Meeting - Q2 2021</w:t>
            </w: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Hydrocodone/APAP (IR)</w:t>
            </w:r>
          </w:p>
        </w:tc>
        <w:tc>
          <w:tcPr>
            <w:tcW w:w="1820" w:type="dxa"/>
            <w:vAlign w:val="bottom"/>
            <w:shd w:val="clear" w:color="auto" w:fill="CCEEFF"/>
          </w:tcPr>
          <w:p>
            <w:pPr>
              <w:jc w:val="center"/>
              <w:ind w:left="550"/>
              <w:spacing w:after="0" w:line="201" w:lineRule="exact"/>
              <w:rPr>
                <w:sz w:val="20"/>
                <w:szCs w:val="20"/>
                <w:color w:val="auto"/>
              </w:rPr>
            </w:pPr>
            <w:r>
              <w:rPr>
                <w:rFonts w:ascii="Arial" w:cs="Arial" w:eastAsia="Arial" w:hAnsi="Arial"/>
                <w:sz w:val="18"/>
                <w:szCs w:val="18"/>
                <w:color w:val="auto"/>
                <w:w w:val="97"/>
              </w:rPr>
              <w:t>APADAZ</w:t>
            </w:r>
          </w:p>
        </w:tc>
        <w:tc>
          <w:tcPr>
            <w:tcW w:w="12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FDA</w:t>
            </w:r>
          </w:p>
        </w:tc>
        <w:tc>
          <w:tcPr>
            <w:tcW w:w="3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(Pain)</w:t>
            </w:r>
          </w:p>
        </w:tc>
        <w:tc>
          <w:tcPr>
            <w:tcW w:w="1820" w:type="dxa"/>
            <w:vAlign w:val="bottom"/>
            <w:vMerge w:val="restart"/>
            <w:shd w:val="clear" w:color="auto" w:fill="CCEEFF"/>
          </w:tcPr>
          <w:p>
            <w:pPr>
              <w:jc w:val="center"/>
              <w:ind w:left="550"/>
              <w:spacing w:after="0"/>
              <w:rPr>
                <w:sz w:val="20"/>
                <w:szCs w:val="20"/>
                <w:color w:val="auto"/>
              </w:rPr>
            </w:pPr>
            <w:r>
              <w:rPr>
                <w:rFonts w:ascii="Arial" w:cs="Arial" w:eastAsia="Arial" w:hAnsi="Arial"/>
                <w:sz w:val="18"/>
                <w:szCs w:val="18"/>
                <w:color w:val="auto"/>
                <w:w w:val="90"/>
              </w:rPr>
              <w:t>(Partnered)</w:t>
            </w:r>
          </w:p>
        </w:tc>
        <w:tc>
          <w:tcPr>
            <w:tcW w:w="124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0"/>
              </w:rPr>
              <w:t>Approved</w:t>
            </w:r>
          </w:p>
        </w:tc>
        <w:tc>
          <w:tcPr>
            <w:tcW w:w="3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40" w:type="dxa"/>
            <w:vAlign w:val="bottom"/>
            <w:vMerge w:val="continue"/>
            <w:shd w:val="clear" w:color="auto" w:fill="CCEEFF"/>
          </w:tcPr>
          <w:p>
            <w:pPr>
              <w:spacing w:after="0"/>
              <w:rPr>
                <w:sz w:val="9"/>
                <w:szCs w:val="9"/>
                <w:color w:val="auto"/>
              </w:rPr>
            </w:pPr>
          </w:p>
        </w:tc>
        <w:tc>
          <w:tcPr>
            <w:tcW w:w="18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3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ind w:left="1140" w:right="1140" w:hanging="9"/>
        <w:spacing w:after="0" w:line="251" w:lineRule="auto"/>
        <w:tabs>
          <w:tab w:leader="none" w:pos="12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product candidate is subject to an right of first negotiation upon completion of a Phase 1 proof-of-concept study in favor of Commave under the terms of the KP415 License Agreement, but is not currently licensed to Commave, thereunder. ^ These anticipated milestones are based on information currently available to us and our current plans and expectations are subject to a number of uncertainties and risks that could significantly affect current plans, including, but not limited to, plans and expectations which are not solely within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-413385</wp:posOffset>
            </wp:positionV>
            <wp:extent cx="5699760" cy="409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9760" cy="409575"/>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Third-Party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KP415 License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KP415 License Agreement, we granted Commave an exclusive, worldwide license to commercialize and develop the Licensed Product Candidates; provided that such license shall apply to an Additional Product Candidates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As a result of the FDA’s approval of the AZSTARYS NDA, we have earned a regulatory milestone payment following FDA approval as provided under the KP415 License Agreement, and we are working with Commave to evaluate the related provisions and amounts. In addition, Commave agreed to make additional payments upon the achievement of specified U.S. sales milestones of up to $420.0 million in the aggregate, depending, among other things, on timing of approval for AZSTARYS and its final approved label, if any. In May 2020, the FDA accepted our NDA for AZSTARYS. Per the KP415 License Agreement, we received a regulatory milestone payment of $5.0 million following the FDA’s acceptance of the AZSTARYS NDA. In addition, per the KP415 License Agreement, as amended, we earned a $10.0 million milestone payment upon the scheduling determination of SDX by the DEA on May 7, 2021, which is payable within 30 days.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affiliates challenge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we otherwise retain all responsibility for the conduct of all regulatory activities required to obtain new drug application approval of AZSTARYS and KP484; provided that Commave shall be the sponsor of any clinical trials conducted by us on behalf of Commave.</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8, 2021, we entered into Amendment No. 1 to the KP415 License Agreement, or the KP415 Amendment. Pursuant to the KP415 Amendment, we agreed to modify the compensation terms of the KP415 License Agreement. Pursuant to the KP415 Amendment, Commave paid us $10.0 million in connection with the entry into the KP415 Amendment as a result of the regulatory approval of AZSTARYS in the United States. Commave also agreed to pay us $10.0 million within thirty calendar days following receipt of the scheduling determination of the compound SDX by the DEA, which occurred on May 7, 2021. SDX is the prodrug component of AZSTARYS. In addition, the KP415 Amendment increases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(as defined in the KP415 License Agreement) for the applicable product.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APADAZ License Agreement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October 2018, we entered into the APADAZ License Agreement with KVK pursuant to which we have granted an exclusive license to KVK to conduct regulatory activities for, manufacture and commercialize APADAZ in the United States.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We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the other party encounters bankruptcy or insolvency or (iii) if the Initial Adoption Milestone is not achieved. Upon termination, all licenses and other rights granted by us to KVK pursuant to the APADAZ License Agreement would revert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Under our March 2012 asset purchase agreement with Shire Pharmaceuticals, LLC, or Shire, Shire had a right of first refusal to acquire, license or commercialize AZSTARYS and KP484. In early 2019, Shire was acquired by Takeda Pharmaceutical Company, Ltd, or Takeda, to whom this right of first refusal was transferred at that time. Takeda did not exercise this right of first refusal in connection with our entry into the KP415 License Agreement.</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our March 2012 termination agreement with Aquestive, Aquestive has the right to receive a royalty amount equal to 10% of any value generated by AZSTARYS, KP484 or KP879, and any product candidates containing SDX, including royalty payments on any license of AZSTARYS, KP484 or KP879, the sale of AZSTARYS, KP484 or KP879 to a third party, the commercialization of AZSTARYS, KP484 or KP879 and the portion of any consideration that is attributable to the value of AZSTARYS, KP484 or KP879 and paid to us or our stockholders in a change of control transaction. In connection with the KP415 License Agreement, we paid Aquestive a royalty equal to 10% of the upfront license payment we received in the third quarter of 2019, the regulatory milestone payment we received in the second quarter of 2020 and the regulatory milestone payment we received in April 2021.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0"/>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Comparison of the three months ended March 31, 2021 and 2020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2"/>
              </w:rPr>
              <w:t>Three months ended 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Period-to-</w:t>
            </w:r>
          </w:p>
        </w:tc>
      </w:tr>
      <w:tr>
        <w:trPr>
          <w:trHeight w:val="208"/>
        </w:trPr>
        <w:tc>
          <w:tcPr>
            <w:tcW w:w="11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Period Change</w:t>
            </w:r>
          </w:p>
        </w:tc>
      </w:tr>
      <w:tr>
        <w:trPr>
          <w:trHeight w:val="208"/>
        </w:trPr>
        <w:tc>
          <w:tcPr>
            <w:tcW w:w="11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10,028</w:t>
            </w:r>
          </w:p>
        </w:tc>
      </w:tr>
      <w:tr>
        <w:trPr>
          <w:trHeight w:val="215"/>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and direct contract acquisition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15"/>
        </w:trPr>
        <w:tc>
          <w:tcPr>
            <w:tcW w:w="114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15"/>
        </w:trPr>
        <w:tc>
          <w:tcPr>
            <w:tcW w:w="114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8"/>
        </w:trPr>
        <w:tc>
          <w:tcPr>
            <w:tcW w:w="114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Severance expense</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08"/>
        </w:trPr>
        <w:tc>
          <w:tcPr>
            <w:tcW w:w="114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8"/>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10,735</w:t>
            </w:r>
          </w:p>
        </w:tc>
      </w:tr>
      <w:tr>
        <w:trPr>
          <w:trHeight w:val="208"/>
        </w:trPr>
        <w:tc>
          <w:tcPr>
            <w:tcW w:w="11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(16,885)</w:t>
            </w:r>
          </w:p>
        </w:tc>
      </w:tr>
      <w:tr>
        <w:trPr>
          <w:trHeight w:val="201"/>
        </w:trPr>
        <w:tc>
          <w:tcPr>
            <w:tcW w:w="1140" w:type="dxa"/>
            <w:vAlign w:val="bottom"/>
          </w:tcPr>
          <w:p>
            <w:pPr>
              <w:spacing w:after="0"/>
              <w:rPr>
                <w:sz w:val="17"/>
                <w:szCs w:val="17"/>
                <w:color w:val="auto"/>
              </w:rPr>
            </w:pPr>
          </w:p>
        </w:tc>
        <w:tc>
          <w:tcPr>
            <w:tcW w:w="5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Interest expense related to amortization of debt issuance costs and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discount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15"/>
        </w:trPr>
        <w:tc>
          <w:tcPr>
            <w:tcW w:w="114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expense on principal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15"/>
        </w:trPr>
        <w:tc>
          <w:tcPr>
            <w:tcW w:w="114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Fair value adjustment related to derivative and warrant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5"/>
        </w:trPr>
        <w:tc>
          <w:tcPr>
            <w:tcW w:w="114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r>
      <w:tr>
        <w:trPr>
          <w:trHeight w:val="208"/>
        </w:trPr>
        <w:tc>
          <w:tcPr>
            <w:tcW w:w="114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r>
      <w:tr>
        <w:trPr>
          <w:trHeight w:val="208"/>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(4,542)</w:t>
            </w:r>
          </w:p>
        </w:tc>
      </w:tr>
      <w:tr>
        <w:trPr>
          <w:trHeight w:val="215"/>
        </w:trPr>
        <w:tc>
          <w:tcPr>
            <w:tcW w:w="114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61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(4,542)</w:t>
            </w:r>
          </w:p>
        </w:tc>
      </w:tr>
      <w:tr>
        <w:trPr>
          <w:trHeight w:val="20"/>
        </w:trPr>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loss for the three months ended March 31, 2021 was $10.3 million, compared to net loss for the three months ended March 31, 2020 of $5.8 million. The change was primarily attributable to a change in the fair value adjustment related to derivative and warrant liability of $0.1 million and loss on extinguishment of debt of $16.9 million, partially offset by a change in income (loss) from operations of $10.7 million and a decrease in net interest expense and other items of $1.7 million. In accordance with the Inducement Transaction we recognized a deemed dividend of $37.4 million which is the difference between the grant date fair value of the Inducement Warrants and the purchase price of the Inducement Warrants. This deemed dividend is added to net loss to arrive at net loss attributable to common stockholders on the unaudited condensed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for the three months ended March 31, 2021 was $12.1 million, an increase of $10.0 million compared to revenue for the three months ended March 31, 2020 of $2.1 million. The increase was primarily attributable to a regulatory milestone payment on the KP415 License Agreement of $10.0 million that was earned when the FDA approved the NDA for AZSTARYS in March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Direct Contract Acquisition Costs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Royalties and direct contract acquisition costs for the three months ended March 31, 2021 was $1.0 million, an increase of $0.3 million compared to royalty and direct contract acquisition costs for the three months ended March 31, 2020 of $0.7 million. The increase was primarily attributable to a royalty payment of $1.0 million due to Aquestive related to the regulatory milestone payment on the KP415 License Agreement that was earned in the first quarter of 2021. Royalties and direct contract acquisition costs for the three months ended March 31, 2020, consisted of the recognition of previously capitalized direct contract acquisition costs related to entering into the KP415 License Agreement that were recognized pro-rata along with the revenue from the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Research and development expenses increased by $0.1 million, from $2.1 million for the three months ended March 31, 2020, to $2.3 million for the three months ended March 31, 2021. This increase was primarily attributable to an increase in personnel-related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General and administrative expenses decreased by $0.4 million, from $2.2 million for the three months ended March 31, 2020, to $1.9 million for the three months ended March 31, 2021. This decrease was primarily attributable to a decrease in professional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Expense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Severance expense of $0.8 million was recognized for the three months ended March 31, 2020 due to the termination of our chief business officer in February 2020. Severance expense was comprised of $0.4 million of personnel and other related charges and $0.4 million of stock compensation expense related to the acceleration of vesting on certain stock options upon employee termination. We had no severance expense for the three months ended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expenses increased by $15.3 million, from $2.0 million for the three months ended March 31, 2020, to $17.3 million for the three months ended March 31, 2021. This period-to-period increase in expense was primarily attributable to a loss on extinguishment of debt of $16.9 million during the first quarter of 2021 and a change in non-cash fair value adjustment related to derivative and warrant liability of $0.1 million, partially offset by a decrease in net interest expense and other items of $1.7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March 31, 2021,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March 31, 2021, we had cash and cash equivalents of $75.9 million and restricted cash of $0.1 million.</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we entered into the KP415 License Agreement with Commave and Commave paid us a non-refundable upfront payment of $10.0 million. In May 2020, the FDA accepted the NDA for AZSTARYS. Per the KP415 License Agreement, we received a regulatory milestone payment of $5.0 million following the FDA’s acceptance of the AZSTARYS NDA. In March 2021, the FDA approved the NDA for AZSTARYS. Per the KP415 Amendment, we earned a regulatory milestone of $10.0 million following the FDA's approval of the AZSTARYS NDA. In addition, per the KP415 License Agreement, as amended, we earned a $10.0 million milestone payment following the scheduling determination of SDX by the DEA on May 7, 2021, which is payable within 30 days.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registration statement on Form S-3 covering the sale from time to time of up to $80.0 million of our common stock, preferred stock, and debt and/or warrants, which was declared effective by the SEC on April 10, 2020, of 579,260 shares and therefore we cannot issue additional shares under the 2020 ELOC Agreement. Through May 2020, we sold 559,971 shares of common stock (exclusive of the 19,289 commitment shares previously issued to Lincoln Park) under the 2020 ELOC Agreement for approximately $2.3 million in gross proceeds.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had recurring negative operating cash flows and we anticipate that we will continue to incur minimal positive net cash flows from operations or negative net cash flows from operations for at least the next several years. We expect that our sources of revenue will be through payments arising from our license agreements with Commave and KVK, or through our Corium Consulting Agreement, and other potential consulting arrangements and any other future arrangements related to one of our other product candidates.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January 2021, we entered into the Inducement Letters. We received aggregate gross proceeds of $44.0 million from the exercise of the Existing Warrants by the Exercising Holders and the sale of the Inducement Warrants.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23, 2020, we received proceeds of $0.8 million from a loan, or the PPP Loan, under the Paycheck Protection Program, or the PPP, of the recently enacted Coronavirus Aid, Relief, and Economic Security Act, or the CARES Act, a portion of which may be forgiven, which we used to retain current employees, maintain payroll and make lease and utility payments. The PPP Loan matures on April 23, 2022 and bears annual interest at a rate of 1.0%. Payments of principal and interest on the PPP Loan are deferred for the first 16 months of the PPP Loan term. Thereafter, we could be required to pay the lender equal monthly payments of principal and interest.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18"/>
          <w:szCs w:val="18"/>
          <w:color w:val="auto"/>
        </w:rPr>
        <w:t>The CARES Act and the PPP provide a mechanism for forgiveness of up to the full amount borrowed. Under the PPP, we may apply for and be granted forgiveness for all or part of the PPP Loan. The amount of loan proceeds eligible for forgiveness was originally based on a formula that takes into account a number of factors, including the amount of loan proceeds used by us during the 24-week period after the loan origination for certain purposes, including payroll costs, interest on certain mortgage obligations, rent payments on certain leases, and certain qualified utility payments, provided that at least 60% of the loan amount was used for eligible payroll costs. Subject to the other requirements and limitations on loan forgiveness, only loan proceeds spent on payroll and other eligible costs during the covered 24-week period qualify for forgiveness. We have applied for forgiveness under the provisions of the PPP loan and are awaiting a decision by the SBA.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2021, we had no convertible notes outstanding. During the first quarter of 2021 we repaid in full the convertible notes and terminated the Deerfield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Deerfield Facility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16,025 shares of our common stock.</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also issued to Deerfield the Deerfield Warrant to purchase 14,423,076 shares of our Series D Preferred at an initial exercise price of $0.78 per share, or the Deerfield Warrant. Upon closing of our initial public offering, this warrant converted into a warrant exercisable for 120,192 shares of our common stock at an exercise price of $93.60 per share. Upon the closing of the inducement transaction in January 2021 the exercise price of the Deerfield Warrant was reduced to $46.25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originally matured on February 1, 2021 unless earlier converted or repurchased.</w:t>
      </w:r>
    </w:p>
    <w:p>
      <w:pPr>
        <w:spacing w:after="0" w:line="182"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2021 Note Exchange Effected in January 2020</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$3,037,354 in exchange for the cancellation of an aggregate of $3,037,354 principal amount and accrued interest of the 2021 Note then owned by Kingdon. Upon entering into the January 2020 Exchange Agreement, we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7"/>
        <w:spacing w:after="0" w:line="288" w:lineRule="auto"/>
        <w:tabs>
          <w:tab w:leader="none" w:pos="2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Restructuring</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5" w:name="page56"/>
    <w:bookmarkEnd w:id="55"/>
    <w:p>
      <w:pPr>
        <w:jc w:val="both"/>
        <w:spacing w:after="0" w:line="305" w:lineRule="auto"/>
        <w:rPr>
          <w:sz w:val="20"/>
          <w:szCs w:val="20"/>
          <w:color w:val="auto"/>
        </w:rPr>
      </w:pPr>
      <w:r>
        <w:rPr>
          <w:rFonts w:ascii="Arial" w:cs="Arial" w:eastAsia="Arial" w:hAnsi="Arial"/>
          <w:sz w:val="17"/>
          <w:szCs w:val="17"/>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Delaware, setting forth the preferences, rights and limitations of the Series B-2 Preferred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shares of Series B-2 Preferred Stock are convertible into an aggregate of 4,842,690 shares of our common stock. Each share of Series B-2 Preferred Stock will have an aggregate stated value of $1,000 and will be convertible into shares of our common stock at a per share price equal to $6.4999 (subject to adjustment to reflect stock splits and similar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Series B-2 Preferred Stock will be convertible at any time on or after the PDUFA Date (as defined in the Amended and Restated Series B-2 Certificate of Designation) at the option of the holders thereof; provided that the holders thereof will be prohibited from converting shares of Series B-2 Preferred Stock into shares our common stock if, as a result of such conversion, such holders (together with certain affiliates and “group” members of such holders) would beneficially own more than 4.985% of the total number of shares of our common stock then issued and outstanding. The Series B-2 Preferred Stock is not redeemable. In the event of our liquidation, dissolution or winding up or our change in control, the holders of Series B-2 Preferred Stock will receive, prior to any distribution or payment on our common stock, an amount equal to the greater of (i) $1,000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event, in each case, plus any declared but unpaid dividends thereon. With respect to rights upon liquidation, the Series B-2 Preferred Stock ranks senior to our common stock, on parity with any Parity Securities (as defined in the Amended and Restated Series B-2 Certificate of Designation) and junior to any Senior Securities (as defined in the Amended and Restated Series B-2 Certificate of Designation) and existing and future indebtedness. Except as otherwise required by law (or with respect to approval of certain actions involving our organizational documents that adversely affect the holders of Series B-2 Preferred Stock and other specified matters regarding the rights, preferences and privileges of the Series B-2 Preferred Stock), the Series B-2 Preferred Stock does not have voting rights. The Series B-2 Preferred Stock is not subject to any price-based anti-dilution protections and does not provide for any accruing dividends, but provides that holders of Series B-2 Preferred Stock will participate in any dividends on our common stock on an as-converted basis (without giving effect to the limitation on conversion described above). The Amended and Restated Series B-2 Certificate of Designation also provides for partial liquidated damages in the event that we fail to timely convert shares of Series B-2 Preferred Stock into common stock in accordance with the Amended and Restated Series B-2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all shares of Series B-2 Preferred Stock were converted into common stock.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December 2020 Exchange Agreement Amendment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January 11, 2021, as a condition to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Delaware, setting forth the preferences, rights and limitations of the Series B-2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Agreement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payoff letter, all outstanding indebtedness and obligations of us owing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638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08"/>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5"/>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71,704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three months ended March 31, 2021, net cash used in operating activities of $2.6 million consisted of a net loss of $10.3 million and $10.2 million in changes in working capital, partially offset by $17.9 million in adjustments for non-cash items. Net loss was primarily attributable to a loss on extinguishment of debt and our spending on research and development programs and operating costs, partially offset by revenue received under the KP415 License Agreement and the Corium Consulting Agreement. The changes in working capital consisted of $1.8 million related to a change in accounts payable and accrued expenses, $8.7 million related to a change in accounts and other receivables and $0.1 million related to operating lease liabilities, partially offset by $0.3 million related to a change in prepaid expenses and other assets and $0.2 million related to a change in operating lease right-of-use assets and other liabilities. The adjustments for non-cash items primarily consisted of stock-based compensation expense of $0.7 million, a loss on extinguishment of debt of $16.9 million, amortization of debt issuance costs and debt discount of $0.2 million, a change in the fair value adjustment related to derivative and warrant liabilities of $0.1 million and $0.2 million related to depreciation, amortization and other items.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March 31, 2020, net cash used in operating activities of $2.0 million consisted of a net loss of $5.8 million partially offset by $0.7 million in changes in working capital and $3.0 million in adjustments for non-cash items. Net loss was primarily attributable to our spending on research and development programs and operating costs, partially offset by revenue received under the KP415 License Agreement. The changes in working capital consisted of $0.6 million related to a change in accounts payable and accrued expenses, $0.5 million related to a change in prepaid expenses and other assets and $0.1 million related to operating lease right-of-use assets, partially offset by $0.4 million related to a change in accounts and other receivables and $0.1 million related to operating lease liabilities. The adjustments for non-cash items primarily consisted of stock-based compensation expense of $1.0 million, non-cash interest expense of $1.2 million, amortization of debt issuance costs and debt discount of $0.6 million, loss on sublease and disposal of property and equipment of $0.2 million and $0.1 million related to depreciation, amortization and other items partially offset by non-cash income related to the change in the fair value of our derivative and warrant liabilities of $0.1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there was no net cash used in investing activities.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March 31, 2020, net cash used in investing activities was $11,000, which was primarily attributable to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2021, net cash provided by financing activities was $74.3 million, which was primarily attributable to net proceeds from sales of our common stock under the Public Offering of $49.3 million, net proceeds from the Inducement Transaction of $41.4 million and net proceeds from the exercise of common stock warrants of $25.6 million, partially offset by repayment of principal on finance lease liabilities of $0.1 million, payment of debt issuance costs of $2.9 million, payment of offering costs of $1.1 million and repayment of principal on convertible notes of $37.9 million.</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2020, net cash provided by financing activities was $1.0 million, which was primarily attributable to proceeds from sales of our common stock under the Current Purchase Agreement of $1.1 million, partially offset by repayment of principal on finance lease liabilities and payment of debt issuance costs of $0.1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current operating forecast, we believe that our existing cash resources will be sufficient to fund our operations for at least twelve months following the date we file this quarterly report.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revenues generated under either the KP415 License Agreement or the APADAZ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KP415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Corium Consulting Agreement;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consulting services revenue generated under other potential consulting arrangements.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date, we have generated revenue from the non-refundable upfront payment, regulatory milestone payments, reimbursements of out-of-pocket third-party research and development costs and consulting services under the KP415 License Agreement, consulting services, and associated out-of-pocket third-party costs, under the Corium Consulting Agreement and consulting services under other consulting arrangements. We expect that our only sources of revenues will be through payments arising from the KP415 License Agreement, the APADAZ License Agreement, the Corium Consulting Agreement, or through other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expect to continue to incur additional costs associated with operating as a public company. If we are unable to generate revenue in the short term under our license agreements, we will need substantial additional funding in order to continue our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unaudited condensed financial statements, which we have prepared in accordance with accounting principles generally accepted in the United States. The preparation of our unaudited condensed financial statements requires us to make estimates and assumptions that affect the reported amounts of assets and liabilities and the disclosure of contingent assets and liabilities at the date of our unaudited condensed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Our critical accounting policies have not changed materially from those described in </w:t>
      </w:r>
      <w:r>
        <w:rPr>
          <w:rFonts w:ascii="Arial" w:cs="Arial" w:eastAsia="Arial" w:hAnsi="Arial"/>
          <w:sz w:val="16"/>
          <w:szCs w:val="16"/>
          <w:i w:val="1"/>
          <w:iCs w:val="1"/>
          <w:color w:val="auto"/>
        </w:rPr>
        <w:t>Item 7 -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Results of Operations </w:t>
      </w:r>
      <w:r>
        <w:rPr>
          <w:rFonts w:ascii="Arial" w:cs="Arial" w:eastAsia="Arial" w:hAnsi="Arial"/>
          <w:sz w:val="16"/>
          <w:szCs w:val="16"/>
          <w:color w:val="auto"/>
        </w:rPr>
        <w:t>of our Annual Report on Form 10-K for the fiscal year ended December 31, 2020, filed with the SEC on March 12, 2021.</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2021. Based on the evaluation of our disclosure controls and procedures as of March 31, 2021, our chief executive officer and our chief financial officer concluded that, as of such date, our disclosure controls and procedures were effective at the reasonable assurance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our fiscal quarter ended March 31, 2021 that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LEGAL PROCEEDINGS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should carefully consider all the risk factors and uncertainties described below, in addition to other information contained in this Quarterly Report on Form 10-Q, including the section of this report titled “Management’s Discussion and Analysis of Financial Condition and Results of Operations” and our unaudited condensed financial statements and related notes, before investing in our common stock. If any of the following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factors that are described below and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commercialization of AZSTARYS, APADAZ or any of our other product candidates, if approved, are not successful, or we experience significant delays in commercialization, our business will be harmed.</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currently generate no commercial revenue from the sale of any prodrugs and we may never be able to successfully commercialize a prodrug product. For instance,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or that we will ever receive any future payments under the KP415 License Agreement.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also entered into the APADAZ License Agreement with KVK pursuant to which we granted an exclusive license to KVK to commercialize APADAZ in the United States, but we cannot guarantee that KVK will be able to successfully commercialize APADAZ or that we will ever receive any payments under the APADAZ License Agreement from commercial sales of APADAZ.</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invested substantially all our efforts and financial resources in the development of our proprietary LAT technology, the identification of potential product candidates and the development of our product candidates. Our ability to generate revenue from APADAZ under the APADAZ License Agreement, AZSTARYS under the KP415 License Agreement and generate revenue from any of our other product candidates will depend heavily on their successful development and eventual commercialization. The success of AZSTARYS, APADAZ and any of our other product candidates will depend on several factors, including:</w:t>
      </w:r>
    </w:p>
    <w:p>
      <w:pPr>
        <w:spacing w:after="0" w:line="190" w:lineRule="exact"/>
        <w:rPr>
          <w:sz w:val="20"/>
          <w:szCs w:val="20"/>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demonstration that the risks involved with AZSTARYS, APADAZ and any of our other product candidates are outweighed by the benefits;</w:t>
      </w:r>
    </w:p>
    <w:p>
      <w:pPr>
        <w:spacing w:after="0" w:line="234" w:lineRule="exact"/>
        <w:rPr>
          <w:rFonts w:ascii="Arial" w:cs="Arial" w:eastAsia="Arial" w:hAnsi="Arial"/>
          <w:sz w:val="17"/>
          <w:szCs w:val="17"/>
          <w:color w:val="auto"/>
        </w:rPr>
      </w:pPr>
    </w:p>
    <w:p>
      <w:pPr>
        <w:ind w:left="460" w:right="20" w:hanging="224"/>
        <w:spacing w:after="0" w:line="193" w:lineRule="auto"/>
        <w:tabs>
          <w:tab w:leader="none" w:pos="460" w:val="left"/>
        </w:tabs>
        <w:numPr>
          <w:ilvl w:val="0"/>
          <w:numId w:val="32"/>
        </w:numPr>
        <w:rPr>
          <w:rFonts w:ascii="Arial" w:cs="Arial" w:eastAsia="Arial" w:hAnsi="Arial"/>
          <w:sz w:val="32"/>
          <w:szCs w:val="32"/>
          <w:color w:val="auto"/>
          <w:vertAlign w:val="subscript"/>
        </w:rPr>
      </w:pPr>
      <w:r>
        <w:rPr>
          <w:rFonts w:ascii="Arial" w:cs="Arial" w:eastAsia="Arial" w:hAnsi="Arial"/>
          <w:sz w:val="16"/>
          <w:szCs w:val="16"/>
          <w:color w:val="auto"/>
        </w:rPr>
        <w:t>successful development of our manufacturing processes for AZSTARYS under the KP415 License Agreement, APADAZ under the APADAZ License Agreement and for any of our other product candidates, including entering into and maintaining arrangements with third-party manufacturers;</w:t>
      </w:r>
    </w:p>
    <w:p>
      <w:pPr>
        <w:spacing w:after="0" w:line="201" w:lineRule="exact"/>
        <w:rPr>
          <w:rFonts w:ascii="Arial" w:cs="Arial" w:eastAsia="Arial" w:hAnsi="Arial"/>
          <w:sz w:val="32"/>
          <w:szCs w:val="32"/>
          <w:color w:val="auto"/>
          <w:vertAlign w:val="subscript"/>
        </w:rPr>
      </w:pPr>
    </w:p>
    <w:p>
      <w:pPr>
        <w:ind w:left="460" w:hanging="224"/>
        <w:spacing w:after="0" w:line="181" w:lineRule="auto"/>
        <w:tabs>
          <w:tab w:leader="none" w:pos="46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successful completion of an FDA preapproval inspection of the facilities used to manufacture AZSTARYS, APADAZ and any of our other product candidates, as well as select clinical trial sites;</w:t>
      </w:r>
    </w:p>
    <w:p>
      <w:pPr>
        <w:spacing w:after="0" w:line="202" w:lineRule="exact"/>
        <w:rPr>
          <w:rFonts w:ascii="Arial" w:cs="Arial" w:eastAsia="Arial" w:hAnsi="Arial"/>
          <w:sz w:val="34"/>
          <w:szCs w:val="34"/>
          <w:color w:val="auto"/>
          <w:vertAlign w:val="subscript"/>
        </w:rPr>
      </w:pPr>
    </w:p>
    <w:p>
      <w:pPr>
        <w:ind w:left="460" w:hanging="224"/>
        <w:spacing w:after="0" w:line="181" w:lineRule="auto"/>
        <w:tabs>
          <w:tab w:leader="none" w:pos="46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202" w:lineRule="exact"/>
        <w:rPr>
          <w:rFonts w:ascii="Arial" w:cs="Arial" w:eastAsia="Arial" w:hAnsi="Arial"/>
          <w:sz w:val="34"/>
          <w:szCs w:val="34"/>
          <w:color w:val="auto"/>
          <w:vertAlign w:val="subscript"/>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differentiating claims in the labels for our product candidates;</w:t>
      </w:r>
    </w:p>
    <w:p>
      <w:pPr>
        <w:spacing w:after="0" w:line="222" w:lineRule="exact"/>
        <w:rPr>
          <w:rFonts w:ascii="Arial" w:cs="Arial" w:eastAsia="Arial" w:hAnsi="Arial"/>
          <w:sz w:val="18"/>
          <w:szCs w:val="18"/>
          <w:color w:val="auto"/>
        </w:rPr>
      </w:pPr>
    </w:p>
    <w:p>
      <w:pPr>
        <w:ind w:left="460" w:hanging="224"/>
        <w:spacing w:after="0" w:line="181" w:lineRule="auto"/>
        <w:tabs>
          <w:tab w:leader="none" w:pos="46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obtaining and maintaining patent, trademark and trade secret protection and regulatory exclusivity for AZSTARYS, APADAZ and any of our other product candidates and otherwise protecting our rights in our intellectual property portfolio;</w:t>
      </w:r>
    </w:p>
    <w:p>
      <w:pPr>
        <w:spacing w:after="0" w:line="202" w:lineRule="exact"/>
        <w:rPr>
          <w:rFonts w:ascii="Arial" w:cs="Arial" w:eastAsia="Arial" w:hAnsi="Arial"/>
          <w:sz w:val="34"/>
          <w:szCs w:val="34"/>
          <w:color w:val="auto"/>
          <w:vertAlign w:val="subscript"/>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w:t>
      </w:r>
    </w:p>
    <w:p>
      <w:pPr>
        <w:spacing w:after="0" w:line="222" w:lineRule="exact"/>
        <w:rPr>
          <w:rFonts w:ascii="Arial" w:cs="Arial" w:eastAsia="Arial" w:hAnsi="Arial"/>
          <w:sz w:val="18"/>
          <w:szCs w:val="18"/>
          <w:color w:val="auto"/>
        </w:rPr>
      </w:pPr>
    </w:p>
    <w:p>
      <w:pPr>
        <w:ind w:left="460" w:hanging="224"/>
        <w:spacing w:after="0" w:line="193" w:lineRule="auto"/>
        <w:tabs>
          <w:tab w:leader="none" w:pos="460" w:val="left"/>
        </w:tabs>
        <w:numPr>
          <w:ilvl w:val="0"/>
          <w:numId w:val="32"/>
        </w:numPr>
        <w:rPr>
          <w:rFonts w:ascii="Arial" w:cs="Arial" w:eastAsia="Arial" w:hAnsi="Arial"/>
          <w:sz w:val="32"/>
          <w:szCs w:val="32"/>
          <w:color w:val="auto"/>
          <w:vertAlign w:val="subscript"/>
        </w:rPr>
      </w:pPr>
      <w:r>
        <w:rPr>
          <w:rFonts w:ascii="Arial" w:cs="Arial" w:eastAsia="Arial" w:hAnsi="Arial"/>
          <w:sz w:val="16"/>
          <w:szCs w:val="16"/>
          <w:color w:val="auto"/>
        </w:rPr>
        <w:t>launching commercial sales of AZSTARYS under the KP415 License Agreement, APADAZ under the APADAZ License Agreement and launching commercial sales of any of our other product candidates, if and when approved, whether alone or in collaboration with Commave or others;</w:t>
      </w:r>
    </w:p>
    <w:p>
      <w:pPr>
        <w:spacing w:after="0" w:line="176" w:lineRule="exact"/>
        <w:rPr>
          <w:rFonts w:ascii="Arial" w:cs="Arial" w:eastAsia="Arial" w:hAnsi="Arial"/>
          <w:sz w:val="32"/>
          <w:szCs w:val="32"/>
          <w:color w:val="auto"/>
          <w:vertAlign w:val="subscript"/>
        </w:rPr>
      </w:pPr>
    </w:p>
    <w:p>
      <w:pPr>
        <w:ind w:left="460" w:hanging="224"/>
        <w:spacing w:after="0"/>
        <w:tabs>
          <w:tab w:leader="none" w:pos="460" w:val="left"/>
        </w:tabs>
        <w:numPr>
          <w:ilvl w:val="0"/>
          <w:numId w:val="32"/>
        </w:numPr>
        <w:rPr>
          <w:rFonts w:ascii="Arial" w:cs="Arial" w:eastAsia="Arial" w:hAnsi="Arial"/>
          <w:sz w:val="32"/>
          <w:szCs w:val="32"/>
          <w:color w:val="auto"/>
          <w:vertAlign w:val="subscript"/>
        </w:rPr>
      </w:pPr>
      <w:r>
        <w:rPr>
          <w:rFonts w:ascii="Arial" w:cs="Arial" w:eastAsia="Arial" w:hAnsi="Arial"/>
          <w:sz w:val="16"/>
          <w:szCs w:val="16"/>
          <w:color w:val="auto"/>
        </w:rPr>
        <w:t>acceptance</w:t>
      </w:r>
      <w:r>
        <w:rPr>
          <w:rFonts w:ascii="Arial" w:cs="Arial" w:eastAsia="Arial" w:hAnsi="Arial"/>
          <w:sz w:val="31"/>
          <w:szCs w:val="31"/>
          <w:color w:val="auto"/>
          <w:vertAlign w:val="subscript"/>
        </w:rPr>
        <w:t>payors;</w:t>
      </w:r>
      <w:r>
        <w:rPr>
          <w:rFonts w:ascii="Arial" w:cs="Arial" w:eastAsia="Arial" w:hAnsi="Arial"/>
          <w:sz w:val="16"/>
          <w:szCs w:val="16"/>
          <w:color w:val="auto"/>
        </w:rPr>
        <w:t xml:space="preserve"> of AZSTARYS, APADAZ and any of our other product candidates, if approved, by patients, the medical community and third-party</w:t>
      </w:r>
    </w:p>
    <w:p>
      <w:pPr>
        <w:spacing w:after="0" w:line="301" w:lineRule="exact"/>
        <w:rPr>
          <w:rFonts w:ascii="Arial" w:cs="Arial" w:eastAsia="Arial" w:hAnsi="Arial"/>
          <w:sz w:val="32"/>
          <w:szCs w:val="32"/>
          <w:color w:val="auto"/>
          <w:vertAlign w:val="subscript"/>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the prodrug products following approval.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2" w:name="page63"/>
    <w:bookmarkEnd w:id="62"/>
    <w:p>
      <w:pPr>
        <w:jc w:val="both"/>
        <w:spacing w:after="0" w:line="290"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KVK could experience an inability to successfully commercialize APADAZ, Corium could experience an inability to successfully commercialize AZSTARYS or any of our other product candidates covered by the KP415 License Agreement, if approved, or we could experience an inability to successfully commercialize any of our other product candidates approved for marketing in the future, if any, which would harm our business.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key element of our strategy is to use our proprietary LAT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APADAZ and AZSTARYS are not successfully commercialized under our APADAZ License Agreement or KP415 License Agreement and we do not successfully develop and commercialize any of our other product candidates based upon our proprietary LAT technology, we will not be able to obtain product revenue in future periods, which likely would result in significant harm to our financial position and adversely affect our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On March 2, 2021, we announced that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other product candidates for commercial sale or approve any proposed label we may have for any such product candidate. If our development efforts for our product candidates, including regulatory approval, are not successful for their planned indications or are delayed, or if adequate demand for our product candidates that are approved for marketing, if any, is not generated, our business will be harmed.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71" w:lineRule="exact"/>
        <w:rPr>
          <w:sz w:val="20"/>
          <w:szCs w:val="20"/>
          <w:color w:val="auto"/>
        </w:rPr>
      </w:pPr>
    </w:p>
    <w:p>
      <w:pPr>
        <w:ind w:left="460" w:right="2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dosing in a particular clinical trial may not be at an optimal level;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submissions to regulatory authorities or to obtain regulatory approval in the United States or elsewhere;</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18"/>
          <w:szCs w:val="18"/>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foreign and domestic inspections of manufacturing facilities and products, and subsequently, in July 2020, restarted routine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b w:val="1"/>
          <w:bCs w:val="1"/>
          <w:i w:val="1"/>
          <w:iCs w:val="1"/>
          <w:color w:val="auto"/>
        </w:rPr>
        <w:t>If we, subject to the approval of Commave,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our strategy is to seek FDA approval for most of our product candidates under Section 505(b)(2) of the Federal Food, Drug and Cosmetic Act,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For instance, subject to Commave approval, we currently plan on relying on the 505(b)(2) pathway for any NDA submitted for KP484. However, we do not anticipate that the 505(b)(2) pathway will be available for every product candidate. For instance, it is possible we will only be permitted to utilize the 505(b)(2) NDA pathway for either AZSTARYS or KP484, but not both. We utilized the 505(b)(2) NDA pathway for the AZSTARYS NDA which was approved on March 2, 2021. If this were to occur, the time and financial resources required to obtain FDA approval for our product candidates, and complications and risks associated with our product candidates, would likely substantially increase.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abbreviated new drug application, or ANDA, which is used for the development of generic drug products.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notwithstanding the approval of several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505(b)(2).</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boxed warning, may be subject to other conditions of approval, or may contain requirements for costly post-marketing clinical trials, testing and surveillance to monitor the safety or efficacy of the products, or other post-market requirements, such as a Risk Evaluation and Mitigation Strategy, or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boxed warning for at least some of our product candidates, including APADAZ.</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6" w:name="page67"/>
    <w:bookmarkEnd w:id="66"/>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If we were to submit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72" w:lineRule="exact"/>
        <w:rPr>
          <w:sz w:val="20"/>
          <w:szCs w:val="20"/>
          <w:color w:val="auto"/>
        </w:rPr>
      </w:pPr>
    </w:p>
    <w:p>
      <w:pPr>
        <w:ind w:left="460" w:hanging="224"/>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NDA is incomplete because it does not on its face contain the information required under the Federal Food, Drug and Cosmetic Act or the FDA’s regulations;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NDA does not contain a statement that each non-clinical laboratory study was conducted in compliance with good laboratory practices requirements, or for each study not so conducted, a brief statement of the reason for the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drug is a duplicate of a listed drug approved before receipt of the NDA and is eligible for approval under an ANDA for generic drugs.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its procedures, the FDA has stated that it could find an NDA submitted under the Section 505(b)(2) regulatory pathway incomplete and refuse to file it if the NDA, among other reasons:</w:t>
      </w:r>
    </w:p>
    <w:p>
      <w:pPr>
        <w:spacing w:after="0" w:line="171" w:lineRule="exact"/>
        <w:rPr>
          <w:sz w:val="20"/>
          <w:szCs w:val="20"/>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fails to include appropriate literature or a listed drug citation to support the safety or efficacy of the drug product;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fails to include data necessary to support any aspects of the proposed drug that represent modifications to the listed drug(s) relied upon;</w:t>
      </w:r>
    </w:p>
    <w:p>
      <w:pPr>
        <w:spacing w:after="0" w:line="234"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fails to provide a bridge, for example by providing comparative bioavailability data, between the proposed drug product and the listed drug product to demonstrate that such reliance is scientifically justified;</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uses an unapproved drug as a reference product for the bioequivalence study;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7" w:name="page68"/>
    <w:bookmarkEnd w:id="67"/>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1" w:lineRule="exact"/>
        <w:rPr>
          <w:sz w:val="20"/>
          <w:szCs w:val="20"/>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clinical trial protocols as needed;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8" w:name="page69"/>
    <w:bookmarkEnd w:id="68"/>
    <w:p>
      <w:pPr>
        <w:jc w:val="both"/>
        <w:spacing w:after="0" w:line="262"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2" w:lineRule="exact"/>
        <w:rPr>
          <w:sz w:val="20"/>
          <w:szCs w:val="20"/>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prodrug development costs may also increase if we experience delays in testing or obtaining marketing approvals. Additionally, if we do not successfully develop any product candidates subject to the KP415 License Agreement, we may not be eligible to receive any future payments under the KP415 License Agreement.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Arial" w:cs="Arial" w:eastAsia="Arial" w:hAnsi="Arial"/>
          <w:sz w:val="18"/>
          <w:szCs w:val="18"/>
          <w:color w:val="auto"/>
        </w:rPr>
        <w:t>’</w:t>
      </w:r>
      <w:r>
        <w:rPr>
          <w:rFonts w:ascii="Arial" w:cs="Arial" w:eastAsia="Arial" w:hAnsi="Arial"/>
          <w:sz w:val="18"/>
          <w:szCs w:val="18"/>
          <w:b w:val="1"/>
          <w:bCs w:val="1"/>
          <w:i w:val="1"/>
          <w:iCs w:val="1"/>
          <w:color w:val="auto"/>
        </w:rPr>
        <w:t>s approval of such product candidates.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9" w:name="page70"/>
    <w:bookmarkEnd w:id="69"/>
    <w:p>
      <w:pPr>
        <w:jc w:val="both"/>
        <w:spacing w:after="0" w:line="275" w:lineRule="auto"/>
        <w:rPr>
          <w:sz w:val="20"/>
          <w:szCs w:val="20"/>
          <w:color w:val="auto"/>
        </w:rPr>
      </w:pPr>
      <w:r>
        <w:rPr>
          <w:rFonts w:ascii="Arial" w:cs="Arial" w:eastAsia="Arial" w:hAnsi="Arial"/>
          <w:sz w:val="18"/>
          <w:szCs w:val="18"/>
          <w:b w:val="1"/>
          <w:bCs w:val="1"/>
          <w:i w:val="1"/>
          <w:iCs w:val="1"/>
          <w:color w:val="auto"/>
        </w:rPr>
        <w:t>AZSTARYS, APADAZ and certain of our other product candidates contain controlled substances, the manufacture, use, sale, importation, exportation, prescribing and distribution of which are subject to regulation by the DEA.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The FDA has recommended that AZSTARYS be regulated as a "controlled substance" as defined in the CSA. For APADAZ, the DEA has determined it to be a Schedule II drug. We expect that most of our other product candidates, including KP484 and KP879,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5" w:lineRule="exact"/>
        <w:rPr>
          <w:sz w:val="20"/>
          <w:szCs w:val="20"/>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that most of our current product candidates may be listed by the DEA as Schedule II controlled substances under the CSA. If our product candidates are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0" w:name="page71"/>
    <w:bookmarkEnd w:id="70"/>
    <w:p>
      <w:pPr>
        <w:jc w:val="both"/>
        <w:spacing w:after="0" w:line="295"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if our product candidates are approved for marketing.</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1" w:name="page72"/>
    <w:bookmarkEnd w:id="71"/>
    <w:p>
      <w:pPr>
        <w:jc w:val="both"/>
        <w:spacing w:after="0" w:line="27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2" w:lineRule="exact"/>
        <w:rPr>
          <w:sz w:val="20"/>
          <w:szCs w:val="20"/>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2" w:name="page73"/>
    <w:bookmarkEnd w:id="72"/>
    <w:p>
      <w:pPr>
        <w:jc w:val="both"/>
        <w:spacing w:after="0" w:line="310" w:lineRule="auto"/>
        <w:rPr>
          <w:sz w:val="20"/>
          <w:szCs w:val="20"/>
          <w:color w:val="auto"/>
        </w:rPr>
      </w:pPr>
      <w:r>
        <w:rPr>
          <w:rFonts w:ascii="Arial" w:cs="Arial" w:eastAsia="Arial" w:hAnsi="Arial"/>
          <w:sz w:val="16"/>
          <w:szCs w:val="16"/>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Social issues around the abuse of opioids and stimulants, including law enforcement concerns over diversion and regulatory efforts to combat abuse, could decrease the potential market for AZSTARYS, APADAZ or any of our other applicable product candidates.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AZSTARYS under the KP415 License Agreement, APADAZ under the APADAZ License Agreement or to commercialize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AZSTARYS, APADAZ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efforts by the FDA and other regulatory bodies to combat abuse of opioids and stimulants may negatively impact the market for AZSTARYS, APADAZ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AZSTARYS, APADAZ or any of our other applicable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effective internal control over financial reporting could harm us.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incurred significant recurring negative net operating cash flows. We expect to incur minimal positive net operating cash flows or negative net operating cash flows over the next several years and may never achieve or maintain profitability.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had significant recurring negative net operating cash flows since inception. For the three months ended March 31, 2021 and 2020, net cash used in operations was $2.6 million and $2.0 million, respectively. We have financed our operations through March 31, 2021 with funds raised in private placements of redeemable convertible preferred stock, in the issuance of convertible promissory notes and term debt, our initial public offering and other public and private offerings of our common stock, as well as through revenue received under the KP415 License Agreement, the Corium Consulting Agreement and other consulting arrangements.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85" w:lineRule="exact"/>
        <w:rPr>
          <w:sz w:val="20"/>
          <w:szCs w:val="20"/>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 regulatory approvals for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 operational systems and personnel, if needed, to support any future commercialization efforts.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4" w:name="page75"/>
    <w:bookmarkEnd w:id="74"/>
    <w:p>
      <w:pPr>
        <w:jc w:val="both"/>
        <w:spacing w:after="0" w:line="267" w:lineRule="auto"/>
        <w:rPr>
          <w:sz w:val="20"/>
          <w:szCs w:val="20"/>
          <w:color w:val="auto"/>
        </w:rPr>
      </w:pPr>
      <w:r>
        <w:rPr>
          <w:rFonts w:ascii="Arial" w:cs="Arial" w:eastAsia="Arial" w:hAnsi="Arial"/>
          <w:sz w:val="17"/>
          <w:szCs w:val="17"/>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For instance, in September 2019,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if approved, or that we will ever receive any future payments under the KP415 License Agreement. In addition, in October 2018, we entered into the APADAZ License Agreement with KVK pursuant to which we granted an exclusive license to KVK to commercialize APADAZ in the United States. We cannot guarantee that KVK will be able to successfully commercialize APADAZ or that we will ever receive any payments under the APADAZ License Agreement from commercial sales of APADAZ. We may never succeed in commercialization activities and, even if we do, may never generate revenue that is significant enough to achieve profitability.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2020, the World Health Organization declared the outbreak of COVID-19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If the pandemic continues to be a severe worldwide crisis, it could have a material adverse effect on our business, results of operations, financial condition, and cash flows.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AZSTARYS, APADAZ or any of our other product candidates, if approved, may not achieve commercial success. Our commercial revenue, if any, will be derived from sales of prodrug products. We cannot guarantee that Commave will be able to successfully commercialize AZSTARYS or any of the other product candidates subject to the KP415 License Agreement, even if approved, that KVK will be able to successfully commercialize APADAZ or that we will ever receive any payments under the KP415 License Agreement from the commercial sales of AZSTARYS or any future payments under the KP415 License Agreement or payment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5" w:name="page76"/>
    <w:bookmarkEnd w:id="75"/>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that our only sources of revenues will be through payments arising from our license agreements with Commave and KVK, or through the Corium Consulting Agreement or other potential consulting arrangements and any other future arrangements related to one of our other product candidates. We cannot guarantee that we will be able to generate sufficient proceeds from the KP415 License Agreement, the APADAZ License Agreement, the Corium Consulting Agreement or other consulting arrangements, or be successful in completing other transactions, that will fully fund our operating expenses. Further, the economic uncertainty surrounding the COVID-19 pandemic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64" w:lineRule="exact"/>
        <w:rPr>
          <w:sz w:val="20"/>
          <w:szCs w:val="20"/>
          <w:color w:val="auto"/>
        </w:rPr>
      </w:pPr>
    </w:p>
    <w:p>
      <w:pPr>
        <w:ind w:left="460" w:hanging="224"/>
        <w:spacing w:after="0" w:line="181" w:lineRule="auto"/>
        <w:tabs>
          <w:tab w:leader="none" w:pos="46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the progress and results of our preclinical studies, clinical trials, chemistry, manufacturing and controls, or CMC, and other product development and commercialization activities;</w:t>
      </w:r>
    </w:p>
    <w:p>
      <w:pPr>
        <w:spacing w:after="0" w:line="202" w:lineRule="exact"/>
        <w:rPr>
          <w:rFonts w:ascii="Arial" w:cs="Arial" w:eastAsia="Arial" w:hAnsi="Arial"/>
          <w:sz w:val="34"/>
          <w:szCs w:val="34"/>
          <w:color w:val="auto"/>
          <w:vertAlign w:val="subscript"/>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2" w:lineRule="exact"/>
        <w:rPr>
          <w:rFonts w:ascii="Arial" w:cs="Arial" w:eastAsia="Arial" w:hAnsi="Arial"/>
          <w:sz w:val="18"/>
          <w:szCs w:val="18"/>
          <w:color w:val="auto"/>
        </w:rPr>
      </w:pPr>
    </w:p>
    <w:p>
      <w:pPr>
        <w:ind w:left="460" w:hanging="224"/>
        <w:spacing w:after="0" w:line="181" w:lineRule="auto"/>
        <w:tabs>
          <w:tab w:leader="none" w:pos="46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202" w:lineRule="exact"/>
        <w:rPr>
          <w:rFonts w:ascii="Arial" w:cs="Arial" w:eastAsia="Arial" w:hAnsi="Arial"/>
          <w:sz w:val="34"/>
          <w:szCs w:val="34"/>
          <w:color w:val="auto"/>
          <w:vertAlign w:val="subscript"/>
        </w:rPr>
      </w:pPr>
    </w:p>
    <w:p>
      <w:pPr>
        <w:jc w:val="both"/>
        <w:ind w:left="460" w:hanging="224"/>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commercial revenue, if any, received from commercial sales of AZSTARYS under our KP415 License Agreement, APADAZ under our APADAZ License Agreement, or any of our other product candidates subject to the terms of the KP415 License agreement, or sales of our other product candidates for which we receive marketing approval in the future, which may be affected by market conditions, including obtaining coverage and adequate reimbursement of AZSTARYS, APADAZ, or any of our other product candidates, from third-party payors, including government programs and managed care organizations, and competition within the therapeutic class to which AZSTARYS, APADAZ, or any our other product candidates are assigned;</w:t>
      </w:r>
    </w:p>
    <w:p>
      <w:pPr>
        <w:spacing w:after="0" w:line="190" w:lineRule="exact"/>
        <w:rPr>
          <w:rFonts w:ascii="Arial" w:cs="Arial" w:eastAsia="Arial" w:hAnsi="Arial"/>
          <w:sz w:val="18"/>
          <w:szCs w:val="18"/>
          <w:color w:val="auto"/>
        </w:rPr>
      </w:pPr>
    </w:p>
    <w:p>
      <w:pPr>
        <w:ind w:left="460" w:right="20" w:hanging="224"/>
        <w:spacing w:after="0" w:line="181" w:lineRule="auto"/>
        <w:tabs>
          <w:tab w:leader="none" w:pos="46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the success of our partner, Commave, in commercializing AZSTARYS, or the successful development of other Additional Products or other Licensed Products in accordance with the terms of the KP415 License Agreement;</w:t>
      </w:r>
    </w:p>
    <w:p>
      <w:pPr>
        <w:spacing w:after="0" w:line="202" w:lineRule="exact"/>
        <w:rPr>
          <w:rFonts w:ascii="Arial" w:cs="Arial" w:eastAsia="Arial" w:hAnsi="Arial"/>
          <w:sz w:val="34"/>
          <w:szCs w:val="34"/>
          <w:color w:val="auto"/>
          <w:vertAlign w:val="subscript"/>
        </w:rPr>
      </w:pPr>
    </w:p>
    <w:p>
      <w:pPr>
        <w:ind w:left="460" w:hanging="224"/>
        <w:spacing w:after="0" w:line="181" w:lineRule="auto"/>
        <w:tabs>
          <w:tab w:leader="none" w:pos="46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202" w:lineRule="exact"/>
        <w:rPr>
          <w:rFonts w:ascii="Arial" w:cs="Arial" w:eastAsia="Arial" w:hAnsi="Arial"/>
          <w:sz w:val="34"/>
          <w:szCs w:val="34"/>
          <w:color w:val="auto"/>
          <w:vertAlign w:val="subscript"/>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6" w:name="page77"/>
    <w:bookmarkEnd w:id="76"/>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 or could result in damage to our reputation.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23, 2020 we received proceeds of $0.8 million from a loan, or the PPP Loan, under the Paycheck Protection Program, or the PPP, of the recently enacted Coronavirus Aid, Relief, and Economic Security Act, or the CARES Act, a portion of which may be forgiven, which we used to retain current employees, maintain payroll and make lease and utility payments. The PPP Loan matures on April 23, 2022 and bears annual interest at a rate of 1.0%. Payments of principal and interest on the PPP Loan were originally deferred for the first six months of the PPP Loan term. Thereafter, we would have been required to pay the lender equal monthly payments of principal and interest.</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we may apply for and be granted forgiveness for all or part of the PPP Loan. The amount of loan proceeds eligible for forgiveness was originally based on a formula that takes into account a number of factors, including the amount of loan proceeds used by us during the eight-week period after the loan origination for certain purposes, including payroll costs, interest on certain mortgage obligations, rent payments on certain leases, and certain qualified utility payments, provided that at least 75% of the loan amount was used for eligible payroll costs. Subject to the other requirements and limitations on loan forgiveness, only loan proceeds spent on payroll and other eligible costs during the covered eight-week period would have qualified for forgiveness.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5, 2020, President Trump signed into law the PPP Flexibility Act of 2020, or the Flexibility Act, which among other things provided the following important changes to the PPP:</w:t>
      </w:r>
    </w:p>
    <w:p>
      <w:pPr>
        <w:spacing w:after="0" w:line="171" w:lineRule="exact"/>
        <w:rPr>
          <w:sz w:val="20"/>
          <w:szCs w:val="20"/>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Extended the covered period for loan forgiveness from eight weeks after the date of loan disbursement to 24 weeks after the date of loan disbursement, providing substantially greater flexibility for borrowers to qualify for loan forgiveness. Borrowers who had already received PPP loans retained the option to use an eight-week covered period.</w:t>
      </w:r>
    </w:p>
    <w:p>
      <w:pPr>
        <w:spacing w:after="0" w:line="182" w:lineRule="exact"/>
        <w:rPr>
          <w:rFonts w:ascii="Arial" w:cs="Arial" w:eastAsia="Arial" w:hAnsi="Arial"/>
          <w:sz w:val="18"/>
          <w:szCs w:val="18"/>
          <w:color w:val="auto"/>
        </w:rPr>
      </w:pPr>
    </w:p>
    <w:p>
      <w:pPr>
        <w:jc w:val="both"/>
        <w:ind w:left="460" w:hanging="224"/>
        <w:spacing w:after="0" w:line="300"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Lowered the requirements that 75 percent of a borrower’s loan proceeds must be used for payroll costs and that 75 percent of the loan forgiveness amount must have been spent on payroll costs during the 24-week loan forgiveness covered period to 60 percent for each of these requirements. If a borrower uses less than 60 percent of the loan amount for payroll costs during the forgiveness covered period, the borrower will continue to be eligible for partial loan forgiveness, subject to at least 60 percent of the loan forgiveness amount having been used for payroll costs.</w:t>
      </w:r>
    </w:p>
    <w:p>
      <w:pPr>
        <w:spacing w:after="0" w:line="155" w:lineRule="exact"/>
        <w:rPr>
          <w:rFonts w:ascii="Arial" w:cs="Arial" w:eastAsia="Arial" w:hAnsi="Arial"/>
          <w:sz w:val="16"/>
          <w:szCs w:val="16"/>
          <w:color w:val="auto"/>
        </w:rPr>
      </w:pPr>
    </w:p>
    <w:p>
      <w:pPr>
        <w:jc w:val="both"/>
        <w:ind w:left="460" w:hanging="224"/>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Provided a safe harbor from reductions in loan forgiveness based on reductions in full-time equivalent employees for borrowers that are unable to return to the same level of business activity the business was operating at before February 15, 2020, due to compliance with requirements or guidance issued between March 1, 2020 and December 31, 2020 by the Secretary of Health and Human Services, the Director of the Centers for Disease Control and Prevention, or the Occupational Safety and Health Administration, related to worker or customer safety requirements related to COVID– 19.</w:t>
      </w:r>
    </w:p>
    <w:p>
      <w:pPr>
        <w:spacing w:after="0" w:line="19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Provided a safe harbor from reductions in loan forgiveness based on reductions in full-time equivalent employees, to provide protections for borrowers that are both unable to rehire individuals who were employees of the borrower on February 15, 2020, and unable to hire similarly qualified employees for unfilled positions by December 31, 2020.</w:t>
      </w:r>
    </w:p>
    <w:p>
      <w:pPr>
        <w:spacing w:after="0" w:line="18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to five years the maturity of PPP loans that are approved by the U.S. Small Business Administration, or the SBA, (based on the date SBA assigns a loan number) on or after June 5, 2020.</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Extended the deferral period for borrower payments of principal, interest, and fees on PPP loans to the date that SBA remits the borrower’s loan forgiveness amount to the lender (or, if the borrower does not apply for loan forgiveness, 10 months after the end of the borrower’s loan forgiveness covered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7" w:name="page78"/>
    <w:bookmarkEnd w:id="77"/>
    <w:p>
      <w:pPr>
        <w:jc w:val="both"/>
        <w:spacing w:after="0" w:line="288" w:lineRule="auto"/>
        <w:rPr>
          <w:sz w:val="20"/>
          <w:szCs w:val="20"/>
          <w:color w:val="auto"/>
        </w:rPr>
      </w:pPr>
      <w:r>
        <w:rPr>
          <w:rFonts w:ascii="Arial" w:cs="Arial" w:eastAsia="Arial" w:hAnsi="Arial"/>
          <w:sz w:val="16"/>
          <w:szCs w:val="16"/>
          <w:color w:val="auto"/>
        </w:rPr>
        <w:t>Based on the changes provided by the Flexibility Act we plan to take advantage of (i) the extended covered period for loan forgiveness from eight weeks to 24 weeks, (ii) the lowered requirement that a certain percentage of loan proceeds must be used for payroll costs from 75 percent to 60 percent, (iii) the extended deferral period for payments of principal, interest and fees from six months after loan disbursement to 10 months after the SBA remits the borrower’s loan forgiveness amount to the lender and (iv) any safe harbor provisions as applicable. We will be required to repay any portion of the outstanding principal that is not forgiven, along with accrued interest, in accordance with the amortization schedule described above. Based on the changes provided by the Flexibility Act we expect that substantially all of the PPP loan will be forgiven, however, we cannot provide any assurance that we will be eligible for loan forgiveness, or that any amount of the PPP Loan will ultimately be forgiven by the SBA. We submitted our application for loan forgiveness of the full amount of the PPP Loan under the applicable SBA guidance and are waiting for a decision on that application.</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of the CARES Act. The certification described above does not contain any objective criteria and is subject to interpretation. On April 23, 2020, the SBA issued guidance stating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given our company’s circumstances we satisfied all eligible requirements for the PPP Loan, we are later determined to have violated any of the laws or governmental regulations that apply to us in connection with the PPP Loan, such as the False Claims Act, or it is otherwise determined that we were ineligible to receive the PPP Loan, we may be subject to penalties, including significant civil, criminal and administrative penalties and could be required to repay the PPP Loan in its entirety. In addition, receipt of a PPP Loan may result in adverse publicity and damage to reputation, and a review or audit by the SBA or other government entity or claims under the False Claims Act could consume significant financial and management resources. Any of these events could have a material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8" w:name="page79"/>
    <w:bookmarkEnd w:id="78"/>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has been, and may in the future be, adversely affected by the effects of health epidemics, including the recent COVID-19 pandemic, in regions where we or third parties on which we rely have clinical trial sites or other business operations In addition, if COVID-19 continues to be a worldwide pandemic, it could materially affect our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business has been, and may continue to be, adversely affected by health epidemics, including the COVID-19 pandemic, in regions where we have significant manufacturing facilities, concentrations of clinical trial sites, or other business operations.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the COVID-19 outbreak, we have implemented limitations on our operations, including a work-from-home policy, and could face further limitations in our operations in the future. There is a risk that countries or regions may be less effective at containing COVID-19 than others, or it may be more difficult to contain if the outbreak reaches a larger population or broader geography, in which case the risks described herein could be elevated significantly.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our future clinical trials may be affected by the COVID-19 outbreak or other future health epidemics. Site initiation, patient enrollment, distribution of drug product candidates, study monitoring, and data collection may be delayed due to changes in hospital policies, local regulations, and/or prioritization of hospital resources toward the COVID-19 outbreak or other future health epidemics. If COVID-19 continues to spread or there are similar health epidemics in the future, some patients and clinical investigators may not be able to comply with clinical trial protocols. For example, quarantines may impede patient movement, affect sponsor access to study sites, or interrupt healthcare services, and we may be required to delay patient enrollment or unable to obtain patient data as a result.</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third-party manufacturing of our products and product candidates and suppliers of the materials used in the production of our product candidates may be impacted by restrictions resulting from the COVID-19 outbreak or other future health epidemics which may disrupt our supply chain or limit our ability to manufacture drug product candidates for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ultimate impact of the COVID-19 outbreak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To date, we have only two products approved by the FDA, AZSTARYS, a once-daily product for the treatment of ADHD in patients age six years and older, and APADAZ for the short-term (no more than 14 days) management of acute pain severe enough to require an opioid analgesic and for which alternative treatments are inadequate. We have not yet demonstrated an ability to manufacture a prodrug on a commercial scale, or arrange for a third party to do so, or conduct sales and marketing activities necessary for successful commercialization. Further, we cannot guarantee that Commave will be able to successfully commercialize AZSTARYS or any of our other product candidates subject to the KP415 License Agreement, if approved, that KVK will be able to successfully commercialize APADAZ, or that we will ever receive any payments under the KP415 License Agreement or the APADAZ License Agreement from commercial sales of AZSTARYS, APADAZ, or any of our other product candidates, if approved. Consequently, any predictions you make about our future success or viability may not be as accurate as they could be if we had a longer operating history.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0" w:name="page81"/>
    <w:bookmarkEnd w:id="80"/>
    <w:p>
      <w:pPr>
        <w:jc w:val="both"/>
        <w:spacing w:after="0" w:line="27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partnered products and product candidates that utilize benzhydrocodone and SDX as the API used in our clinical trials and with a sole source supplier for the manufacture of bulk quantities of benzhydrocodone and SDX used in the partnered products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any manufacturing facilities. We procure the bulk drug substances for AZSTARYS, KP484, APADAZ and KP879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AZSTARYS, APADAZ, or any of our other product candidates should they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2" w:lineRule="exact"/>
        <w:rPr>
          <w:sz w:val="20"/>
          <w:szCs w:val="20"/>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22" w:lineRule="exact"/>
        <w:rPr>
          <w:rFonts w:ascii="Arial" w:cs="Arial" w:eastAsia="Arial" w:hAnsi="Arial"/>
          <w:sz w:val="18"/>
          <w:szCs w:val="18"/>
          <w:color w:val="auto"/>
        </w:rPr>
      </w:pPr>
    </w:p>
    <w:p>
      <w:pPr>
        <w:jc w:val="both"/>
        <w:ind w:left="460" w:right="20" w:hanging="224"/>
        <w:spacing w:after="0" w:line="262"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events could be the basis for FDA action, including injunction, recall, seizure or total or partial suspension of production.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1" w:name="page82"/>
    <w:bookmarkEnd w:id="81"/>
    <w:p>
      <w:pPr>
        <w:jc w:val="both"/>
        <w:spacing w:after="0" w:line="262" w:lineRule="auto"/>
        <w:rPr>
          <w:sz w:val="20"/>
          <w:szCs w:val="20"/>
          <w:color w:val="auto"/>
        </w:rPr>
      </w:pPr>
      <w:r>
        <w:rPr>
          <w:rFonts w:ascii="Arial" w:cs="Arial" w:eastAsia="Arial" w:hAnsi="Arial"/>
          <w:sz w:val="18"/>
          <w:szCs w:val="18"/>
          <w:b w:val="1"/>
          <w:bCs w:val="1"/>
          <w:i w:val="1"/>
          <w:iCs w:val="1"/>
          <w:color w:val="auto"/>
        </w:rPr>
        <w:t>The facilities used by our contract manufacturers to manufacture AZSTARYS, APADAZ, and any of our other product candidates must be approved by the FDA pursuant to inspections that will be conducted after we submit our marketing application to the FDA, and these facilities could fail to obtain FDA approval.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other than through our contractual arrangements, control the manufacturing process of AZSTARYS, APADAZ,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AZSTARYS, APADAZ or any of our other product candidates or if it withdraws any such approval in the future, we may need to find alternative manufacturing facilities, which would significantly impact our ability to develop, obtain marketing approval for or market AZSTARYS, APADAZ, or any of our other product candidates, if approved.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for AZSTARYS, APADAZ and any of our other product candidates, if approved, our suppliers will be subject to regulatory requirements, covering manufacturing, testing, quality control and record keeping relating to AZSTARYS, APADAZ or any of our other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AZSTARYS, KP484 or KP879 bulk drug substance. If our current contract manufacturer for AZSTARYS, KP484 or KP879 bulk drug substance cannot perform as agreed, we may be required to replace such manufacturer and we may incur added costs and delays in identifying and qualifying any such replacement.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7"/>
          <w:szCs w:val="17"/>
          <w:b w:val="1"/>
          <w:bCs w:val="1"/>
          <w:i w:val="1"/>
          <w:iCs w:val="1"/>
          <w:color w:val="auto"/>
        </w:rPr>
        <w:t>We have entered into collaborations with Commave, to develop, manufacture and commercialize AZSTARYS and KP484 worldwide, and KVK, for the commercialization of APADAZ in the United States. In addition, we may seek collaborations with third parties for the development or commercialization of our other product candidates, or in other territories. If those collaborations are not successful, we may not be able to capitalize on the market potential of AZSTARYS, APADAZ, or any of our other product candidates, if approved.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entered into the KP415 License Agreement with Commave pursuant to which we granted an exclusive, worldwide license to Commave to develop, manufacture and commercialize AZSTARYS and KP484. We cannot guarantee that the K415 License Agreement with Commave will be successful or that we will receive any future payments under the KP415 License Agreement. For instance, Commave has the option to terminate the KP415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KP415 License Agreement, we cannot guarantee that we will receive any additional milestone or royalty payments under the KP415 License Agreement. In addition, under the KP415 License Agreement, we have limited control over the amount and timing of resources that Commave will dedicate to the development, manufacturing or commercialization of AZSTARYS and KP484, and we may not always agree with Commave’s efforts. Our ability to generate revenue under the KP415 License Agreement will depend, in part, on Commave’s ability to successfully perform the functions assigned to it under the KP415 License Agreement.</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under the APADAZ License Agreement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additional third-party collaborators for the commercialization of APADAZ outside of the United States or for the development or commercialization of any of our other product candidates, which are not subject to the KP415 License Agreement, or those that are subject to the KP415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AZSTARYS or APADAZ outside of the United States or any of our other product candidates. Our ability to generate revenue from these arrangements will depend on our collaborators’ abilities to successfully perform the functions assigned to them in these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Our collaborations with Commave and KVK, or combined the Collaborators, pose the following risks to us:</w:t>
      </w:r>
    </w:p>
    <w:p>
      <w:pPr>
        <w:spacing w:after="0" w:line="223" w:lineRule="exact"/>
        <w:rPr>
          <w:sz w:val="20"/>
          <w:szCs w:val="20"/>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Collaborators have significant discretion in determining the efforts and resources that they will apply to these collaborations;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Collaborators may not perform their obligations as expected;</w:t>
      </w:r>
    </w:p>
    <w:p>
      <w:pPr>
        <w:spacing w:after="0" w:line="222" w:lineRule="exact"/>
        <w:rPr>
          <w:rFonts w:ascii="Arial" w:cs="Arial" w:eastAsia="Arial" w:hAnsi="Arial"/>
          <w:sz w:val="18"/>
          <w:szCs w:val="18"/>
          <w:color w:val="auto"/>
        </w:rPr>
      </w:pPr>
    </w:p>
    <w:p>
      <w:pPr>
        <w:jc w:val="both"/>
        <w:ind w:left="460" w:hanging="224"/>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Collaborators may not pursue commercialization of AZSTARYS, APADAZ, or any of our other product candidates covered under the KP415 License Agreement, if approved, or may elect not to continue or renew commercialization programs based on post-approval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8"/>
          <w:szCs w:val="18"/>
          <w:color w:val="auto"/>
        </w:rPr>
      </w:pPr>
    </w:p>
    <w:p>
      <w:pPr>
        <w:jc w:val="both"/>
        <w:ind w:left="460" w:hanging="224"/>
        <w:spacing w:after="0" w:line="310"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Collaborators could independently develop, or develop with third parties, products that compete directly or indirectly with AZSTARYS, APADAZ, or any of our other products covered under the KP415 License Agreement, as applicable, if the Collaborators believe that competitive products are more likely to be successfully developed or can be commercialized under terms that are more economically attractive than ours;</w:t>
      </w:r>
    </w:p>
    <w:p>
      <w:pPr>
        <w:spacing w:after="0" w:line="146" w:lineRule="exact"/>
        <w:rPr>
          <w:rFonts w:ascii="Arial" w:cs="Arial" w:eastAsia="Arial" w:hAnsi="Arial"/>
          <w:sz w:val="16"/>
          <w:szCs w:val="16"/>
          <w:color w:val="auto"/>
        </w:rPr>
      </w:pPr>
    </w:p>
    <w:p>
      <w:pPr>
        <w:jc w:val="both"/>
        <w:ind w:left="460" w:hanging="224"/>
        <w:spacing w:after="0" w:line="284"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AZSTARYS, APADAZ, and any of our other products covered under the KP415 License Agreement may be viewed by the Collaborators as competitive with their own product candidates or products, which may cause the Collaborators to cease to devote resources to the commercialization of AZSTARYS, APADAZ, or any of our other products covered under the KP415 License Agreement, if approved;</w:t>
      </w:r>
    </w:p>
    <w:p>
      <w:pPr>
        <w:spacing w:after="0" w:line="166"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Collaborators may not commit sufficient resources to the development, marketing and distribution of AZSTARYS, APADAZ, and any of our other products covered under the KP415 License Agreement, as applicable;</w:t>
      </w:r>
    </w:p>
    <w:p>
      <w:pPr>
        <w:spacing w:after="0" w:line="170"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disagreements with the Collaborators, including disagreements over proprietary rights, contract interpretation or the preferred course of development or commercialization, might cause delays or termination of the development or commercialization of AZSTARYS, APADAZ, or any of our other products covered under the KP415 License Agreement, as applicable, might lead to additional responsibilities for us with respect to AZSTARYS, APADAZ, or any of our other products covered under the KP415 License Agreement, or might result in litigation or arbitration, any of which would be time-consuming and expensive;</w:t>
      </w:r>
    </w:p>
    <w:p>
      <w:pPr>
        <w:spacing w:after="0" w:line="190" w:lineRule="exact"/>
        <w:rPr>
          <w:rFonts w:ascii="Arial" w:cs="Arial" w:eastAsia="Arial" w:hAnsi="Arial"/>
          <w:sz w:val="18"/>
          <w:szCs w:val="18"/>
          <w:color w:val="auto"/>
        </w:rPr>
      </w:pPr>
    </w:p>
    <w:p>
      <w:pPr>
        <w:jc w:val="both"/>
        <w:ind w:left="460" w:hanging="224"/>
        <w:spacing w:after="0" w:line="339"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Collaborators may infringe the intellectual property rights of third parties, which may expose us to litigation and potential liability; and</w:t>
      </w:r>
    </w:p>
    <w:p>
      <w:pPr>
        <w:spacing w:after="0" w:line="234"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license agreements may be terminated by the Collaborators under specified circumstances and, if terminated, we could be required to raise additional capital to pursue further development or commercialization of AZSTARYS, APADAZ, or any of our other products covered under the KP415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we enter into any future collaborations we will face similar risks with any future collaborators as well.</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KP415 License Agreement, the APADAZ License Agreement, and any other licensing or collaboration agreements we may enter into may not lead to commercialization of AZSTARYS, commercialization of APADAZ, or development of KP484, KP879 or any of our other product candidates in the most efficient manner or at all. If Commave or KVK or a future collaborator of ours were to be involved in a business combination, the continued pursuit and emphasis on our drug development or commercialization program could be delayed, diminished or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If we are not able to establish collaborations for our product candidates, we may have to alter our development and commercialization plans.</w:t>
      </w:r>
    </w:p>
    <w:p>
      <w:pPr>
        <w:spacing w:after="0" w:line="24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prodrug development programs and the potential commercialization of our product candidates, if approved, will require substantial additional capital. For our product candidates, which are not subject to the terms of the KP415 License Agreement or the APADAZ License Agreement, we may need to collaborate with pharmaceutical and biotechnology companies for the development and potential commercialization of those product candidates.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agreements with Aquestive and Commave may inhibit our ability to enter into future collaborations with third parties.</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party to a termination agreement with Aquestive Therapeutics, or Aquestive, that may limit the value of any sale, license or commercialization of AZSTARYS, KP484 or KP879. Under this termination agreement, Aquestive has the right to receive a royalty amount equal to 10% of any value generated by AZSTARYS, KP484 or KP879, and any product candidates which contain SDX, including royalty payments on any license of AZSTARYS, KP484 or KP879, the sale of AZSTARYS, KP484 or KP879 to a third party or the commercialization of AZSTARYS, KP484 or KP879. As part of the KP415 License Agreement, we paid Aquestive a royalty equal to 10% of the license upfront payment we received in the third quarter of 2019, the regulatory milestone payment we received in the second quarter of 2020 and the regulatory milestone payment we received in April 2021.</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granted to Commave a right of first refusal to acquire, license or commercialize any Additional Product Candidate which contains SDX and excluding KP922,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 We cannot predict if these obligations will limit the value we may receive from any future sale or license of any Additional Product Candidate.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obtain and maintain trade secret protection or patent protection for our technology, AZSTARYS, APADAZ, or our other product candidates, or if the scope of the patent protection obtained is not sufficiently broad, our competitors could develop and commercialize technology and drugs similar or identical to ours, and our ability to successfully commercialize our technology, AZSTARYS, APADAZ, or our other product candidates, if approved, may be impaired.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success depends in large part on our ability to obtain and maintain trade secret protection of our proprietary LAT technology as well as patent protection in the United States and other countries with respect to AZSTARYS, APADAZ, and any of our other product candidates. We seek to protect our proprietary position by filing patent applications in the United States and abroad related to our product technology and product candidates. As part of the KP415 License Agreement, Commave obtained from us an exclusive, worldwide license to certain patents that cover AZSTARYS and KP484. In addition, as part of the APADAZ License Agreement, KVK obtained from us an exclusive license to certain patents that cover APADAZ.</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3" w:lineRule="exact"/>
        <w:rPr>
          <w:sz w:val="20"/>
          <w:szCs w:val="20"/>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acquire patent term extensions of certain patents, domestic or foreign, due to regulatory delays, among others, which may affect the term of enforceability of such patents over time;</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7" w:name="page88"/>
    <w:bookmarkEnd w:id="87"/>
    <w:p>
      <w:pPr>
        <w:ind w:left="224" w:right="540" w:hanging="224"/>
        <w:spacing w:after="0" w:line="275"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70" w:lineRule="exact"/>
        <w:rPr>
          <w:rFonts w:ascii="Arial" w:cs="Arial" w:eastAsia="Arial" w:hAnsi="Arial"/>
          <w:sz w:val="18"/>
          <w:szCs w:val="18"/>
          <w:color w:val="auto"/>
        </w:rPr>
      </w:pPr>
    </w:p>
    <w:p>
      <w:pPr>
        <w:jc w:val="both"/>
        <w:ind w:left="224" w:hanging="224"/>
        <w:spacing w:after="0" w:line="262"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82" w:lineRule="exact"/>
        <w:rPr>
          <w:rFonts w:ascii="Arial" w:cs="Arial" w:eastAsia="Arial" w:hAnsi="Arial"/>
          <w:sz w:val="18"/>
          <w:szCs w:val="18"/>
          <w:color w:val="auto"/>
        </w:rPr>
      </w:pPr>
    </w:p>
    <w:p>
      <w:pPr>
        <w:ind w:left="224" w:hanging="224"/>
        <w:spacing w:after="0"/>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22" w:lineRule="exact"/>
        <w:rPr>
          <w:rFonts w:ascii="Arial" w:cs="Arial" w:eastAsia="Arial" w:hAnsi="Arial"/>
          <w:sz w:val="18"/>
          <w:szCs w:val="18"/>
          <w:color w:val="auto"/>
        </w:rPr>
      </w:pPr>
    </w:p>
    <w:p>
      <w:pPr>
        <w:jc w:val="both"/>
        <w:ind w:left="224" w:hanging="224"/>
        <w:spacing w:after="0" w:line="277" w:lineRule="auto"/>
        <w:tabs>
          <w:tab w:leader="none" w:pos="2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assurance can be given that our patents would be declared by a court, domestic or foreign, to be valid or enforceable or that a competitor’s technology or product would be found by a court,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72" w:lineRule="exact"/>
        <w:rPr>
          <w:rFonts w:ascii="Arial" w:cs="Arial" w:eastAsia="Arial" w:hAnsi="Arial"/>
          <w:sz w:val="17"/>
          <w:szCs w:val="17"/>
          <w:color w:val="auto"/>
        </w:rPr>
      </w:pPr>
    </w:p>
    <w:p>
      <w:pPr>
        <w:jc w:val="both"/>
        <w:ind w:left="224" w:hanging="224"/>
        <w:spacing w:after="0" w:line="262"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2" w:lineRule="exact"/>
        <w:rPr>
          <w:rFonts w:ascii="Arial" w:cs="Arial" w:eastAsia="Arial" w:hAnsi="Arial"/>
          <w:sz w:val="18"/>
          <w:szCs w:val="18"/>
          <w:color w:val="auto"/>
        </w:rPr>
      </w:pPr>
    </w:p>
    <w:p>
      <w:pPr>
        <w:ind w:left="224" w:hanging="224"/>
        <w:spacing w:after="0"/>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22" w:lineRule="exact"/>
        <w:rPr>
          <w:rFonts w:ascii="Arial" w:cs="Arial" w:eastAsia="Arial" w:hAnsi="Arial"/>
          <w:sz w:val="18"/>
          <w:szCs w:val="18"/>
          <w:color w:val="auto"/>
        </w:rPr>
      </w:pPr>
    </w:p>
    <w:p>
      <w:pPr>
        <w:ind w:left="224" w:hanging="224"/>
        <w:spacing w:after="0" w:line="275"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70" w:lineRule="exact"/>
        <w:rPr>
          <w:rFonts w:ascii="Arial" w:cs="Arial" w:eastAsia="Arial" w:hAnsi="Arial"/>
          <w:sz w:val="18"/>
          <w:szCs w:val="18"/>
          <w:color w:val="auto"/>
        </w:rPr>
      </w:pPr>
    </w:p>
    <w:p>
      <w:pPr>
        <w:ind w:left="224" w:hanging="224"/>
        <w:spacing w:after="0"/>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dominating or intervening patents relevant to our product candidates of which we are not aware;</w:t>
      </w:r>
    </w:p>
    <w:p>
      <w:pPr>
        <w:spacing w:after="0" w:line="222" w:lineRule="exact"/>
        <w:rPr>
          <w:rFonts w:ascii="Arial" w:cs="Arial" w:eastAsia="Arial" w:hAnsi="Arial"/>
          <w:sz w:val="18"/>
          <w:szCs w:val="18"/>
          <w:color w:val="auto"/>
        </w:rPr>
      </w:pPr>
    </w:p>
    <w:p>
      <w:pPr>
        <w:ind w:left="224" w:hanging="224"/>
        <w:spacing w:after="0" w:line="275"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70" w:lineRule="exact"/>
        <w:rPr>
          <w:rFonts w:ascii="Arial" w:cs="Arial" w:eastAsia="Arial" w:hAnsi="Arial"/>
          <w:sz w:val="18"/>
          <w:szCs w:val="18"/>
          <w:color w:val="auto"/>
        </w:rPr>
      </w:pPr>
    </w:p>
    <w:p>
      <w:pPr>
        <w:ind w:left="224" w:hanging="224"/>
        <w:spacing w:after="0" w:line="305" w:lineRule="auto"/>
        <w:tabs>
          <w:tab w:leader="none" w:pos="2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48" w:lineRule="exact"/>
        <w:rPr>
          <w:rFonts w:ascii="Arial" w:cs="Arial" w:eastAsia="Arial" w:hAnsi="Arial"/>
          <w:sz w:val="17"/>
          <w:szCs w:val="17"/>
          <w:color w:val="auto"/>
        </w:rPr>
      </w:pPr>
    </w:p>
    <w:p>
      <w:pPr>
        <w:ind w:left="224" w:hanging="224"/>
        <w:spacing w:after="0"/>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3"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82550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04"/>
          </w:cols>
          <w:pgMar w:left="556" w:top="582" w:right="339" w:bottom="1440" w:gutter="0" w:footer="0" w:header="0"/>
        </w:sectPr>
      </w:pPr>
    </w:p>
    <w:bookmarkStart w:id="88" w:name="page89"/>
    <w:bookmarkEnd w:id="88"/>
    <w:p>
      <w:pPr>
        <w:jc w:val="both"/>
        <w:spacing w:after="0" w:line="339"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a third party may misappropriate or reverse engineer our proprietary LAT technology, which could limit our ability to stop others from using or commercializing similar or identical technology and resultant product candidates, product technology or prodrugs, or limit the duration of the trade secret protection of our proprietary LAT technology.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9" w:name="page90"/>
    <w:bookmarkEnd w:id="89"/>
    <w:p>
      <w:pPr>
        <w:jc w:val="both"/>
        <w:spacing w:after="0" w:line="27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0" w:name="page91"/>
    <w:bookmarkEnd w:id="90"/>
    <w:p>
      <w:pPr>
        <w:jc w:val="both"/>
        <w:spacing w:after="0" w:line="275"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reduce the scope of our intellectual property due to third-party intellectual property claims.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Furthermore, recent changes in U.S. patent law under the Leahy-Smith Act allow for post-issuance challenges to U.S. patents, including ex parte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nullify proceedings that can result in changes in scope or cancellation of patent claims.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1" w:name="page92"/>
    <w:bookmarkEnd w:id="91"/>
    <w:p>
      <w:pPr>
        <w:jc w:val="both"/>
        <w:spacing w:after="0" w:line="300"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rely on trademarks as one means to distinguish our product candidates that are approved for marketing from the products of our competitors. We have registered trademarks for LAT and KemPharm. In addition, we have solicited and applied for trademarks for the KemPharm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Outside of the U.S. we cannot be certain that any country</w:t>
      </w:r>
      <w:r>
        <w:rPr>
          <w:rFonts w:ascii="Arial" w:cs="Arial" w:eastAsia="Arial" w:hAnsi="Arial"/>
          <w:sz w:val="18"/>
          <w:szCs w:val="18"/>
          <w:color w:val="auto"/>
        </w:rPr>
        <w:t>’</w:t>
      </w:r>
      <w:r>
        <w:rPr>
          <w:rFonts w:ascii="Arial" w:cs="Arial" w:eastAsia="Arial" w:hAnsi="Arial"/>
          <w:sz w:val="18"/>
          <w:szCs w:val="18"/>
          <w:b w:val="1"/>
          <w:bCs w:val="1"/>
          <w:i w:val="1"/>
          <w:iCs w:val="1"/>
          <w:color w:val="auto"/>
        </w:rPr>
        <w:t>s patent or trademark office will not implement new rules that could seriously affect how we draft, file, prosecute and maintain patents, trademarks and patent and trademark applications.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to save costs. We may be forced to abandon or return the rights to specific patents due to a lack of financial resources.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Risks Related to the Commercialization of Our Partnered Products and Product Candidates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if approved, we may not be successful in commercializing any approved product candidate in the United States.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KP415 License Agreement to establish a collaboration for the commercialization of AZSTARYS and any of our other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3" w:lineRule="exact"/>
        <w:rPr>
          <w:sz w:val="20"/>
          <w:szCs w:val="20"/>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inability to access government and commercial health plan formularies or secure preferred coverage and adequate reimbursement levels;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45" w:lineRule="exact"/>
        <w:rPr>
          <w:rFonts w:ascii="Arial" w:cs="Arial" w:eastAsia="Arial" w:hAnsi="Arial"/>
          <w:sz w:val="16"/>
          <w:szCs w:val="16"/>
          <w:color w:val="auto"/>
        </w:rPr>
      </w:pPr>
    </w:p>
    <w:p>
      <w:pPr>
        <w:ind w:left="460" w:right="220" w:hanging="224"/>
        <w:spacing w:after="0" w:line="27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For instance, under the KP415 License Agreement we are entitled to receive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as well as sales milestones based on specified sales targets. In addition, we may not be successful in entering into arrangements with third parties to sell, market and distribute our product candidates in the future, or may be unable to do so on terms that are favorable to us. Further, under the APADAZ License Agreement, we and KVK will share the quarterly net profits of APADAZ by KVK in the United States at specified tiered percentages, with the portion we receive ranging from 30% to 50% of net profits. As a result, we will be entitled to a smaller portion of the net profits of any sales of APADAZ in the United States than if we had decided to sell, market and distribute APADAZ ourselves. We likely will have little control over such third parties, including Commave and KVK, and any of them may fail to devote the necessary resources and attention to sell and market AZSTARYS, APADAZ, or any of our other product candidates, if approved, effectively. Further, we may be liable for conduct of third parties, including Commave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AZSTARYS, APADAZ, or any of our other product candidates, if approved.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3" w:name="page94"/>
    <w:bookmarkEnd w:id="93"/>
    <w:p>
      <w:pPr>
        <w:jc w:val="both"/>
        <w:spacing w:after="0" w:line="305" w:lineRule="auto"/>
        <w:rPr>
          <w:sz w:val="20"/>
          <w:szCs w:val="20"/>
          <w:color w:val="auto"/>
        </w:rPr>
      </w:pPr>
      <w:r>
        <w:rPr>
          <w:rFonts w:ascii="Arial" w:cs="Arial" w:eastAsia="Arial" w:hAnsi="Arial"/>
          <w:sz w:val="17"/>
          <w:szCs w:val="17"/>
          <w:b w:val="1"/>
          <w:bCs w:val="1"/>
          <w:i w:val="1"/>
          <w:iCs w:val="1"/>
          <w:color w:val="auto"/>
        </w:rPr>
        <w:t>AZSTARYS, APADAZ, or any of our other product candidates that may receive marketing approval, may fail to achieve the degree of market acceptance by physicians, patients, third-party payors and others in the medical community necessary for commercial success.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AZSTARYS, APADAZ, or any of our other product candidates that may receive marketing approval, may fail to gain sufficient market acceptance by physicians, patients, third-party payors and others in the medical community. Despite the fact that APADAZ is now nationally available, we cannot guarantee that it will receive significant, if any, market acceptance in the United States. If AZSTARYS, APADAZ, or any of our other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AZSTARYS, APADAZ, or any of our other product candidates if approved for commercial sale, will depend on a number of factors, including:</w:t>
      </w:r>
    </w:p>
    <w:p>
      <w:pPr>
        <w:spacing w:after="0" w:line="179" w:lineRule="exact"/>
        <w:rPr>
          <w:sz w:val="20"/>
          <w:szCs w:val="20"/>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most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2" w:lineRule="exact"/>
        <w:rPr>
          <w:rFonts w:ascii="Arial" w:cs="Arial" w:eastAsia="Arial" w:hAnsi="Arial"/>
          <w:sz w:val="18"/>
          <w:szCs w:val="18"/>
          <w:color w:val="auto"/>
        </w:rPr>
      </w:pPr>
    </w:p>
    <w:p>
      <w:pPr>
        <w:ind w:left="460" w:hanging="224"/>
        <w:spacing w:after="0" w:line="339"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steps that prescribers and dispensers must take, since AZSTARYS and APADAZ are, and we expect that most of our other product candidates are likely going to be, considered controlled substances, as well as the perceived risks based upon their controlled substance status;</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restrictions on the use, sale or distribution of AZSTARYS, APADAZ, or any of our other product candidates, including through REMS; and</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4" w:name="page95"/>
    <w:bookmarkEnd w:id="94"/>
    <w:p>
      <w:pPr>
        <w:jc w:val="both"/>
        <w:spacing w:after="0" w:line="27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AZSTARYS, and, if approved, KP484 will compete against currently marketed, branded and generic methylphenidate products for the treatment of ADHD. Some of these currently marketed products include Janssen’s CONCERTA,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Currently, there are no approved drugs in the United States for the treatment of IH. If approved, KP1077 could face competition from any products for the treatment of IH that are currently in or which may enter into clinical development.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APADAZ competes against currently marketed, branded and generic IR hydrocodone/APAP combination products indicated for the short-term management of acute pain. In addition, APADAZ will face potential competition from any IR or hydrocodone/APAP combination products for the short-term management of acute pain that are currently in or may enter into clinical development.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i w:val="1"/>
          <w:iCs w:val="1"/>
          <w:color w:val="auto"/>
        </w:rPr>
        <w:t>We may not be able to obtain either five-year FDA regulatory exclusivity as a new chemical entity or three-year FDA regulatory exclusivity.</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6" w:name="page97"/>
    <w:bookmarkEnd w:id="96"/>
    <w:p>
      <w:pPr>
        <w:jc w:val="both"/>
        <w:spacing w:after="0" w:line="275" w:lineRule="auto"/>
        <w:rPr>
          <w:sz w:val="20"/>
          <w:szCs w:val="20"/>
          <w:color w:val="auto"/>
        </w:rPr>
      </w:pPr>
      <w:r>
        <w:rPr>
          <w:rFonts w:ascii="Arial" w:cs="Arial" w:eastAsia="Arial" w:hAnsi="Arial"/>
          <w:sz w:val="18"/>
          <w:szCs w:val="18"/>
          <w:b w:val="1"/>
          <w:bCs w:val="1"/>
          <w:i w:val="1"/>
          <w:iCs w:val="1"/>
          <w:color w:val="auto"/>
        </w:rPr>
        <w:t>Even if we or our collaborators are able to commercialize AZSTARYS, APADAZ, or any of our other product candidates, they may be subject to unfavorable pricing regulations, third-party coverage and reimbursement policies.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successful commercialization of AZSTARYS, APADAZ, and any of our other product candidates will depend, in part, on the extent to which coverage and adequate reimbursement for AZSTARYS, APADAZ, or any of our other product candidates,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AZSTARYS, APADAZ, or any of our other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AZSTARYS under the KP415 License Agreement, APADAZ under the APADAZ License Agreement, or commercialize any of our other product candidates for which marketing approval is obtained.</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AZSTARYS, APADAZ, or any of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AZSTARYS under the KP415 License Agreement, APADAZ under the APADAZ License Agreement, or our ability to sell any of any of our other product candidates profitably if they are approved for sale.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8" w:name="page99"/>
    <w:bookmarkEnd w:id="98"/>
    <w:p>
      <w:pPr>
        <w:jc w:val="both"/>
        <w:spacing w:after="0" w:line="27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AZSTARYS, APADAZ or any of our other product candidates that we may develop.</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as AZSTARYS, APADAZ and any of our other product candidates that may be approved in the future, are commercialized. This includes the risk that our products may be misused. For example, AZSTARYS and APADAZ do, and we anticipate that any of our other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62" w:lineRule="exact"/>
        <w:rPr>
          <w:sz w:val="20"/>
          <w:szCs w:val="20"/>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for AZSTARYS, APADAZ and any of our other product candidates that we may develop;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inability to successfully commercialize AZSTARYS, APADAZ, or any of our other product candidates that might be approved in the future.</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3" w:lineRule="exact"/>
        <w:rPr>
          <w:sz w:val="20"/>
          <w:szCs w:val="20"/>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right="580" w:hanging="224"/>
        <w:spacing w:after="0" w:line="27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and clinical trial participant data;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AZSTARYS, APADAZ and any of our other product candidates from being marketed abroad.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variety of risks associated with marketing AZSTARYS, APADAZ and any of our other product candidates internationally, if approved, could affect our business.</w:t>
      </w:r>
    </w:p>
    <w:p>
      <w:pPr>
        <w:spacing w:after="0" w:line="17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may seek regulatory approval for AZSTARYS, APADAZ and any of our other product candidates, if approved, outside of the United States and, accordingly, we expect that we will be subject to additional risks related to operating in foreign countries if we obtain the necessary approvals, including:</w:t>
      </w:r>
    </w:p>
    <w:p>
      <w:pPr>
        <w:spacing w:after="0" w:line="125" w:lineRule="exact"/>
        <w:rPr>
          <w:sz w:val="20"/>
          <w:szCs w:val="20"/>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1" w:name="page102"/>
    <w:bookmarkEnd w:id="101"/>
    <w:p>
      <w:pPr>
        <w:jc w:val="both"/>
        <w:spacing w:after="0" w:line="258" w:lineRule="auto"/>
        <w:rPr>
          <w:sz w:val="20"/>
          <w:szCs w:val="20"/>
          <w:color w:val="auto"/>
        </w:rPr>
      </w:pPr>
      <w:r>
        <w:rPr>
          <w:rFonts w:ascii="Arial" w:cs="Arial" w:eastAsia="Arial" w:hAnsi="Arial"/>
          <w:sz w:val="18"/>
          <w:szCs w:val="18"/>
          <w:b w:val="1"/>
          <w:bCs w:val="1"/>
          <w:i w:val="1"/>
          <w:iCs w:val="1"/>
          <w:color w:val="auto"/>
        </w:rPr>
        <w:t>AZSTARYS is, APADAZ is, and any of our other product candidates for which we obtain marketing approval could be, subject to post-marketing restrictions or recall or withdrawal from the market, and we may be subject to penalties if we or our collaborators fail to comply with regulatory requirements or if we or our collaborators experience unanticipated problems with AZSTARYS, APADAZ or any of our other product candidates when and if any of them are approved.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AZSTARYS is, APADAZ is, and any of our other product candidates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For example, we are required to conduct pediatric studies related to AZSTARYS to determine its safety and effectiveness for the claimed indication in pediatric patients. Under the KP415 License Agreement, Commave will be responsible for these regulatory activities going forward, and we cannot guarantee they will be complied with. In addition, we are required to conduct pediatric studies related to APADAZ to determine its safety and effectiveness for the claimed indication in pediatric patients. Under the APADAZ License Agreement, KVK will be responsible for these regulatory activities going forward, and we cannot guarantee they will be complied with.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AZSTARYS and APADAZ are, and if marketing approval of any of our other product candidates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w:t>
      </w:r>
    </w:p>
    <w:p>
      <w:pPr>
        <w:spacing w:after="0" w:line="1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AZSTARYS and APADAZ do, and if any of our other product candidates receive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we expect that at least some of our product candidates would likely be required to carry boxed warnings, including warnings regarding tampering, lethality if our oral tablets or capsules are prepared for injection and hepatotoxicity.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2" w:name="page103"/>
    <w:bookmarkEnd w:id="102"/>
    <w:p>
      <w:pPr>
        <w:spacing w:after="0" w:line="275"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1" w:lineRule="exact"/>
        <w:rPr>
          <w:sz w:val="20"/>
          <w:szCs w:val="20"/>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warnings or other restrictions on the product’s indicated use, label or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3" w:name="page104"/>
    <w:bookmarkEnd w:id="103"/>
    <w:p>
      <w:pPr>
        <w:jc w:val="both"/>
        <w:spacing w:after="0" w:line="262"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38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our products, as well as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89" w:lineRule="exact"/>
        <w:rPr>
          <w:sz w:val="20"/>
          <w:szCs w:val="20"/>
          <w:color w:val="auto"/>
        </w:rPr>
      </w:pPr>
    </w:p>
    <w:p>
      <w:pPr>
        <w:jc w:val="both"/>
        <w:ind w:left="460" w:hanging="224"/>
        <w:spacing w:after="0" w:line="25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4" w:name="page105"/>
    <w:bookmarkEnd w:id="104"/>
    <w:p>
      <w:pPr>
        <w:jc w:val="both"/>
        <w:ind w:left="460" w:hanging="224"/>
        <w:spacing w:after="0" w:line="29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61" w:lineRule="exact"/>
        <w:rPr>
          <w:rFonts w:ascii="Arial" w:cs="Arial" w:eastAsia="Arial" w:hAnsi="Arial"/>
          <w:sz w:val="16"/>
          <w:szCs w:val="16"/>
          <w:color w:val="auto"/>
        </w:rPr>
      </w:pPr>
    </w:p>
    <w:p>
      <w:pPr>
        <w:jc w:val="both"/>
        <w:ind w:left="460" w:hanging="224"/>
        <w:spacing w:after="0" w:line="262"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rFonts w:ascii="Arial" w:cs="Arial" w:eastAsia="Arial" w:hAnsi="Arial"/>
          <w:sz w:val="18"/>
          <w:szCs w:val="18"/>
          <w:color w:val="auto"/>
        </w:rPr>
      </w:pPr>
    </w:p>
    <w:p>
      <w:pPr>
        <w:jc w:val="both"/>
        <w:ind w:left="460" w:hanging="224"/>
        <w:spacing w:after="0" w:line="253"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2"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w:t>
      </w:r>
    </w:p>
    <w:p>
      <w:pPr>
        <w:spacing w:after="0" w:line="190" w:lineRule="exact"/>
        <w:rPr>
          <w:rFonts w:ascii="Arial" w:cs="Arial" w:eastAsia="Arial" w:hAnsi="Arial"/>
          <w:sz w:val="18"/>
          <w:szCs w:val="18"/>
          <w:color w:val="auto"/>
        </w:rPr>
      </w:pPr>
    </w:p>
    <w:p>
      <w:pPr>
        <w:jc w:val="both"/>
        <w:ind w:left="460" w:hanging="224"/>
        <w:spacing w:after="0" w:line="288"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or the ACA, and its implementing regulations, which imposes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and, beginning in 2022, will require applicable manufacturers to report information regarding payments and other transfers of value provided during the previous year to physician assistants, nurse practitioners, clinical nurse specialists, certified nurse anesthetists, anesthesiologist assistants and certified nurse-midwives; and</w:t>
      </w:r>
    </w:p>
    <w:p>
      <w:pPr>
        <w:spacing w:after="0" w:line="168"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comparable state and foreign laws, which may be broader in scope than the analogous federal laws and may differ from each other in significant ways.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affect our sales, marketing, and other promotional activities by imposing administrative and compliance burdens on us.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5" w:name="page106"/>
    <w:bookmarkEnd w:id="105"/>
    <w:p>
      <w:pPr>
        <w:jc w:val="both"/>
        <w:spacing w:after="0" w:line="378"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our product candidates and increase the cost to commercialize AZSTARYS, APADAZ and any of our product candidates that may be approved in the future and affect the prices thereof.</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AZSTARYS under the KP415 License Agreement or APADAZ under the APADAZ License Agreement and our ability to profitably sell any of our other product candidates for which we obtain marketing approval.</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3" w:lineRule="exact"/>
        <w:rPr>
          <w:sz w:val="20"/>
          <w:szCs w:val="20"/>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jc w:val="both"/>
        <w:ind w:left="460" w:hanging="224"/>
        <w:spacing w:after="0" w:line="284"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66"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82"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6" w:name="page107"/>
    <w:bookmarkEnd w:id="106"/>
    <w:p>
      <w:pPr>
        <w:jc w:val="both"/>
        <w:spacing w:after="0" w:line="284"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due to subsequent legislative amendments, including the BBA, will stay in effect through 2030 with the exception of a temporary suspension from May 1, 2020 through March 31, 2021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8" w:name="page109"/>
    <w:bookmarkEnd w:id="108"/>
    <w:p>
      <w:pPr>
        <w:jc w:val="both"/>
        <w:spacing w:after="0" w:line="325" w:lineRule="auto"/>
        <w:rPr>
          <w:sz w:val="20"/>
          <w:szCs w:val="20"/>
          <w:color w:val="auto"/>
        </w:rPr>
      </w:pPr>
      <w:r>
        <w:rPr>
          <w:rFonts w:ascii="Arial" w:cs="Arial" w:eastAsia="Arial" w:hAnsi="Arial"/>
          <w:sz w:val="15"/>
          <w:szCs w:val="15"/>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Despite the implementation of security measures, our information technology systems and data, and those of our CROs and other third parties on which we rely, are vulnerable to system failure, interruption, compromise or damage from several sources, such as data corruption; breakdown; malicious human acts;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and telecommunication and electrical failures. Moreover,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service providers, partners, or other relevant third parties have experienced, or in the future experience, any security incident(s) that result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(e.g., laws and regulations that address data privacy and security, including, without limitation, personal data such as health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information privacy laws (e.g., the California Consumer Privacy Act of 2018, or CCPA),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CCPA became effective on January 1, 2020. The CCPA gives California residents expanded rights to access and delete their personal information, opt out of certain personal information sharing and receive detailed information about how their personal information is used. The CCPA requires covered entities to provide new disclosures to California residents. The CCPA provides for civil penalties for violations, as well as a private right of action and statutory damages for data breaches that is expected to increase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the CPRA, becomes operative. The CPRA will, among other things, give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These laws demonstrate our vulnerability to the evolving regulatory environment related to personal data. As we expand our operations, these and similar laws may increase our compliance costs and potential liability.</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Foreign data protection laws, such as, without limitation, the EU’s GDPR and member state data protection laws, may also apply to health-related and other personal information that we process, including, without limitation, personal data relating to clinical trial participants. European data protection laws impose strict obligations on the ability to process health-related and other personal information of data subjects in Europe, including, among other things, standards relating to the privacy and security of personal data, which require the adoption of administrative, physical and technical safeguards designed to protect such information. The United Kingdom’s vote in favor of exiting the EU, often referred to as Brexit, has created uncertainty with regard to data protection regulation in the United Kingdom. Beginning in 2021, the UK will be a “third country” under the GDPR and transfers of European personal information to the U.K. will require an adequacy mechanism to render such transfers compliant under the GDPR. European data protection laws may affect our use, collection, analysis, and transfer (including cross-border transfer) of such personal information. These laws include several requirements relating to transparency related to communications with data subjects regarding the processing of their personal data, obtaining the consent of the individuals to whom the personal data relates, limitations on data processing, establishing a legal basis for processing, notification of data processing obligations or security incidents to appropriate data protection authorities or data subjects, the security and confidentiality of the personal data and various rights that data subjects may exercise.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0" w:name="page111"/>
    <w:bookmarkEnd w:id="110"/>
    <w:p>
      <w:pPr>
        <w:jc w:val="both"/>
        <w:spacing w:after="0" w:line="267" w:lineRule="auto"/>
        <w:rPr>
          <w:sz w:val="20"/>
          <w:szCs w:val="20"/>
          <w:color w:val="auto"/>
        </w:rPr>
      </w:pPr>
      <w:r>
        <w:rPr>
          <w:rFonts w:ascii="Arial" w:cs="Arial" w:eastAsia="Arial" w:hAnsi="Arial"/>
          <w:sz w:val="17"/>
          <w:szCs w:val="17"/>
          <w:color w:val="auto"/>
        </w:rPr>
        <w:t>European data protection laws prohibit the transfer, without an appropriate legal basis, of personal data to countries outside of Europe, such as to the United States, which are not considered by the relevant authorities to provide an adequate level of data protection. A decision by the Court of Justice of the European Union, or the Schrems II ruling, invalidated the EU-U.S. Privacy Shield Framework,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The United Kingdom, whose data protection laws are similar to those of the European Union, may similarly determine that the EU-U.S. Privacy Shield is not a valid mechanism for lawfully transferring personal data from the United Kingdom to the United States. The European Commission recently proposed updates to the SCCs, and additional regulatory guidance has been released that seeks to impose additional obligations on entities that rely on the SCCs. Given that, at present, there are few, if any, alternatives to the EU-U.S. Privacy Shield and the SCCs, any transfers by us or our vendors of personal data from Europe may not comply with European data protection laws, which may increase our exposure to such laws’ sanctions for violations of its cross-border transfer restrictions and may prohibit our transfer of European personal data outside of Europe, and may adversely impact our operations, product development and ability to provide our products. Additionally, other countries have passed or are considering passing laws requiring local data residency and/or restricting the international transfer of data.</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example, under the GDPR, regulators may impose substantial fines and penalties for non-compliance. Entities that violate the GDPR can face fines of up to the greater of 20 million Euros or 4% of their worldwide annual turnover (revenue). Additionally, regulators could prohibit our use of personal data subject to the GDPR. The GDPR has increased our responsibility and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Any of these matters could materially adversely affect our business, financial condition, or operational results.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Travis C. Mickle, Ph.D., our president and chief executive officer, R. LaDuane Clifton, CPA, our chief financial officer, and Sven Guenther, Ph.D., our executive vice president research and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May 9, 2021.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59" w:lineRule="exact"/>
        <w:rPr>
          <w:sz w:val="20"/>
          <w:szCs w:val="20"/>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conditions or trends in our industry, including without limitation changes in the structure of healthcare payment systems;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pharmaceutical industry;</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 regulatory announcements or determinations regarding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 factors described above are not within our control. For instance, in May 2016, we announced that the Anesthetic and Analgesic Drug Products Advisory Committee and the Drug Safety and Risk Management Advisory Committee of the FDA voted 16 to 4 for the approval of APADAZ but voted 18 to 2 against inclusion of abuse-deterrent labeling for APADAZ. The announcement was followed by a substantial decrease in the trading price of our common stock on Nasdaq. Additionally, when we announced in June 2016 that the FDA had issued a CRL for the APADAZ NDA, the trading price of our common stock on Nasdaq was subject to another substantial decrease. We cannot guarantee that future announcements will not have similar effects on the trading price of our common stock.</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In June 2018, the case was dismissed without prejudice to members of the putative class. Future litigation could cause us to incur substantial costs and divert management’s attention and resources from our business. Further, companies listed on The Nasdaq Capital Market, and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A portion of our outstanding warrants are entitled to certain anti-dilution protections which, if triggered, may cause dilution to your investment.</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Deerfield Warrant (as defined below) includes an exercise price protection provision, pursuant to which the exercise price of the Deerfield Warrant will be adjusted downward on a broad-based weighted-average basis if we issue or sell any shares of common stock, convertible securities, warrants or options at a sale or exercise price per share less than the greater of (i) $46.25 per share, which represents the Deerfield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Deerfield Warrant will be adjusted downward pursuant to this anti-dilution adjustment only if such sales are made at a price less than $46.25 per share, provided that this anti-dilution adjustment will not apply to certain specified sales. For example, in January 2021, we entered into the Inducement Letters with certain holders of the Existing Warrants, pursuant to which such holders exercised for cash their Existing Warrants to purchase 6,620,358 shares of our common stock in exchange for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had an exercise price of $6.36 per share. The completion of this transaction resulted in the exercise price of the Deerfield Warrant being adjusted downward to $46.25 per share from its pre-transaction exercise price of $93.60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instance in January 2021, we issued and sold 6,765,463 shares of our common stock, pre-funded warrants to purchase 926,844 shares of our common stock and warrants to purchase 7,692,307 shares of our common stock at an exercise price per share of $6.50 in the Public Offering.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Also in January 2021, we entered into the Inducement Letters with certain holders of the Existing Warrants, pursuant to which such holders exercised for cash their Existing Warrants to purchase 6,620,358 shares of our common stock in exchange for the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Inducement Warrants was $0.125 per share underlying each Inducement Warrant, and the Inducement Warrants have an exercise price of $6.36 per share.</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the holders of any of these warrants elect to exercise such warrants and receive shares of common stock, your ownership interest will be diluted and the market price of our common stock may be materially and adversely effected.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our stockholders may experience additional dilution, which could cause our stock price to fall.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4" w:name="page115"/>
    <w:bookmarkEnd w:id="114"/>
    <w:p>
      <w:pPr>
        <w:jc w:val="both"/>
        <w:spacing w:after="0" w:line="275" w:lineRule="auto"/>
        <w:rPr>
          <w:sz w:val="20"/>
          <w:szCs w:val="20"/>
          <w:color w:val="auto"/>
        </w:rPr>
      </w:pPr>
      <w:r>
        <w:rPr>
          <w:rFonts w:ascii="Arial" w:cs="Arial" w:eastAsia="Arial" w:hAnsi="Arial"/>
          <w:sz w:val="18"/>
          <w:szCs w:val="18"/>
          <w:b w:val="1"/>
          <w:bCs w:val="1"/>
          <w:i w:val="1"/>
          <w:iCs w:val="1"/>
          <w:color w:val="auto"/>
        </w:rPr>
        <w:t>The accounting method for the Deerfield Warrant and the warrant we issued to KVK under the APADAZ License Agreement could have a material effect on our reported financial results.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Deerfield Warrant and the warrant we issued to KVK under the APADAZ License Agreement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filed several registration statements covering the resale of the shares of our common stock issued or issuable upon the exercise of various warrants. If these additional shares are sold, or if it is perceived that they will be sold, in the public market, the trading price of our common stock could decline.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5" w:name="page116"/>
    <w:bookmarkEnd w:id="115"/>
    <w:p>
      <w:pPr>
        <w:jc w:val="both"/>
        <w:spacing w:after="0" w:line="262"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74" w:lineRule="exact"/>
        <w:rPr>
          <w:sz w:val="20"/>
          <w:szCs w:val="20"/>
          <w:color w:val="auto"/>
        </w:rPr>
      </w:pPr>
    </w:p>
    <w:p>
      <w:pPr>
        <w:ind w:left="460" w:hanging="224"/>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245"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provisions of our termination agreement with Aquestive and the Deerfield Warrant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KP484 or KP879.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A takeover of us may trigger the requirement that we repurchase the Deerfield Warrant, which could make it more costly for a potential acquirer to engage in a business combination transaction with us.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6" w:name="page117"/>
    <w:bookmarkEnd w:id="116"/>
    <w:p>
      <w:pPr>
        <w:jc w:val="both"/>
        <w:spacing w:after="0" w:line="262"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other employees.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March 31, 2021, we had federal net operating loss carryforwards of approximately $226.0 million, due to prior period losses, $138.1 million of which, if not utilized, will begin to expire in 2027. These net operating loss carryforwards could expire unused and be unavailable to offset future income tax liabilities, which could adversely affect our profitability.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7" w:name="page118"/>
    <w:bookmarkEnd w:id="117"/>
    <w:p>
      <w:pPr>
        <w:jc w:val="both"/>
        <w:spacing w:after="0" w:line="275"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controls over financial reporting. We have performed system and process evaluation and testing of our internal controls over financial reporting to allow management to report on the effectiveness of our internal controls over financial reporting, as required by Section 404 of the Sarbanes-Oxley Act. We will be required to perform this evaluation and testing of our internal controls over financial reporting to allow management to report on the effectiveness of our internal controls over financial reporting on an annual basis. This requires that we incur substantial additional professional fees and internal costs and that we expend significant management efforts on an annual basis. We have and will be required to test our internal controls within a specified period, and, as a result, we may experience difficulty in meeting these reporting requirements.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9" w:name="page120"/>
    <w:bookmarkEnd w:id="119"/>
    <w:p>
      <w:pPr>
        <w:ind w:right="2879"/>
        <w:spacing w:after="0" w:line="50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120" w:name="page121"/>
    <w:bookmarkEnd w:id="120"/>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list of exhibits filed as part of this Form 10-Q (the SEC file number for all items incorporated by reference herein from reports on Forms 10-K, 10-Q, and 8-K is 001-36913):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12"/>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14"/>
                <w:szCs w:val="14"/>
                <w:color w:val="auto"/>
              </w:rPr>
            </w:pPr>
          </w:p>
        </w:tc>
        <w:tc>
          <w:tcPr>
            <w:tcW w:w="9980" w:type="dxa"/>
            <w:vAlign w:val="bottom"/>
            <w:tcBorders>
              <w:top w:val="single" w:sz="8" w:color="auto"/>
              <w:bottom w:val="single" w:sz="8" w:color="0000EE"/>
            </w:tcBorders>
            <w:gridSpan w:val="22"/>
          </w:tcPr>
          <w:p>
            <w:pPr>
              <w:spacing w:after="0" w:line="168"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Amended and Restated Certificate of Incorporation of KemPharm, Inc. (incorporated herein by reference to the Registrant’s Current</w:t>
              </w:r>
            </w:hyperlink>
          </w:p>
        </w:tc>
        <w:tc>
          <w:tcPr>
            <w:tcW w:w="20" w:type="dxa"/>
            <w:vAlign w:val="bottom"/>
            <w:tcBorders>
              <w:bottom w:val="single" w:sz="8" w:color="0000EE"/>
            </w:tcBorders>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r:id="rId148">
              <w:r>
                <w:rPr>
                  <w:rFonts w:ascii="Arial" w:cs="Arial" w:eastAsia="Arial" w:hAnsi="Arial"/>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Certificate of Amendment of Amended and Restated Certificate of Incorporation of the Company, effective as of December 23, 2020</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90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3.1.2</w:t>
            </w: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Amended and Restated Certificate of Designation of Preferences, Rights and Limitations of Series B-2 Convertible Preferred Stock of</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80" w:type="dxa"/>
            <w:vAlign w:val="bottom"/>
            <w:tcBorders>
              <w:bottom w:val="single" w:sz="8" w:color="0000EE"/>
            </w:tcBorders>
            <w:gridSpan w:val="22"/>
          </w:tcPr>
          <w:p>
            <w:pPr>
              <w:spacing w:after="0" w:line="195"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KemPharm, Inc. (incorporated herein by reference to the Registrant's Current Report on Form 8-K as filed with the SEC on January 13,</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0000EE"/>
            </w:tcBorders>
          </w:tcPr>
          <w:p>
            <w:pPr>
              <w:spacing w:after="0" w:line="195" w:lineRule="exact"/>
              <w:rPr>
                <w:rFonts w:ascii="Arial" w:cs="Arial" w:eastAsia="Arial" w:hAnsi="Arial"/>
                <w:sz w:val="18"/>
                <w:szCs w:val="18"/>
                <w:color w:val="0000EE"/>
                <w:w w:val="82"/>
              </w:rPr>
            </w:pPr>
            <w:hyperlink r:id="rId150">
              <w:r>
                <w:rPr>
                  <w:rFonts w:ascii="Arial" w:cs="Arial" w:eastAsia="Arial" w:hAnsi="Arial"/>
                  <w:sz w:val="18"/>
                  <w:szCs w:val="18"/>
                  <w:color w:val="0000EE"/>
                  <w:w w:val="82"/>
                </w:rPr>
                <w:t>2021).</w:t>
              </w:r>
            </w:hyperlink>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Amended and Restated Bylaws, as currently in effect, of KemPharm, Inc. (incorporated herein by reference to the Registrant's Current</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r:id="rId151">
              <w:r>
                <w:rPr>
                  <w:rFonts w:ascii="Arial" w:cs="Arial" w:eastAsia="Arial" w:hAnsi="Arial"/>
                  <w:sz w:val="18"/>
                  <w:szCs w:val="18"/>
                  <w:color w:val="0000EE"/>
                </w:rPr>
                <w:t>Report on Form 8-K as filed with the SEC on July 17, 2020).</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Reference is made to </w:t>
            </w:r>
            <w:hyperlink w:anchor="page121">
              <w:r>
                <w:rPr>
                  <w:rFonts w:ascii="Arial" w:cs="Arial" w:eastAsia="Arial" w:hAnsi="Arial"/>
                  <w:sz w:val="18"/>
                  <w:szCs w:val="18"/>
                  <w:color w:val="0000EE"/>
                </w:rPr>
                <w:t>Exhibit 3.1</w:t>
              </w:r>
            </w:hyperlink>
            <w:r>
              <w:rPr>
                <w:rFonts w:ascii="Arial" w:cs="Arial" w:eastAsia="Arial" w:hAnsi="Arial"/>
                <w:sz w:val="18"/>
                <w:szCs w:val="18"/>
                <w:color w:val="auto"/>
              </w:rPr>
              <w:t xml:space="preserve">, </w:t>
            </w:r>
            <w:hyperlink w:anchor="page121">
              <w:r>
                <w:rPr>
                  <w:rFonts w:ascii="Arial" w:cs="Arial" w:eastAsia="Arial" w:hAnsi="Arial"/>
                  <w:sz w:val="18"/>
                  <w:szCs w:val="18"/>
                  <w:color w:val="0000EE"/>
                </w:rPr>
                <w:t>Exhibit 3.1.1</w:t>
              </w:r>
            </w:hyperlink>
            <w:r>
              <w:rPr>
                <w:rFonts w:ascii="Arial" w:cs="Arial" w:eastAsia="Arial" w:hAnsi="Arial"/>
                <w:sz w:val="18"/>
                <w:szCs w:val="18"/>
                <w:color w:val="auto"/>
              </w:rPr>
              <w:t xml:space="preserve">, </w:t>
            </w:r>
            <w:hyperlink w:anchor="page121">
              <w:r>
                <w:rPr>
                  <w:rFonts w:ascii="Arial" w:cs="Arial" w:eastAsia="Arial" w:hAnsi="Arial"/>
                  <w:sz w:val="18"/>
                  <w:szCs w:val="18"/>
                  <w:color w:val="0000EE"/>
                </w:rPr>
                <w:t>Exhibit 3.1.2</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121">
              <w:r>
                <w:rPr>
                  <w:rFonts w:ascii="Arial" w:cs="Arial" w:eastAsia="Arial" w:hAnsi="Arial"/>
                  <w:sz w:val="18"/>
                  <w:szCs w:val="18"/>
                  <w:color w:val="0000EE"/>
                </w:rPr>
                <w:t>Exhibit 3.2</w:t>
              </w:r>
              <w:r>
                <w:rPr>
                  <w:rFonts w:ascii="Arial" w:cs="Arial" w:eastAsia="Arial" w:hAnsi="Arial"/>
                  <w:sz w:val="18"/>
                  <w:szCs w:val="18"/>
                  <w:color w:val="auto"/>
                </w:rPr>
                <w:t xml:space="preserve"> </w:t>
              </w:r>
            </w:hyperlink>
            <w:r>
              <w:rPr>
                <w:rFonts w:ascii="Arial" w:cs="Arial" w:eastAsia="Arial" w:hAnsi="Arial"/>
                <w:sz w:val="18"/>
                <w:szCs w:val="18"/>
                <w:color w:val="auto"/>
              </w:rPr>
              <w:t>hereof.</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Form of Series A Common Stock Purchase Warrant (incorporated by reference to Exhibit 4.10 of the Company’s Registration Statement</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r:id="rId152">
              <w:r>
                <w:rPr>
                  <w:rFonts w:ascii="Arial" w:cs="Arial" w:eastAsia="Arial" w:hAnsi="Arial"/>
                  <w:sz w:val="18"/>
                  <w:szCs w:val="18"/>
                  <w:color w:val="0000EE"/>
                </w:rPr>
                <w:t>on Form S-1 (File No. 333-250945), as amended and filed with the SEC on December 21, 2020)</w:t>
              </w:r>
              <w:r>
                <w:rPr>
                  <w:rFonts w:ascii="Arial" w:cs="Arial" w:eastAsia="Arial" w:hAnsi="Arial"/>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4.3</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Form of Series B Pre-Funded Common Stock Purchase Warrant (incorporated by reference to Exhibit 4.11 of the Company’s Registration</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r:id="rId153">
              <w:r>
                <w:rPr>
                  <w:rFonts w:ascii="Arial" w:cs="Arial" w:eastAsia="Arial" w:hAnsi="Arial"/>
                  <w:sz w:val="18"/>
                  <w:szCs w:val="18"/>
                  <w:color w:val="0000EE"/>
                </w:rPr>
                <w:t>Statement on Form S-1 (File No. 333-250945), as amended and filed with the SEC on December 21, 2020)</w:t>
              </w:r>
              <w:r>
                <w:rPr>
                  <w:rFonts w:ascii="Arial" w:cs="Arial" w:eastAsia="Arial" w:hAnsi="Arial"/>
                  <w:sz w:val="18"/>
                  <w:szCs w:val="18"/>
                  <w:u w:val="single" w:color="auto"/>
                  <w:color w:val="000000"/>
                </w:rPr>
                <w:t>.</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4.4</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Form of Common Stock Purchase Warrant and schedule of holders (incorporated herein by reference to the Registrant's Current Report on</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r:id="rId154">
              <w:r>
                <w:rPr>
                  <w:rFonts w:ascii="Arial" w:cs="Arial" w:eastAsia="Arial" w:hAnsi="Arial"/>
                  <w:sz w:val="18"/>
                  <w:szCs w:val="18"/>
                  <w:color w:val="0000EE"/>
                </w:rPr>
                <w:t>Form 8-K as filed with the SEC on January 13, 2021).</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4.5</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Series A Common Stock Purchase Warrant for Underwriter (incorporated herein by reference to the Registrant's Current Report on Form</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8-K as filed with the SEC on January 13, 2021).</w:t>
              </w:r>
            </w:hyperlink>
          </w:p>
        </w:tc>
        <w:tc>
          <w:tcPr>
            <w:tcW w:w="6560" w:type="dxa"/>
            <w:vAlign w:val="bottom"/>
            <w:gridSpan w:val="15"/>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4.6</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Form of Inducement Warrant (incorporated herein by reference to the Registrant's Current Report on Form 8-K as filed with the SEC on</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0000EE"/>
            </w:tcBorders>
            <w:gridSpan w:val="3"/>
          </w:tcPr>
          <w:p>
            <w:pPr>
              <w:spacing w:after="0" w:line="195" w:lineRule="exact"/>
              <w:rPr>
                <w:rFonts w:ascii="Arial" w:cs="Arial" w:eastAsia="Arial" w:hAnsi="Arial"/>
                <w:sz w:val="18"/>
                <w:szCs w:val="18"/>
                <w:color w:val="0000EE"/>
                <w:w w:val="86"/>
              </w:rPr>
            </w:pPr>
            <w:hyperlink r:id="rId156">
              <w:r>
                <w:rPr>
                  <w:rFonts w:ascii="Arial" w:cs="Arial" w:eastAsia="Arial" w:hAnsi="Arial"/>
                  <w:sz w:val="18"/>
                  <w:szCs w:val="18"/>
                  <w:color w:val="0000EE"/>
                  <w:w w:val="86"/>
                </w:rPr>
                <w:t>January 26, 2021).</w:t>
              </w:r>
            </w:hyperlink>
          </w:p>
        </w:tc>
        <w:tc>
          <w:tcPr>
            <w:tcW w:w="8680" w:type="dxa"/>
            <w:vAlign w:val="bottom"/>
            <w:gridSpan w:val="20"/>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Payoff letter, dated as of February 8, 2021, by and among the Company and the lenders named therein (incorporated herein by reference to</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6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the Registrant's Current Report on Form 8-K as filed with the SEC on February 9, 2021).</w:t>
              </w:r>
            </w:hyperlink>
          </w:p>
        </w:tc>
        <w:tc>
          <w:tcPr>
            <w:tcW w:w="3640" w:type="dxa"/>
            <w:vAlign w:val="bottom"/>
            <w:gridSpan w:val="7"/>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Amendment to Senior Secured Convertible Notes and Amendment to Warrant, dated as of January 12, 2021, by and among the Company,</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Deerfield Private Design Fund III, L.P. and Deerfield Special Situations Fund, L.P.(incorporated herein by reference to the Registrant's</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20" w:type="dxa"/>
            <w:vAlign w:val="bottom"/>
            <w:tcBorders>
              <w:bottom w:val="single" w:sz="8" w:color="0000EE"/>
            </w:tcBorders>
            <w:gridSpan w:val="14"/>
          </w:tcPr>
          <w:p>
            <w:pPr>
              <w:spacing w:after="0" w:line="195"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Current Report on Form 8-K as filed with the SEC on January 13, 2021).</w:t>
              </w:r>
            </w:hyperlink>
          </w:p>
        </w:tc>
        <w:tc>
          <w:tcPr>
            <w:tcW w:w="4780" w:type="dxa"/>
            <w:vAlign w:val="bottom"/>
            <w:gridSpan w:val="9"/>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8"/>
              </w:rPr>
              <w:t>10.3#</w:t>
            </w: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Sixth Amended and Restated Non-Employee Director Compensation Policy (incorporated herein by reference to the Registrant's Annual</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Report on Form 10-K as filed with the SEC on March 12, 2021).</w:t>
              </w:r>
            </w:hyperlink>
          </w:p>
        </w:tc>
        <w:tc>
          <w:tcPr>
            <w:tcW w:w="5340" w:type="dxa"/>
            <w:vAlign w:val="bottom"/>
            <w:tcBorders>
              <w:top w:val="single" w:sz="8" w:color="0000EE"/>
            </w:tcBorders>
            <w:gridSpan w:val="9"/>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Form of Inducement Letter (incorporated herein by reference to the Registrant's Current Report on Form 8-K as filed with the SEC on</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0000EE"/>
            </w:tcBorders>
            <w:gridSpan w:val="3"/>
          </w:tcPr>
          <w:p>
            <w:pPr>
              <w:spacing w:after="0" w:line="195" w:lineRule="exact"/>
              <w:rPr>
                <w:rFonts w:ascii="Arial" w:cs="Arial" w:eastAsia="Arial" w:hAnsi="Arial"/>
                <w:sz w:val="18"/>
                <w:szCs w:val="18"/>
                <w:color w:val="0000EE"/>
                <w:w w:val="86"/>
              </w:rPr>
            </w:pPr>
            <w:hyperlink r:id="rId160">
              <w:r>
                <w:rPr>
                  <w:rFonts w:ascii="Arial" w:cs="Arial" w:eastAsia="Arial" w:hAnsi="Arial"/>
                  <w:sz w:val="18"/>
                  <w:szCs w:val="18"/>
                  <w:color w:val="0000EE"/>
                  <w:w w:val="86"/>
                </w:rPr>
                <w:t>January 26, 2021).</w:t>
              </w:r>
            </w:hyperlink>
          </w:p>
        </w:tc>
        <w:tc>
          <w:tcPr>
            <w:tcW w:w="8680" w:type="dxa"/>
            <w:vAlign w:val="bottom"/>
            <w:gridSpan w:val="20"/>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16"/>
                <w:szCs w:val="16"/>
                <w:color w:val="auto"/>
              </w:rPr>
            </w:pPr>
          </w:p>
        </w:tc>
        <w:tc>
          <w:tcPr>
            <w:tcW w:w="9980" w:type="dxa"/>
            <w:vAlign w:val="bottom"/>
            <w:tcBorders>
              <w:bottom w:val="single" w:sz="8" w:color="0000EE"/>
            </w:tcBorders>
            <w:gridSpan w:val="22"/>
          </w:tcPr>
          <w:p>
            <w:pPr>
              <w:spacing w:after="0" w:line="195"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Certification of the Principal Executive Officer pursuant to Rule 13a-14(a) or Rule 15d-14(a) of the Securities Exchange Act of 1934, as</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0000EE"/>
            </w:tcBorders>
            <w:gridSpan w:val="2"/>
          </w:tcPr>
          <w:p>
            <w:pPr>
              <w:spacing w:after="0" w:line="195" w:lineRule="exact"/>
              <w:rPr>
                <w:rFonts w:ascii="Arial" w:cs="Arial" w:eastAsia="Arial" w:hAnsi="Arial"/>
                <w:sz w:val="18"/>
                <w:szCs w:val="18"/>
                <w:color w:val="0000EE"/>
                <w:w w:val="82"/>
              </w:rPr>
            </w:pPr>
            <w:hyperlink w:anchor="page123">
              <w:r>
                <w:rPr>
                  <w:rFonts w:ascii="Arial" w:cs="Arial" w:eastAsia="Arial" w:hAnsi="Arial"/>
                  <w:sz w:val="18"/>
                  <w:szCs w:val="18"/>
                  <w:color w:val="0000EE"/>
                  <w:w w:val="82"/>
                </w:rPr>
                <w:t>amended.</w:t>
              </w:r>
            </w:hyperlink>
          </w:p>
        </w:tc>
        <w:tc>
          <w:tcPr>
            <w:tcW w:w="9320" w:type="dxa"/>
            <w:vAlign w:val="bottom"/>
            <w:gridSpan w:val="21"/>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Certification of the Principal Financial Officer pursuant to Rule 13a-14(a) or Rule 15d-14(a) of the Securities Exchange Act of 1934, as</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0000EE"/>
            </w:tcBorders>
            <w:gridSpan w:val="2"/>
          </w:tcPr>
          <w:p>
            <w:pPr>
              <w:spacing w:after="0" w:line="195" w:lineRule="exact"/>
              <w:rPr>
                <w:rFonts w:ascii="Arial" w:cs="Arial" w:eastAsia="Arial" w:hAnsi="Arial"/>
                <w:sz w:val="18"/>
                <w:szCs w:val="18"/>
                <w:color w:val="0000EE"/>
                <w:w w:val="82"/>
              </w:rPr>
            </w:pPr>
            <w:hyperlink w:anchor="page124">
              <w:r>
                <w:rPr>
                  <w:rFonts w:ascii="Arial" w:cs="Arial" w:eastAsia="Arial" w:hAnsi="Arial"/>
                  <w:sz w:val="18"/>
                  <w:szCs w:val="18"/>
                  <w:color w:val="0000EE"/>
                  <w:w w:val="82"/>
                </w:rPr>
                <w:t>amended.</w:t>
              </w:r>
            </w:hyperlink>
          </w:p>
        </w:tc>
        <w:tc>
          <w:tcPr>
            <w:tcW w:w="9320" w:type="dxa"/>
            <w:vAlign w:val="bottom"/>
            <w:gridSpan w:val="21"/>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32.1*</w:t>
            </w:r>
          </w:p>
        </w:tc>
        <w:tc>
          <w:tcPr>
            <w:tcW w:w="240" w:type="dxa"/>
            <w:vAlign w:val="bottom"/>
          </w:tcPr>
          <w:p>
            <w:pPr>
              <w:spacing w:after="0"/>
              <w:rPr>
                <w:sz w:val="16"/>
                <w:szCs w:val="16"/>
                <w:color w:val="auto"/>
              </w:rPr>
            </w:pPr>
          </w:p>
        </w:tc>
        <w:tc>
          <w:tcPr>
            <w:tcW w:w="9980" w:type="dxa"/>
            <w:vAlign w:val="bottom"/>
            <w:tcBorders>
              <w:bottom w:val="single" w:sz="8" w:color="0000EE"/>
            </w:tcBorders>
            <w:gridSpan w:val="22"/>
          </w:tcPr>
          <w:p>
            <w:pPr>
              <w:spacing w:after="0" w:line="195"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the Principal Executive Officer pursuant to Rule 13a-14(b) of the Securities Exchange Act of 1934, as amended, and 18.</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2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U.S.C. Section 1350, as adopted pursuant to Section 906 of the Sarbanes-Oxley Act of 2002. (1)</w:t>
              </w:r>
            </w:hyperlink>
          </w:p>
        </w:tc>
        <w:tc>
          <w:tcPr>
            <w:tcW w:w="3080" w:type="dxa"/>
            <w:vAlign w:val="bottom"/>
            <w:gridSpan w:val="5"/>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Certification of the Principal Financial Officer pursuant to Rule 13a-14(b) of the Securities Exchange Act of 1934, as amended, and 18.</w:t>
              </w:r>
            </w:hyperlink>
          </w:p>
        </w:tc>
      </w:tr>
      <w:tr>
        <w:trPr>
          <w:trHeight w:val="195"/>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23"/>
          </w:tcPr>
          <w:p>
            <w:pPr>
              <w:spacing w:after="0" w:line="195" w:lineRule="exact"/>
              <w:rPr>
                <w:rFonts w:ascii="Arial" w:cs="Arial" w:eastAsia="Arial" w:hAnsi="Arial"/>
                <w:sz w:val="18"/>
                <w:szCs w:val="18"/>
                <w:color w:val="0000EE"/>
              </w:rPr>
            </w:pPr>
            <w:hyperlink w:anchor="page126">
              <w:r>
                <w:rPr>
                  <w:rFonts w:ascii="Arial" w:cs="Arial" w:eastAsia="Arial" w:hAnsi="Arial"/>
                  <w:sz w:val="18"/>
                  <w:szCs w:val="18"/>
                  <w:color w:val="0000EE"/>
                </w:rPr>
                <w:t>U.S.C. Section 1350, as adopted pursuant to Section 906 of the Sarbanes-Oxley Act of 2002. (1)</w:t>
              </w:r>
            </w:hyperlink>
          </w:p>
        </w:tc>
      </w:tr>
      <w:tr>
        <w:trPr>
          <w:trHeight w:val="221"/>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240" w:type="dxa"/>
            <w:vAlign w:val="bottom"/>
          </w:tcPr>
          <w:p>
            <w:pPr>
              <w:spacing w:after="0"/>
              <w:rPr>
                <w:sz w:val="19"/>
                <w:szCs w:val="19"/>
                <w:color w:val="auto"/>
              </w:rPr>
            </w:pPr>
          </w:p>
        </w:tc>
        <w:tc>
          <w:tcPr>
            <w:tcW w:w="68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XBRL Instance Document</w:t>
            </w:r>
          </w:p>
        </w:tc>
        <w:tc>
          <w:tcPr>
            <w:tcW w:w="3120" w:type="dxa"/>
            <w:vAlign w:val="bottom"/>
            <w:gridSpan w:val="6"/>
          </w:tcPr>
          <w:p>
            <w:pPr>
              <w:spacing w:after="0"/>
              <w:rPr>
                <w:sz w:val="19"/>
                <w:szCs w:val="19"/>
                <w:color w:val="auto"/>
              </w:rPr>
            </w:pP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2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2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2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240" w:type="dxa"/>
            <w:vAlign w:val="bottom"/>
          </w:tcPr>
          <w:p>
            <w:pPr>
              <w:spacing w:after="0"/>
              <w:rPr>
                <w:sz w:val="19"/>
                <w:szCs w:val="19"/>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ind w:left="500" w:hanging="493"/>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hanging="493"/>
        <w:spacing w:after="0" w:line="280"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Attached as Exhibit 101 to this Quarterly Report on Form 10-Q for the quarter ended March 31, 2021, formatted in XBRL (Extensible Business Reporting Language): (i) Unaudited Condensed Balance Sheets, (ii) Unaudited Condensed Statements of Operations, (iii) Unaudited Condensed</w:t>
      </w:r>
    </w:p>
    <w:p>
      <w:pPr>
        <w:spacing w:after="0" w:line="1" w:lineRule="exact"/>
        <w:rPr>
          <w:sz w:val="20"/>
          <w:szCs w:val="20"/>
          <w:color w:val="auto"/>
        </w:rPr>
      </w:pPr>
    </w:p>
    <w:p>
      <w:pPr>
        <w:ind w:left="500"/>
        <w:spacing w:after="0" w:line="249" w:lineRule="auto"/>
        <w:rPr>
          <w:sz w:val="20"/>
          <w:szCs w:val="20"/>
          <w:color w:val="auto"/>
        </w:rPr>
      </w:pPr>
      <w:r>
        <w:rPr>
          <w:rFonts w:ascii="Arial" w:cs="Arial" w:eastAsia="Arial" w:hAnsi="Arial"/>
          <w:sz w:val="18"/>
          <w:szCs w:val="18"/>
          <w:color w:val="auto"/>
        </w:rPr>
        <w:t>Statements of Changes in Stockholders' Deficit, (iv) Unaudited Condensed Statements of Cash Flows, and (v) Notes to Unaudited Condensed Financial Statements, tagged as blocks of text and including detailed tags.</w:t>
      </w:r>
    </w:p>
    <w:p>
      <w:pPr>
        <w:ind w:left="500" w:hanging="49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8" w:lineRule="exact"/>
        <w:rPr>
          <w:sz w:val="20"/>
          <w:szCs w:val="20"/>
          <w:color w:val="auto"/>
        </w:rPr>
      </w:pPr>
    </w:p>
    <w:p>
      <w:pPr>
        <w:jc w:val="both"/>
        <w:ind w:left="500" w:hanging="493"/>
        <w:spacing w:after="0" w:line="253"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 and is not to be incorporated by reference into any filing of the Registrant under the Securities Act or the Exchange Act (whether made before or after the date of the Quarterly Report on Form 10-Q), irrespective of any general incorporation language contained in such filing.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660" w:type="dxa"/>
            <w:vAlign w:val="bottom"/>
            <w:gridSpan w:val="2"/>
          </w:tcPr>
          <w:p>
            <w:pPr>
              <w:ind w:left="2240"/>
              <w:spacing w:after="0"/>
              <w:rPr>
                <w:sz w:val="20"/>
                <w:szCs w:val="20"/>
                <w:color w:val="auto"/>
              </w:rPr>
            </w:pPr>
            <w:r>
              <w:rPr>
                <w:rFonts w:ascii="Arial" w:cs="Arial" w:eastAsia="Arial" w:hAnsi="Arial"/>
                <w:sz w:val="18"/>
                <w:szCs w:val="18"/>
                <w:b w:val="1"/>
                <w:bCs w:val="1"/>
                <w:color w:val="auto"/>
              </w:rPr>
              <w:t>KemPharm, Inc.</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May 13, 2021</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5"/>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May 13, 2021</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 LaDuane Clifton, CPA</w:t>
            </w:r>
          </w:p>
        </w:tc>
      </w:tr>
      <w:tr>
        <w:trPr>
          <w:trHeight w:val="215"/>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0"/>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60" w:type="dxa"/>
            <w:vAlign w:val="bottom"/>
          </w:tcPr>
          <w:p>
            <w:pPr>
              <w:jc w:val="right"/>
              <w:ind w:right="390"/>
              <w:spacing w:after="0"/>
              <w:rPr>
                <w:sz w:val="20"/>
                <w:szCs w:val="20"/>
                <w:color w:val="auto"/>
              </w:rPr>
            </w:pPr>
            <w:r>
              <w:rPr>
                <w:rFonts w:ascii="Arial" w:cs="Arial" w:eastAsia="Arial" w:hAnsi="Arial"/>
                <w:sz w:val="18"/>
                <w:szCs w:val="18"/>
                <w:color w:val="auto"/>
              </w:rPr>
              <w:t>121</w:t>
            </w:r>
          </w:p>
        </w:tc>
        <w:tc>
          <w:tcPr>
            <w:tcW w:w="5000" w:type="dxa"/>
            <w:vAlign w:val="bottom"/>
          </w:tcPr>
          <w:p>
            <w:pPr>
              <w:spacing w:after="0"/>
              <w:rPr>
                <w:sz w:val="24"/>
                <w:szCs w:val="24"/>
                <w:color w:val="auto"/>
              </w:rPr>
            </w:pPr>
          </w:p>
        </w:tc>
      </w:tr>
      <w:tr>
        <w:trPr>
          <w:trHeight w:val="114"/>
        </w:trPr>
        <w:tc>
          <w:tcPr>
            <w:tcW w:w="52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3" w:lineRule="exact"/>
        <w:rPr>
          <w:sz w:val="20"/>
          <w:szCs w:val="20"/>
          <w:color w:val="auto"/>
        </w:rPr>
      </w:pPr>
    </w:p>
    <w:p>
      <w:pPr>
        <w:ind w:left="880" w:hanging="429"/>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May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May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EXECUTIVE OFFICER PURSUANT TO 18 U.S.C. SECTION 1350, AS ADOPTED PURSUANT TO SECTION 906 OF THE SARBANES-OXLEY ACT OF 2002</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March 31, 2021,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May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FINANCIAL OFFICER PURSUANT TO 18 U.S.C. SECTION 1350, AS ADOPTED PURSUANT TO SECTION 906 OF THE SARBANES-OXLEY ACT OF 2002</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March 31, 2021,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May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upperLetter"/>
      <w:start w:val="1"/>
    </w:lvl>
  </w:abstractNum>
  <w:abstractNum w:abstractNumId="3">
    <w:nsid w:val="419AC241"/>
    <w:multiLevelType w:val="hybridMultilevel"/>
    <w:lvl w:ilvl="0">
      <w:lvlJc w:val="left"/>
      <w:lvlText w:val="%1."/>
      <w:numFmt w:val="upperLetter"/>
      <w:start w:val="2"/>
    </w:lvl>
  </w:abstractNum>
  <w:abstractNum w:abstractNumId="4">
    <w:nsid w:val="5577F8E1"/>
    <w:multiLevelType w:val="hybridMultilevel"/>
    <w:lvl w:ilvl="0">
      <w:lvlJc w:val="left"/>
      <w:lvlText w:val="%1."/>
      <w:numFmt w:val="upperLetter"/>
      <w:start w:val="3"/>
    </w:lvl>
  </w:abstractNum>
  <w:abstractNum w:abstractNumId="5">
    <w:nsid w:val="440BADFC"/>
    <w:multiLevelType w:val="hybridMultilevel"/>
    <w:lvl w:ilvl="0">
      <w:lvlJc w:val="left"/>
      <w:lvlText w:val="(%1)"/>
      <w:numFmt w:val="lowerRoman"/>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lowerRoman"/>
      <w:start w:val="1"/>
    </w:lvl>
  </w:abstractNum>
  <w:abstractNum w:abstractNumId="9">
    <w:nsid w:val="7724C67E"/>
    <w:multiLevelType w:val="hybridMultilevel"/>
    <w:lvl w:ilvl="0">
      <w:lvlJc w:val="left"/>
      <w:lvlText w:val="%1"/>
      <w:numFmt w:val="upperLetter"/>
      <w:start w:val="68"/>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upperLetter"/>
      <w:start w:val="4"/>
    </w:lvl>
  </w:abstractNum>
  <w:abstractNum w:abstractNumId="12">
    <w:nsid w:val="5E884ADC"/>
    <w:multiLevelType w:val="hybridMultilevel"/>
    <w:lvl w:ilvl="0">
      <w:lvlJc w:val="left"/>
      <w:lvlText w:val="%1."/>
      <w:numFmt w:val="upperLetter"/>
      <w:start w:val="5"/>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upperLetter"/>
      <w:start w:val="6"/>
    </w:lvl>
  </w:abstractNum>
  <w:abstractNum w:abstractNumId="15">
    <w:nsid w:val="580BD78F"/>
    <w:multiLevelType w:val="hybridMultilevel"/>
    <w:lvl w:ilvl="0">
      <w:lvlJc w:val="left"/>
      <w:lvlText w:val="%1."/>
      <w:numFmt w:val="upperLetter"/>
      <w:start w:val="7"/>
    </w:lvl>
  </w:abstractNum>
  <w:abstractNum w:abstractNumId="16">
    <w:nsid w:val="153EA438"/>
    <w:multiLevelType w:val="hybridMultilevel"/>
    <w:lvl w:ilvl="0">
      <w:lvlJc w:val="left"/>
      <w:lvlText w:val="%1."/>
      <w:numFmt w:val="upperLetter"/>
      <w:start w:val="8"/>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upperLetter"/>
      <w:start w:val="9"/>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upperLetter"/>
      <w:start w:val="10"/>
    </w:lvl>
  </w:abstractNum>
  <w:abstractNum w:abstractNumId="21">
    <w:nsid w:val="1D4ED43B"/>
    <w:multiLevelType w:val="hybridMultilevel"/>
    <w:lvl w:ilvl="0">
      <w:lvlJc w:val="left"/>
      <w:lvlText w:val="%1."/>
      <w:numFmt w:val="upperLetter"/>
      <w:start w:val="11"/>
    </w:lvl>
  </w:abstractNum>
  <w:abstractNum w:abstractNumId="22">
    <w:nsid w:val="725A06FB"/>
    <w:multiLevelType w:val="hybridMultilevel"/>
    <w:lvl w:ilvl="0">
      <w:lvlJc w:val="left"/>
      <w:lvlText w:val="%1."/>
      <w:numFmt w:val="upperLetter"/>
      <w:start w:val="12"/>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1" Type="http://schemas.openxmlformats.org/officeDocument/2006/relationships/image" Target="media/image141.png"/><Relationship Id="rId148" Type="http://schemas.openxmlformats.org/officeDocument/2006/relationships/hyperlink" Target="http://www.sec.gov/Archives/edgar/data/1434647/000119312515140072/d911803dex31.htm" TargetMode="External"/><Relationship Id="rId149" Type="http://schemas.openxmlformats.org/officeDocument/2006/relationships/hyperlink" Target="http://www.sec.gov/Archives/edgar/data/1434647/000143774920025891/ex_218888.htm" TargetMode="External"/><Relationship Id="rId150" Type="http://schemas.openxmlformats.org/officeDocument/2006/relationships/hyperlink" Target="http://www.sec.gov/Archives/edgar/data/1434647/000119312521007494/d848409dex31.htm" TargetMode="External"/><Relationship Id="rId151" Type="http://schemas.openxmlformats.org/officeDocument/2006/relationships/hyperlink" Target="http://www.sec.gov/Archives/edgar/data/1434647/000143774920015351/ex_194015.htm" TargetMode="External"/><Relationship Id="rId152" Type="http://schemas.openxmlformats.org/officeDocument/2006/relationships/hyperlink" Target="http://www.sec.gov/Archives/edgar/data/1434647/000119312520322271/d93666dex410.htm" TargetMode="External"/><Relationship Id="rId153" Type="http://schemas.openxmlformats.org/officeDocument/2006/relationships/hyperlink" Target="http://www.sec.gov/Archives/edgar/data/1434647/000119312520322271/d93666dex411.htm" TargetMode="External"/><Relationship Id="rId154" Type="http://schemas.openxmlformats.org/officeDocument/2006/relationships/hyperlink" Target="http://www.sec.gov/Archives/edgar/data/1434647/000119312521007494/d848409dex43.htm" TargetMode="External"/><Relationship Id="rId155" Type="http://schemas.openxmlformats.org/officeDocument/2006/relationships/hyperlink" Target="http://www.sec.gov/Archives/edgar/data/1434647/000119312521007494/d848409dex44.htm" TargetMode="External"/><Relationship Id="rId156" Type="http://schemas.openxmlformats.org/officeDocument/2006/relationships/hyperlink" Target="http://www.sec.gov/Archives/edgar/data/1434647/000143774921001230/ex_222593.htm" TargetMode="External"/><Relationship Id="rId157" Type="http://schemas.openxmlformats.org/officeDocument/2006/relationships/hyperlink" Target="http://www.sec.gov/Archives/edgar/data/1434647/000143774921002351/ex_225425.htm" TargetMode="External"/><Relationship Id="rId158" Type="http://schemas.openxmlformats.org/officeDocument/2006/relationships/hyperlink" Target="http://www.sec.gov/Archives/edgar/data/1434647/000119312521007494/d848409dex101.htm" TargetMode="External"/><Relationship Id="rId159" Type="http://schemas.openxmlformats.org/officeDocument/2006/relationships/hyperlink" Target="http://www.sec.gov/Archives/edgar/data/1434647/000143774921005785/ex_233334.htm" TargetMode="External"/><Relationship Id="rId160" Type="http://schemas.openxmlformats.org/officeDocument/2006/relationships/hyperlink" Target="http://www.sec.gov/Archives/edgar/data/1434647/000143774921001230/ex_2225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2021-05-14T11:44:41Z</dcterms:created>
  <dcterms:modified xsi:type="dcterms:W3CDTF">2021-05-14T11:44:41Z</dcterms:modified>
</cp:coreProperties>
</file>