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zvra20230426_8k.htm"/>
      <w:bookmarkStart w:id="1" w:name="kszvra20230426_8k"/>
      <w:bookmarkStart w:id="2" w:name="zvra20230426_8k.htm"/>
      <w:bookmarkStart w:id="3" w:name="kszvra20230426_8k"/>
      <w:bookmarkEnd w:id="2"/>
      <w:bookmarkEnd w:id="3"/>
    </w:p>
    <w:p>
      <w:pPr>
        <w:pStyle w:val="HorizontalLine"/>
        <w:rPr/>
      </w:pPr>
      <w:r>
        <w:rPr/>
      </w:r>
    </w:p>
    <w:p>
      <w:pPr>
        <w:pStyle w:val="TextBody"/>
        <w:spacing w:before="0" w:after="0"/>
        <w:ind w:left="0" w:right="0" w:hanging="0"/>
        <w:jc w:val="center"/>
        <w:rPr>
          <w:color w:val="000000"/>
          <w:highlight w:val="white"/>
        </w:rPr>
      </w:pPr>
      <w:r>
        <w:rPr>
          <w:color w:val="000000"/>
          <w:highlight w:val="white"/>
        </w:rPr>
        <w:t> </w:t>
      </w:r>
    </w:p>
    <w:p>
      <w:pPr>
        <w:pStyle w:val="TextBody"/>
        <w:spacing w:before="0" w:after="0"/>
        <w:ind w:left="0" w:right="0" w:hanging="0"/>
        <w:jc w:val="center"/>
        <w:rPr>
          <w:rFonts w:ascii="Times New Roman;Times;serif" w:hAnsi="Times New Roman;Times;serif"/>
          <w:b/>
          <w:color w:val="000000"/>
          <w:sz w:val="36"/>
          <w:highlight w:val="white"/>
        </w:rPr>
      </w:pPr>
      <w:r>
        <w:rPr>
          <w:rFonts w:ascii="Times New Roman;Times;serif" w:hAnsi="Times New Roman;Times;serif"/>
          <w:b/>
          <w:color w:val="000000"/>
          <w:sz w:val="36"/>
          <w:highlight w:val="white"/>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spacing w:before="0" w:after="0"/>
        <w:ind w:left="0" w:right="0" w:hanging="0"/>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spacing w:before="0" w:after="0"/>
        <w:ind w:left="0" w:right="0" w:hanging="0"/>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CURRENT REPORT </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Section 13 or 15(d) of The Securities Exchange Act of 1934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April</w:t>
      </w:r>
      <w:r>
        <w:rPr>
          <w:rFonts w:ascii="Times New Roman;Times;serif" w:hAnsi="Times New Roman;Times;serif"/>
          <w:b/>
          <w:sz w:val="20"/>
          <w:highlight w:val="white"/>
        </w:rPr>
        <w:t> 25, 2023</w:t>
      </w:r>
    </w:p>
    <w:p>
      <w:pPr>
        <w:pStyle w:val="TextBody"/>
        <w:spacing w:before="0" w:after="0"/>
        <w:ind w:left="0" w:right="0" w:hanging="0"/>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48"/>
        </w:rPr>
      </w:pPr>
      <w:r>
        <w:rPr>
          <w:rFonts w:ascii="Times New Roman;Times;serif" w:hAnsi="Times New Roman;Times;serif"/>
          <w:b/>
          <w:sz w:val="48"/>
        </w:rPr>
        <w:t>Zevra Therapeutics,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spacing w:before="0" w:after="0"/>
        <w:ind w:left="0" w:right="0" w:hanging="0"/>
        <w:rPr/>
      </w:pPr>
      <w:r>
        <w:rPr/>
        <w:t> </w:t>
      </w:r>
    </w:p>
    <w:p>
      <w:pPr>
        <w:pStyle w:val="HorizontalLine"/>
        <w:rPr/>
      </w:pPr>
      <w:r>
        <w:rPr/>
      </w:r>
    </w:p>
    <w:p>
      <w:pPr>
        <w:pStyle w:val="TextBody"/>
        <w:spacing w:before="0" w:after="0"/>
        <w:ind w:left="0" w:right="0" w:hanging="0"/>
        <w:jc w:val="left"/>
        <w:rPr/>
      </w:pPr>
      <w:r>
        <w:rPr/>
        <w:t> </w:t>
      </w:r>
    </w:p>
    <w:p>
      <w:pPr>
        <w:pStyle w:val="Normal"/>
        <w:spacing w:before="0" w:after="0"/>
        <w:rPr>
          <w:sz w:val="4"/>
          <w:szCs w:val="4"/>
        </w:rPr>
      </w:pPr>
      <w:r>
        <w:rPr>
          <w:sz w:val="4"/>
          <w:szCs w:val="4"/>
        </w:rPr>
      </w:r>
      <w:bookmarkStart w:id="4" w:name="TBL1"/>
      <w:bookmarkStart w:id="5" w:name="TBL1"/>
      <w:bookmarkEnd w:id="5"/>
    </w:p>
    <w:tbl>
      <w:tblPr>
        <w:tblW w:w="7965" w:type="dxa"/>
        <w:jc w:val="left"/>
        <w:tblInd w:w="0" w:type="dxa"/>
        <w:tblCellMar>
          <w:top w:w="0" w:type="dxa"/>
          <w:left w:w="0" w:type="dxa"/>
          <w:bottom w:w="0" w:type="dxa"/>
          <w:right w:w="0" w:type="dxa"/>
        </w:tblCellMar>
      </w:tblPr>
      <w:tblGrid>
        <w:gridCol w:w="3395"/>
        <w:gridCol w:w="1955"/>
        <w:gridCol w:w="2615"/>
      </w:tblGrid>
      <w:tr>
        <w:trPr/>
        <w:tc>
          <w:tcPr>
            <w:tcW w:w="339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95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001-36913</w:t>
            </w:r>
          </w:p>
        </w:tc>
        <w:tc>
          <w:tcPr>
            <w:tcW w:w="261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20-5894398</w:t>
            </w:r>
          </w:p>
        </w:tc>
      </w:tr>
      <w:tr>
        <w:trPr/>
        <w:tc>
          <w:tcPr>
            <w:tcW w:w="339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 Incorporation)</w:t>
            </w:r>
          </w:p>
        </w:tc>
        <w:tc>
          <w:tcPr>
            <w:tcW w:w="195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w:t>
            </w:r>
          </w:p>
        </w:tc>
        <w:tc>
          <w:tcPr>
            <w:tcW w:w="261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 Identification No.)</w:t>
            </w:r>
          </w:p>
        </w:tc>
      </w:tr>
      <w:tr>
        <w:trPr/>
        <w:tc>
          <w:tcPr>
            <w:tcW w:w="3395"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ind w:left="0" w:right="0" w:hanging="0"/>
              <w:jc w:val="center"/>
              <w:rPr/>
            </w:pPr>
            <w:r>
              <w:rPr>
                <w:rStyle w:val="StrongEmphasis"/>
                <w:rFonts w:ascii="Times New Roman;Times;serif" w:hAnsi="Times New Roman;Times;serif"/>
                <w:sz w:val="20"/>
              </w:rPr>
              <w:t xml:space="preserve">1180 Celebration Boulevard, Suite 103, </w:t>
            </w:r>
          </w:p>
          <w:p>
            <w:pPr>
              <w:pStyle w:val="TableContents"/>
              <w:spacing w:before="0" w:after="0"/>
              <w:ind w:left="0" w:right="0" w:hanging="0"/>
              <w:jc w:val="center"/>
              <w:rPr/>
            </w:pPr>
            <w:r>
              <w:rPr>
                <w:rStyle w:val="StrongEmphasis"/>
                <w:rFonts w:ascii="Times New Roman;Times;serif" w:hAnsi="Times New Roman;Times;serif"/>
                <w:sz w:val="20"/>
              </w:rPr>
              <w:t>Celebration, FL</w:t>
            </w:r>
          </w:p>
        </w:tc>
        <w:tc>
          <w:tcPr>
            <w:tcW w:w="195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jc w:val="center"/>
              <w:rPr>
                <w:b/>
                <w:sz w:val="20"/>
              </w:rPr>
            </w:pPr>
            <w:r>
              <w:rPr>
                <w:b/>
                <w:sz w:val="20"/>
              </w:rPr>
              <w:t>34747</w:t>
            </w:r>
          </w:p>
        </w:tc>
      </w:tr>
      <w:tr>
        <w:trPr/>
        <w:tc>
          <w:tcPr>
            <w:tcW w:w="339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955"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(321) 939-3416</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r>
        <w:rPr>
          <w:rFonts w:ascii="Times New Roman;Times;serif" w:hAnsi="Times New Roman;Times;serif"/>
          <w:b/>
          <w:sz w:val="20"/>
        </w:rPr>
        <w:t>)</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(Former Name or Former Address, if Changed Since Last Report) </w:t>
      </w:r>
    </w:p>
    <w:p>
      <w:pPr>
        <w:pStyle w:val="TextBody"/>
        <w:spacing w:before="0" w:after="0"/>
        <w:ind w:left="0" w:right="0" w:hanging="0"/>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Instructions A.2. below):</w:t>
      </w:r>
    </w:p>
    <w:p>
      <w:pPr>
        <w:pStyle w:val="TextBody"/>
        <w:spacing w:before="0" w:after="0"/>
        <w:ind w:left="0" w:right="0" w:hanging="0"/>
        <w:rPr/>
      </w:pPr>
      <w:r>
        <w:rPr/>
        <w:t> </w:t>
      </w:r>
    </w:p>
    <w:p>
      <w:pPr>
        <w:pStyle w:val="Normal"/>
        <w:spacing w:before="0" w:after="0"/>
        <w:rPr>
          <w:sz w:val="4"/>
          <w:szCs w:val="4"/>
        </w:rPr>
      </w:pPr>
      <w:r>
        <w:rPr>
          <w:sz w:val="4"/>
          <w:szCs w:val="4"/>
        </w:rPr>
      </w:r>
      <w:bookmarkStart w:id="6" w:name="MTAB2"/>
      <w:bookmarkStart w:id="7" w:name="MTAB2"/>
      <w:bookmarkEnd w:id="7"/>
    </w:p>
    <w:tbl>
      <w:tblPr>
        <w:tblW w:w="7555" w:type="dxa"/>
        <w:jc w:val="left"/>
        <w:tblInd w:w="0" w:type="dxa"/>
        <w:tblCellMar>
          <w:top w:w="0" w:type="dxa"/>
          <w:left w:w="0" w:type="dxa"/>
          <w:bottom w:w="0" w:type="dxa"/>
          <w:right w:w="0" w:type="dxa"/>
        </w:tblCellMar>
      </w:tblPr>
      <w:tblGrid>
        <w:gridCol w:w="230"/>
        <w:gridCol w:w="7325"/>
      </w:tblGrid>
      <w:tr>
        <w:trPr/>
        <w:tc>
          <w:tcPr>
            <w:tcW w:w="230" w:type="dxa"/>
            <w:tcBorders/>
            <w:shd w:fill="auto" w:val="clear"/>
            <w:vAlign w:val="center"/>
          </w:tcPr>
          <w:p>
            <w:pPr>
              <w:pStyle w:val="TableContents"/>
              <w:spacing w:before="0" w:after="0"/>
              <w:ind w:left="0" w:right="0" w:hanging="0"/>
              <w:jc w:val="left"/>
              <w:rPr/>
            </w:pPr>
            <w:r>
              <w:rPr/>
              <w:t>☐</w:t>
            </w:r>
          </w:p>
        </w:tc>
        <w:tc>
          <w:tcPr>
            <w:tcW w:w="732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8" w:name="MTAB3"/>
      <w:bookmarkStart w:id="9" w:name="MTAB3"/>
      <w:bookmarkEnd w:id="9"/>
    </w:p>
    <w:tbl>
      <w:tblPr>
        <w:tblW w:w="7585" w:type="dxa"/>
        <w:jc w:val="left"/>
        <w:tblInd w:w="0" w:type="dxa"/>
        <w:tblCellMar>
          <w:top w:w="0" w:type="dxa"/>
          <w:left w:w="0" w:type="dxa"/>
          <w:bottom w:w="0" w:type="dxa"/>
          <w:right w:w="0" w:type="dxa"/>
        </w:tblCellMar>
      </w:tblPr>
      <w:tblGrid>
        <w:gridCol w:w="230"/>
        <w:gridCol w:w="7355"/>
      </w:tblGrid>
      <w:tr>
        <w:trPr/>
        <w:tc>
          <w:tcPr>
            <w:tcW w:w="230" w:type="dxa"/>
            <w:tcBorders/>
            <w:shd w:fill="auto" w:val="clear"/>
            <w:vAlign w:val="center"/>
          </w:tcPr>
          <w:p>
            <w:pPr>
              <w:pStyle w:val="TableContents"/>
              <w:spacing w:before="0" w:after="0"/>
              <w:ind w:left="0" w:right="0" w:hanging="0"/>
              <w:jc w:val="left"/>
              <w:rPr/>
            </w:pPr>
            <w:r>
              <w:rPr/>
              <w:t>☐</w:t>
            </w:r>
          </w:p>
        </w:tc>
        <w:tc>
          <w:tcPr>
            <w:tcW w:w="735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0" w:name="MTAB4"/>
      <w:bookmarkStart w:id="11" w:name="MTAB4"/>
      <w:bookmarkEnd w:id="11"/>
    </w:p>
    <w:tbl>
      <w:tblPr>
        <w:tblW w:w="9325" w:type="dxa"/>
        <w:jc w:val="left"/>
        <w:tblInd w:w="0" w:type="dxa"/>
        <w:tblCellMar>
          <w:top w:w="0" w:type="dxa"/>
          <w:left w:w="0" w:type="dxa"/>
          <w:bottom w:w="0" w:type="dxa"/>
          <w:right w:w="0" w:type="dxa"/>
        </w:tblCellMar>
      </w:tblPr>
      <w:tblGrid>
        <w:gridCol w:w="230"/>
        <w:gridCol w:w="9095"/>
      </w:tblGrid>
      <w:tr>
        <w:trPr/>
        <w:tc>
          <w:tcPr>
            <w:tcW w:w="230" w:type="dxa"/>
            <w:tcBorders/>
            <w:shd w:fill="auto" w:val="clear"/>
            <w:vAlign w:val="center"/>
          </w:tcPr>
          <w:p>
            <w:pPr>
              <w:pStyle w:val="TableContents"/>
              <w:spacing w:before="0" w:after="0"/>
              <w:ind w:left="0" w:right="0" w:hanging="0"/>
              <w:jc w:val="left"/>
              <w:rPr/>
            </w:pPr>
            <w:r>
              <w:rPr/>
              <w:t>☐</w:t>
            </w:r>
          </w:p>
        </w:tc>
        <w:tc>
          <w:tcPr>
            <w:tcW w:w="909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2" w:name="MTAB5"/>
      <w:bookmarkStart w:id="13" w:name="MTAB5"/>
      <w:bookmarkEnd w:id="13"/>
    </w:p>
    <w:tbl>
      <w:tblPr>
        <w:tblW w:w="9265" w:type="dxa"/>
        <w:jc w:val="left"/>
        <w:tblInd w:w="0" w:type="dxa"/>
        <w:tblCellMar>
          <w:top w:w="0" w:type="dxa"/>
          <w:left w:w="0" w:type="dxa"/>
          <w:bottom w:w="0" w:type="dxa"/>
          <w:right w:w="0" w:type="dxa"/>
        </w:tblCellMar>
      </w:tblPr>
      <w:tblGrid>
        <w:gridCol w:w="230"/>
        <w:gridCol w:w="9035"/>
      </w:tblGrid>
      <w:tr>
        <w:trPr/>
        <w:tc>
          <w:tcPr>
            <w:tcW w:w="230" w:type="dxa"/>
            <w:tcBorders/>
            <w:shd w:fill="auto" w:val="clear"/>
            <w:vAlign w:val="center"/>
          </w:tcPr>
          <w:p>
            <w:pPr>
              <w:pStyle w:val="TableContents"/>
              <w:spacing w:before="0" w:after="0"/>
              <w:ind w:left="0" w:right="0" w:hanging="0"/>
              <w:jc w:val="left"/>
              <w:rPr/>
            </w:pPr>
            <w:r>
              <w:rPr/>
              <w:t>☐</w:t>
            </w:r>
          </w:p>
        </w:tc>
        <w:tc>
          <w:tcPr>
            <w:tcW w:w="90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ind w:left="0" w:right="0" w:hanging="0"/>
        <w:jc w:val="left"/>
        <w:rPr/>
      </w:pPr>
      <w:r>
        <w:rPr/>
        <w:t> </w:t>
      </w:r>
    </w:p>
    <w:tbl>
      <w:tblPr>
        <w:tblW w:w="8040" w:type="dxa"/>
        <w:jc w:val="left"/>
        <w:tblInd w:w="0" w:type="dxa"/>
        <w:tblCellMar>
          <w:top w:w="28" w:type="dxa"/>
          <w:left w:w="28" w:type="dxa"/>
          <w:bottom w:w="28" w:type="dxa"/>
          <w:right w:w="28" w:type="dxa"/>
        </w:tblCellMar>
      </w:tblPr>
      <w:tblGrid>
        <w:gridCol w:w="3605"/>
        <w:gridCol w:w="1340"/>
        <w:gridCol w:w="3095"/>
      </w:tblGrid>
      <w:tr>
        <w:trPr/>
        <w:tc>
          <w:tcPr>
            <w:tcW w:w="36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4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09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6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34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ZVRA</w:t>
            </w:r>
          </w:p>
        </w:tc>
        <w:tc>
          <w:tcPr>
            <w:tcW w:w="309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w:t>
      </w:r>
      <w:r>
        <w:rPr>
          <w:rFonts w:ascii="Times New Roman;Times;serif" w:hAnsi="Times New Roman;Times;serif"/>
          <w:sz w:val="20"/>
        </w:rPr>
        <w:t>230.405 of this chapter) or Rule 12b-2 of the Securities Exchange Act of 1934 (§ 240.12b-2 of this chapter).</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Emerging growth company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w:t>
      </w:r>
      <w:r>
        <w:rPr>
          <w:rFonts w:ascii="Times New Roman;Times;serif" w:hAnsi="Times New Roman;Times;serif"/>
          <w:sz w:val="20"/>
        </w:rPr>
        <w:t>) of the Exchange Act.   ☐</w:t>
      </w: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25, 2023, Zevra Therapeutics, Inc. (the “</w:t>
      </w:r>
      <w:r>
        <w:rPr>
          <w:rFonts w:ascii="Times New Roman" w:hAnsi="Times New Roman"/>
          <w:b/>
          <w:i/>
          <w:caps w:val="false"/>
          <w:smallCaps w:val="false"/>
          <w:sz w:val="20"/>
        </w:rPr>
        <w:t>Company</w:t>
      </w:r>
      <w:r>
        <w:rPr>
          <w:rFonts w:ascii="Times New Roman" w:hAnsi="Times New Roman"/>
          <w:caps w:val="false"/>
          <w:smallCaps w:val="false"/>
          <w:sz w:val="20"/>
        </w:rPr>
        <w:t>”) held its 2023 Annual Meeting of Stockholders (the “</w:t>
      </w:r>
      <w:r>
        <w:rPr>
          <w:rFonts w:ascii="Times New Roman" w:hAnsi="Times New Roman"/>
          <w:b/>
          <w:i/>
          <w:caps w:val="false"/>
          <w:smallCaps w:val="false"/>
          <w:sz w:val="20"/>
        </w:rPr>
        <w:t>2023 Annual Meeting</w:t>
      </w:r>
      <w:r>
        <w:rPr>
          <w:rFonts w:ascii="Times New Roman" w:hAnsi="Times New Roman"/>
          <w:caps w:val="false"/>
          <w:smallCaps w:val="false"/>
          <w:sz w:val="20"/>
        </w:rPr>
        <w:t>”), for the following purposes: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three Class II directors to the Company’s board of directors to hold office until the 2026 annual meeting of stockholders;</w:t>
            </w:r>
          </w:p>
        </w:tc>
      </w:tr>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75"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ratify the appointment of Ernst &amp; Young LLP as the independent registered public accounting firm of the Company for its fiscal year ending December 31, 2023; and</w:t>
            </w:r>
          </w:p>
        </w:tc>
      </w:tr>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75"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vote on the Mangless Proposal to adopt a resolution that would repeal any provision of the Company’s Amended and Restated Bylaws in effect at the time of the Annual Meeting that was not included in the Company’s Amended and Restated Bylaws in effect as of January 1, 2023 (other than the change of the Company’s name).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the 34,540,414 shares outstanding as of the March 1, 2023 record date, at least 17,523,417 shares, or 50.73%, were present or represented by proxy at the 2023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2023 Annual Meeting, each of John B. Bode, Douglas W. Calder, and Corey Watton was elected as a director of the Company. Also at the 2023 Annual Meeting, the stockholders of the Company ratified the appointment of Ernst &amp; Young LLP as the independent registered public accounting firm of the Company for its fiscal year ending December 31, 2023. Finally, the Mangless Proposal to adopt a resolution that would repeal any provision of the Company’s Amended and Restated Bylaws in effect at the time of the Annual Meeting that was not included in the Company’s Amended and Restated Bylaws in effect as of January 1, 2023 (other than the change of the Company’s name) was approved. Other than the change in the Company’s name, there were no provisions of the Company’s Amended and Restated Bylaws that were adopted on or after January 1, 2023 and prior to the 2023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tabulation and validation by First Coast Results, the independent inspector of election for the 2023 Annual Meeting, the final voting results on each of the matters submitted to a vote of stockholders at the 2023 Annual Meeting were as follows:</w:t>
      </w:r>
    </w:p>
    <w:p>
      <w:pPr>
        <w:pStyle w:val="TextBody"/>
        <w:spacing w:before="0" w:after="0"/>
        <w:ind w:left="0" w:right="0" w:hanging="0"/>
        <w:rPr>
          <w:caps w:val="false"/>
          <w:smallCaps w:val="false"/>
        </w:rPr>
      </w:pPr>
      <w:r>
        <w:rPr>
          <w:caps w:val="false"/>
          <w:smallCaps w:val="false"/>
        </w:rPr>
        <w:t> </w:t>
      </w:r>
    </w:p>
    <w:tbl>
      <w:tblPr>
        <w:tblW w:w="7420" w:type="dxa"/>
        <w:jc w:val="left"/>
        <w:tblInd w:w="0" w:type="dxa"/>
        <w:tblCellMar>
          <w:top w:w="0" w:type="dxa"/>
          <w:left w:w="0" w:type="dxa"/>
          <w:bottom w:w="28" w:type="dxa"/>
          <w:right w:w="0" w:type="dxa"/>
        </w:tblCellMar>
      </w:tblPr>
      <w:tblGrid>
        <w:gridCol w:w="170"/>
        <w:gridCol w:w="3800"/>
        <w:gridCol w:w="950"/>
        <w:gridCol w:w="950"/>
        <w:gridCol w:w="1550"/>
      </w:tblGrid>
      <w:tr>
        <w:trPr/>
        <w:tc>
          <w:tcPr>
            <w:tcW w:w="170"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w:t>
            </w:r>
          </w:p>
        </w:tc>
        <w:tc>
          <w:tcPr>
            <w:tcW w:w="3800"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Election of Directors</w:t>
            </w:r>
          </w:p>
        </w:tc>
        <w:tc>
          <w:tcPr>
            <w:tcW w:w="9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9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Withheld</w:t>
            </w:r>
          </w:p>
        </w:tc>
        <w:tc>
          <w:tcPr>
            <w:tcW w:w="15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70" w:type="dxa"/>
            <w:tcBorders/>
            <w:shd w:fill="CCEEFF" w:val="clear"/>
            <w:tcMar>
              <w:bottom w:w="0" w:type="dxa"/>
            </w:tcMar>
            <w:vAlign w:val="center"/>
          </w:tcPr>
          <w:p>
            <w:pPr>
              <w:pStyle w:val="TableContents"/>
              <w:spacing w:before="0" w:after="283"/>
              <w:rPr/>
            </w:pPr>
            <w:r>
              <w:rPr/>
              <w:t> </w:t>
            </w:r>
          </w:p>
        </w:tc>
        <w:tc>
          <w:tcPr>
            <w:tcW w:w="38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Richard W. Pascoe*</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3,291,359</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14,226,745</w:t>
            </w:r>
          </w:p>
        </w:tc>
        <w:tc>
          <w:tcPr>
            <w:tcW w:w="15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70" w:type="dxa"/>
            <w:tcBorders/>
            <w:shd w:fill="FFFFFF" w:val="clear"/>
            <w:tcMar>
              <w:bottom w:w="0" w:type="dxa"/>
            </w:tcMar>
            <w:vAlign w:val="center"/>
          </w:tcPr>
          <w:p>
            <w:pPr>
              <w:pStyle w:val="TableContents"/>
              <w:spacing w:before="0" w:after="283"/>
              <w:rPr/>
            </w:pPr>
            <w:r>
              <w:rPr/>
              <w:t> </w:t>
            </w:r>
          </w:p>
        </w:tc>
        <w:tc>
          <w:tcPr>
            <w:tcW w:w="38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Christopher A. Posner*</w:t>
            </w:r>
          </w:p>
        </w:tc>
        <w:tc>
          <w:tcPr>
            <w:tcW w:w="9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2,671,935</w:t>
            </w:r>
          </w:p>
        </w:tc>
        <w:tc>
          <w:tcPr>
            <w:tcW w:w="9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14,846,170</w:t>
            </w:r>
          </w:p>
        </w:tc>
        <w:tc>
          <w:tcPr>
            <w:tcW w:w="15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70" w:type="dxa"/>
            <w:tcBorders/>
            <w:shd w:fill="CCEEFF" w:val="clear"/>
            <w:tcMar>
              <w:bottom w:w="0" w:type="dxa"/>
            </w:tcMar>
            <w:vAlign w:val="center"/>
          </w:tcPr>
          <w:p>
            <w:pPr>
              <w:pStyle w:val="TableContents"/>
              <w:spacing w:before="0" w:after="283"/>
              <w:rPr/>
            </w:pPr>
            <w:r>
              <w:rPr/>
              <w:t> </w:t>
            </w:r>
          </w:p>
        </w:tc>
        <w:tc>
          <w:tcPr>
            <w:tcW w:w="38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David S. Tierney, M.D.*</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2,489,089</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15,029,016</w:t>
            </w:r>
          </w:p>
        </w:tc>
        <w:tc>
          <w:tcPr>
            <w:tcW w:w="15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70" w:type="dxa"/>
            <w:tcBorders/>
            <w:shd w:fill="FFFFFF" w:val="clear"/>
            <w:tcMar>
              <w:bottom w:w="0" w:type="dxa"/>
            </w:tcMar>
            <w:vAlign w:val="center"/>
          </w:tcPr>
          <w:p>
            <w:pPr>
              <w:pStyle w:val="TableContents"/>
              <w:spacing w:before="0" w:after="283"/>
              <w:rPr/>
            </w:pPr>
            <w:r>
              <w:rPr/>
              <w:t> </w:t>
            </w:r>
          </w:p>
        </w:tc>
        <w:tc>
          <w:tcPr>
            <w:tcW w:w="38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John B. Bode**</w:t>
            </w:r>
          </w:p>
        </w:tc>
        <w:tc>
          <w:tcPr>
            <w:tcW w:w="9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13,846,506</w:t>
            </w:r>
          </w:p>
        </w:tc>
        <w:tc>
          <w:tcPr>
            <w:tcW w:w="9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3,644,488</w:t>
            </w:r>
          </w:p>
        </w:tc>
        <w:tc>
          <w:tcPr>
            <w:tcW w:w="15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70" w:type="dxa"/>
            <w:tcBorders/>
            <w:shd w:fill="CCEEFF" w:val="clear"/>
            <w:tcMar>
              <w:bottom w:w="0" w:type="dxa"/>
            </w:tcMar>
            <w:vAlign w:val="center"/>
          </w:tcPr>
          <w:p>
            <w:pPr>
              <w:pStyle w:val="TableContents"/>
              <w:spacing w:before="0" w:after="283"/>
              <w:rPr/>
            </w:pPr>
            <w:r>
              <w:rPr/>
              <w:t> </w:t>
            </w:r>
          </w:p>
        </w:tc>
        <w:tc>
          <w:tcPr>
            <w:tcW w:w="38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Douglas W. Calder**</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13,931,237</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3,559,490</w:t>
            </w:r>
          </w:p>
        </w:tc>
        <w:tc>
          <w:tcPr>
            <w:tcW w:w="15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70" w:type="dxa"/>
            <w:tcBorders/>
            <w:shd w:fill="FFFFFF" w:val="clear"/>
            <w:tcMar>
              <w:bottom w:w="0" w:type="dxa"/>
            </w:tcMar>
            <w:vAlign w:val="center"/>
          </w:tcPr>
          <w:p>
            <w:pPr>
              <w:pStyle w:val="TableContents"/>
              <w:spacing w:before="0" w:after="283"/>
              <w:rPr/>
            </w:pPr>
            <w:r>
              <w:rPr/>
              <w:t> </w:t>
            </w:r>
          </w:p>
        </w:tc>
        <w:tc>
          <w:tcPr>
            <w:tcW w:w="38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Corey Watton**</w:t>
            </w:r>
          </w:p>
        </w:tc>
        <w:tc>
          <w:tcPr>
            <w:tcW w:w="9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13,946,989</w:t>
            </w:r>
          </w:p>
        </w:tc>
        <w:tc>
          <w:tcPr>
            <w:tcW w:w="9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3,543,810</w:t>
            </w:r>
          </w:p>
        </w:tc>
        <w:tc>
          <w:tcPr>
            <w:tcW w:w="15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70" w:type="dxa"/>
            <w:tcBorders/>
            <w:shd w:fill="CCEEFF" w:val="clear"/>
            <w:tcMar>
              <w:bottom w:w="0" w:type="dxa"/>
            </w:tcMar>
            <w:vAlign w:val="center"/>
          </w:tcPr>
          <w:p>
            <w:pPr>
              <w:pStyle w:val="TableContents"/>
              <w:spacing w:before="0" w:after="283"/>
              <w:rPr/>
            </w:pPr>
            <w:r>
              <w:rPr/>
              <w:t> </w:t>
            </w:r>
          </w:p>
        </w:tc>
        <w:tc>
          <w:tcPr>
            <w:tcW w:w="3800" w:type="dxa"/>
            <w:tcBorders/>
            <w:shd w:fill="CCEEFF" w:val="clear"/>
            <w:tcMar>
              <w:bottom w:w="0"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Directors nominated by the Company</w:t>
            </w:r>
          </w:p>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Directors nominated by Daniel J. Mangless</w:t>
            </w:r>
          </w:p>
        </w:tc>
        <w:tc>
          <w:tcPr>
            <w:tcW w:w="950" w:type="dxa"/>
            <w:tcBorders/>
            <w:shd w:fill="CCEEFF" w:val="clear"/>
            <w:tcMar>
              <w:bottom w:w="0" w:type="dxa"/>
            </w:tcMar>
            <w:vAlign w:val="center"/>
          </w:tcPr>
          <w:p>
            <w:pPr>
              <w:pStyle w:val="TableContents"/>
              <w:spacing w:before="0" w:after="283"/>
              <w:rPr/>
            </w:pPr>
            <w:r>
              <w:rPr/>
              <w:t> </w:t>
            </w:r>
          </w:p>
        </w:tc>
        <w:tc>
          <w:tcPr>
            <w:tcW w:w="950" w:type="dxa"/>
            <w:tcBorders/>
            <w:shd w:fill="CCEEFF" w:val="clear"/>
            <w:tcMar>
              <w:bottom w:w="0" w:type="dxa"/>
            </w:tcMar>
            <w:vAlign w:val="center"/>
          </w:tcPr>
          <w:p>
            <w:pPr>
              <w:pStyle w:val="TableContents"/>
              <w:spacing w:before="0" w:after="283"/>
              <w:rPr/>
            </w:pPr>
            <w:r>
              <w:rPr/>
              <w:t> </w:t>
            </w:r>
          </w:p>
        </w:tc>
        <w:tc>
          <w:tcPr>
            <w:tcW w:w="1550"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2"/>
        <w:gridCol w:w="6273"/>
        <w:gridCol w:w="950"/>
        <w:gridCol w:w="695"/>
        <w:gridCol w:w="995"/>
        <w:gridCol w:w="1150"/>
      </w:tblGrid>
      <w:tr>
        <w:trPr/>
        <w:tc>
          <w:tcPr>
            <w:tcW w:w="142" w:type="dxa"/>
            <w:tcBorders>
              <w:bottom w:val="single" w:sz="2" w:space="0" w:color="000000"/>
            </w:tcBorders>
            <w:shd w:fill="auto" w:val="clear"/>
            <w:vAlign w:val="center"/>
          </w:tcPr>
          <w:p>
            <w:pPr>
              <w:pStyle w:val="TableContents"/>
              <w:spacing w:before="0" w:after="283"/>
              <w:rPr/>
            </w:pPr>
            <w:r>
              <w:rPr/>
              <w:t> </w:t>
            </w:r>
          </w:p>
        </w:tc>
        <w:tc>
          <w:tcPr>
            <w:tcW w:w="6273" w:type="dxa"/>
            <w:tcBorders>
              <w:bottom w:val="single" w:sz="2" w:space="0" w:color="000000"/>
            </w:tcBorders>
            <w:shd w:fill="auto" w:val="clear"/>
            <w:vAlign w:val="center"/>
          </w:tcPr>
          <w:p>
            <w:pPr>
              <w:pStyle w:val="TableContents"/>
              <w:spacing w:before="0" w:after="283"/>
              <w:rPr/>
            </w:pPr>
            <w:r>
              <w:rPr/>
              <w:t> </w:t>
            </w:r>
          </w:p>
        </w:tc>
        <w:tc>
          <w:tcPr>
            <w:tcW w:w="9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9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1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42" w:type="dxa"/>
            <w:tcBorders/>
            <w:shd w:fill="CCEEFF" w:val="clear"/>
            <w:tcMar>
              <w:bottom w:w="0" w:type="dxa"/>
            </w:tcM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w:t>
            </w:r>
          </w:p>
        </w:tc>
        <w:tc>
          <w:tcPr>
            <w:tcW w:w="6273"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Ratification of the appointment of</w:t>
            </w:r>
            <w:r>
              <w:rPr>
                <w:rFonts w:ascii="Times New Roman" w:hAnsi="Times New Roman"/>
                <w:caps w:val="false"/>
                <w:smallCaps w:val="false"/>
                <w:sz w:val="20"/>
              </w:rPr>
              <w:t> </w:t>
            </w:r>
            <w:r>
              <w:rPr>
                <w:rFonts w:ascii="Times New Roman" w:hAnsi="Times New Roman"/>
                <w:b/>
                <w:caps w:val="false"/>
                <w:smallCaps w:val="false"/>
                <w:sz w:val="20"/>
              </w:rPr>
              <w:t>Ernst &amp; Young LLP as the</w:t>
            </w:r>
            <w:r>
              <w:rPr>
                <w:rFonts w:ascii="Times New Roman" w:hAnsi="Times New Roman"/>
                <w:caps w:val="false"/>
                <w:smallCaps w:val="false"/>
                <w:sz w:val="20"/>
              </w:rPr>
              <w:t> </w:t>
            </w:r>
            <w:r>
              <w:rPr>
                <w:rFonts w:ascii="Times New Roman" w:hAnsi="Times New Roman"/>
                <w:b/>
                <w:caps w:val="false"/>
                <w:smallCaps w:val="false"/>
                <w:sz w:val="20"/>
              </w:rPr>
              <w:t>independent registered public accounting firm for the Company</w:t>
            </w:r>
            <w:r>
              <w:rPr>
                <w:rFonts w:ascii="Times New Roman" w:hAnsi="Times New Roman"/>
                <w:caps w:val="false"/>
                <w:smallCaps w:val="false"/>
                <w:sz w:val="20"/>
              </w:rPr>
              <w:t>’</w:t>
            </w:r>
            <w:r>
              <w:rPr>
                <w:rFonts w:ascii="Times New Roman" w:hAnsi="Times New Roman"/>
                <w:b/>
                <w:caps w:val="false"/>
                <w:smallCaps w:val="false"/>
                <w:sz w:val="20"/>
              </w:rPr>
              <w:t>s fiscal year ending December 31, 2023.</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16,255,418</w:t>
            </w:r>
          </w:p>
        </w:tc>
        <w:tc>
          <w:tcPr>
            <w:tcW w:w="69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326,824</w:t>
            </w:r>
          </w:p>
        </w:tc>
        <w:tc>
          <w:tcPr>
            <w:tcW w:w="99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941,175</w:t>
            </w:r>
          </w:p>
        </w:tc>
        <w:tc>
          <w:tcPr>
            <w:tcW w:w="11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34"/>
        <w:gridCol w:w="6255"/>
        <w:gridCol w:w="950"/>
        <w:gridCol w:w="845"/>
        <w:gridCol w:w="995"/>
        <w:gridCol w:w="1026"/>
      </w:tblGrid>
      <w:tr>
        <w:trPr/>
        <w:tc>
          <w:tcPr>
            <w:tcW w:w="134" w:type="dxa"/>
            <w:tcBorders>
              <w:bottom w:val="single" w:sz="2" w:space="0" w:color="000000"/>
            </w:tcBorders>
            <w:shd w:fill="auto" w:val="clear"/>
            <w:vAlign w:val="center"/>
          </w:tcPr>
          <w:p>
            <w:pPr>
              <w:pStyle w:val="TableContents"/>
              <w:spacing w:before="0" w:after="283"/>
              <w:rPr/>
            </w:pPr>
            <w:r>
              <w:rPr/>
              <w:t> </w:t>
            </w:r>
          </w:p>
        </w:tc>
        <w:tc>
          <w:tcPr>
            <w:tcW w:w="6255" w:type="dxa"/>
            <w:tcBorders>
              <w:bottom w:val="single" w:sz="2" w:space="0" w:color="000000"/>
            </w:tcBorders>
            <w:shd w:fill="auto" w:val="clear"/>
            <w:vAlign w:val="center"/>
          </w:tcPr>
          <w:p>
            <w:pPr>
              <w:pStyle w:val="TableContents"/>
              <w:spacing w:before="0" w:after="283"/>
              <w:rPr/>
            </w:pPr>
            <w:r>
              <w:rPr/>
              <w:t> </w:t>
            </w:r>
          </w:p>
        </w:tc>
        <w:tc>
          <w:tcPr>
            <w:tcW w:w="9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84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9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026"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134" w:type="dxa"/>
            <w:tcBorders/>
            <w:shd w:fill="CCEEFF" w:val="clear"/>
            <w:tcMar>
              <w:bottom w:w="0" w:type="dxa"/>
            </w:tcM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w:t>
            </w:r>
          </w:p>
        </w:tc>
        <w:tc>
          <w:tcPr>
            <w:tcW w:w="62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The Mangless Proposal, to adopt a resolution that would repeal any provision of the Company</w:t>
            </w:r>
            <w:r>
              <w:rPr>
                <w:rFonts w:ascii="Times New Roman" w:hAnsi="Times New Roman"/>
                <w:caps w:val="false"/>
                <w:smallCaps w:val="false"/>
                <w:sz w:val="20"/>
              </w:rPr>
              <w:t>’</w:t>
            </w:r>
            <w:r>
              <w:rPr>
                <w:rFonts w:ascii="Times New Roman" w:hAnsi="Times New Roman"/>
                <w:b/>
                <w:caps w:val="false"/>
                <w:smallCaps w:val="false"/>
                <w:sz w:val="20"/>
              </w:rPr>
              <w:t>s Amended and Restated Bylaws in effect at the time of the Annual Meeting that was not included in the Company</w:t>
            </w:r>
            <w:r>
              <w:rPr>
                <w:rFonts w:ascii="Times New Roman" w:hAnsi="Times New Roman"/>
                <w:caps w:val="false"/>
                <w:smallCaps w:val="false"/>
                <w:sz w:val="20"/>
              </w:rPr>
              <w:t>’</w:t>
            </w:r>
            <w:r>
              <w:rPr>
                <w:rFonts w:ascii="Times New Roman" w:hAnsi="Times New Roman"/>
                <w:b/>
                <w:caps w:val="false"/>
                <w:smallCaps w:val="false"/>
                <w:sz w:val="20"/>
              </w:rPr>
              <w:t>s Amended and Restated Bylaws in effect as of January 1, 2023 (other than the change of the Company</w:t>
            </w:r>
            <w:r>
              <w:rPr>
                <w:rFonts w:ascii="Times New Roman" w:hAnsi="Times New Roman"/>
                <w:caps w:val="false"/>
                <w:smallCaps w:val="false"/>
                <w:sz w:val="20"/>
              </w:rPr>
              <w:t>’</w:t>
            </w:r>
            <w:r>
              <w:rPr>
                <w:rFonts w:ascii="Times New Roman" w:hAnsi="Times New Roman"/>
                <w:b/>
                <w:caps w:val="false"/>
                <w:smallCaps w:val="false"/>
                <w:sz w:val="20"/>
              </w:rPr>
              <w:t>s name).</w:t>
            </w:r>
          </w:p>
        </w:tc>
        <w:tc>
          <w:tcPr>
            <w:tcW w:w="9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14,491,565</w:t>
            </w:r>
          </w:p>
        </w:tc>
        <w:tc>
          <w:tcPr>
            <w:tcW w:w="84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2,913,126</w:t>
            </w:r>
          </w:p>
        </w:tc>
        <w:tc>
          <w:tcPr>
            <w:tcW w:w="99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118,726</w:t>
            </w:r>
          </w:p>
        </w:tc>
        <w:tc>
          <w:tcPr>
            <w:tcW w:w="1026"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spacing w:before="0" w:after="0"/>
        <w:ind w:left="0" w:right="0" w:hanging="0"/>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left"/>
        <w:rPr/>
      </w:pPr>
      <w:r>
        <w:rPr/>
        <w:t> </w:t>
      </w:r>
    </w:p>
    <w:p>
      <w:pPr>
        <w:pStyle w:val="Normal"/>
        <w:spacing w:before="0" w:after="0"/>
        <w:rPr>
          <w:sz w:val="4"/>
          <w:szCs w:val="4"/>
        </w:rPr>
      </w:pPr>
      <w:r>
        <w:rPr>
          <w:sz w:val="4"/>
          <w:szCs w:val="4"/>
        </w:rPr>
      </w:r>
      <w:bookmarkStart w:id="14" w:name="TBL8"/>
      <w:bookmarkStart w:id="15" w:name="TBL8"/>
      <w:bookmarkEnd w:id="15"/>
    </w:p>
    <w:tbl>
      <w:tblPr>
        <w:tblW w:w="5925" w:type="dxa"/>
        <w:jc w:val="left"/>
        <w:tblInd w:w="0" w:type="dxa"/>
        <w:tblCellMar>
          <w:top w:w="0" w:type="dxa"/>
          <w:left w:w="0" w:type="dxa"/>
          <w:bottom w:w="0" w:type="dxa"/>
          <w:right w:w="0" w:type="dxa"/>
        </w:tblCellMar>
      </w:tblPr>
      <w:tblGrid>
        <w:gridCol w:w="1685"/>
        <w:gridCol w:w="60"/>
        <w:gridCol w:w="320"/>
        <w:gridCol w:w="3860"/>
      </w:tblGrid>
      <w:tr>
        <w:trPr/>
        <w:tc>
          <w:tcPr>
            <w:tcW w:w="168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4180" w:type="dxa"/>
            <w:gridSpan w:val="2"/>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Zevra Therapeutics, Inc.</w:t>
            </w:r>
          </w:p>
        </w:tc>
      </w:tr>
      <w:tr>
        <w:trPr/>
        <w:tc>
          <w:tcPr>
            <w:tcW w:w="168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3860" w:type="dxa"/>
            <w:tcBorders/>
            <w:shd w:fill="auto" w:val="clear"/>
            <w:vAlign w:val="center"/>
          </w:tcPr>
          <w:p>
            <w:pPr>
              <w:pStyle w:val="TableContents"/>
              <w:spacing w:before="0" w:after="0"/>
              <w:ind w:left="0" w:right="0" w:hanging="0"/>
              <w:jc w:val="left"/>
              <w:rPr/>
            </w:pPr>
            <w:r>
              <w:rPr/>
              <w:t> </w:t>
            </w:r>
          </w:p>
        </w:tc>
      </w:tr>
      <w:tr>
        <w:trPr/>
        <w:tc>
          <w:tcPr>
            <w:tcW w:w="16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 April 26, 2023</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6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R. LaDuane Clifton</w:t>
            </w:r>
          </w:p>
        </w:tc>
      </w:tr>
      <w:tr>
        <w:trPr/>
        <w:tc>
          <w:tcPr>
            <w:tcW w:w="168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386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R. LaDuane Clifton, CPA</w:t>
            </w:r>
          </w:p>
        </w:tc>
      </w:tr>
      <w:tr>
        <w:trPr/>
        <w:tc>
          <w:tcPr>
            <w:tcW w:w="1685"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386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Secretary and Treasurer</w:t>
            </w:r>
          </w:p>
        </w:tc>
      </w:tr>
    </w:tbl>
    <w:p>
      <w:pPr>
        <w:pStyle w:val="TextBody"/>
        <w:spacing w:before="0" w:after="0"/>
        <w:ind w:left="0" w:right="0" w:hanging="0"/>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893</Words>
  <CharactersWithSpaces>5574</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