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Zevra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Woodline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4,785,771.00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4,785,771.00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4,785,771.00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Zevra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Federal Street, Boston, MA 02110</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Woodline Partners LP ("Woodline Partners" or the "Reporting Person"), a Delaware limited partnership, and the investment adviser to Woodline Master Fund LP and Woodline Spire Master Fund LP (together, the "Woodline Funds"), with respect to the shares of common stock, par value $0.0001 per share ("Common Stock"), of Zevra Therapeutics, Inc. (the "Company") directly held by the Woodline Funds. The filing of this statement should not be construed as an admission that any of the foregoing persons or the Reporting Person is, for the purposes of Section 13 of the Securities Exchange Act of 1934,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Woodline Partners is 4 Embarcadero Center, Suite 3450,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Woodline Partners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59,115,084 shares of Common Stock outstanding as of May 1, 2026, as reported in the Company's Quarterly Report on Form 10-Q for the quarterly period ended March 31, 2026, filed with the Securities and Exchange Commission on May 6, 2026.</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8.1%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Woodline Master Fund LP has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Woodline Partners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Erin Mullen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Erin Mullen,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1166</Words>
  <Characters>5879</Characters>
  <CharactersWithSpaces>7035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