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813721.xml.htm"/>
      <w:bookmarkStart w:id="1" w:name="kswkform4_178181372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Shih Alvin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ZEVRA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FEDERAL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ZEVRA THERAPEUTICS, INC.</w:t>
              </w:r>
            </w:hyperlink>
            <w:r>
              <w:rPr/>
              <w:t xml:space="preserve"> [ </w:t>
            </w:r>
            <w:r>
              <w:rPr>
                <w:rFonts w:ascii="Times;serif" w:hAnsi="Times;serif"/>
                <w:color w:val="0000FF"/>
                <w:sz w:val="24"/>
                <w:shd w:fill="FFFFFF" w:val="clear"/>
              </w:rPr>
              <w:t>ZVRA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8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71"/>
        <w:gridCol w:w="276"/>
        <w:gridCol w:w="906"/>
        <w:gridCol w:w="801"/>
        <w:gridCol w:w="891"/>
        <w:gridCol w:w="801"/>
        <w:gridCol w:w="801"/>
        <w:gridCol w:w="936"/>
        <w:gridCol w:w="831"/>
        <w:gridCol w:w="846"/>
      </w:tblGrid>
      <w:tr>
        <w:trPr>
          <w:tblHeader w:val="true"/>
        </w:trPr>
        <w:tc>
          <w:tcPr>
            <w:tcW w:w="120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11.17</w:t>
            </w: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30,000</w:t>
            </w:r>
            <w:r>
              <w:rPr>
                <w:rFonts w:ascii="Times;serif" w:hAnsi="Times;serif"/>
                <w:color w:val="008000"/>
                <w:position w:val="7"/>
                <w:sz w:val="16"/>
                <w:sz w:val="20"/>
                <w:shd w:fill="FFFFFF" w:val="clear"/>
              </w:rPr>
              <w:t>(2)</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06/03/2036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exercise price is equal to the closing price of the Issuer's common stock on the Nasdaq Global Select Market on the date of grant, June 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grant was awarded as compensation for the Reporting Person's service on the Issuer's board of directors pursuant to the Issuer's tenth amended and restated non-employee director compensation policy.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One hundred percent (100%) of the shares subject to the option shall vest on the earlier of (i) the first anniversary of the date of grant, (ii) the date that is one day prior to the first annual stockholders meeting occurring after the grant date or (iii) immediately prior to a change in control of the Issuer, subject in each case to the Reporting Person's continued service on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Timothy J. Sangiovanni, Attorney-in-Fact for Alvin Shih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0064" TargetMode="External"/><Relationship Id="rId5" Type="http://schemas.openxmlformats.org/officeDocument/2006/relationships/hyperlink" Target="http://www.sec.gov/cgi-bin/browse-edgar?action=getcompany&amp;CIK=00014346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703</Words>
  <Characters>3758</Characters>
  <CharactersWithSpaces>4397</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