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zvra20230630_10q.htm"/>
      <w:bookmarkStart w:id="1" w:name="kszvra20230630_10q"/>
      <w:bookmarkEnd w:id="0"/>
      <w:bookmarkEnd w:id="1"/>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FORM 10-Q</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pPr>
            <w:r>
              <w:rPr/>
              <w:t>☒</w:t>
            </w:r>
          </w:p>
        </w:tc>
        <w:tc>
          <w:tcPr>
            <w:tcW w:w="98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pPr>
            <w:r>
              <w:rPr/>
              <w:t>☐</w:t>
            </w:r>
          </w:p>
        </w:tc>
        <w:tc>
          <w:tcPr>
            <w:tcW w:w="98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u w:val="single"/>
        </w:rPr>
        <w:t>                      </w:t>
      </w:r>
      <w:r>
        <w:rPr>
          <w:rFonts w:ascii="Times New Roman;Times;serif" w:hAnsi="Times New Roman;Times;serif"/>
          <w:sz w:val="20"/>
        </w:rPr>
        <w:t xml:space="preserve"> </w:t>
      </w:r>
      <w:r>
        <w:rPr>
          <w:rFonts w:ascii="Times New Roman;Times;serif" w:hAnsi="Times New Roman;Times;serif"/>
          <w:b/>
          <w:sz w:val="20"/>
        </w:rPr>
        <w:t>to </w:t>
      </w:r>
      <w:r>
        <w:rPr>
          <w:rFonts w:ascii="Times New Roman;Times;serif" w:hAnsi="Times New Roman;Times;serif"/>
          <w:sz w:val="20"/>
          <w:u w:val="single"/>
        </w:rPr>
        <w:t>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No. 001-36913</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b/>
          <w:caps w:val="false"/>
          <w:smallCaps w:val="false"/>
          <w:sz w:val="48"/>
        </w:rPr>
      </w:pPr>
      <w:r>
        <w:rPr>
          <w:rFonts w:ascii="Times New Roman" w:hAnsi="Times New Roman"/>
          <w:b/>
          <w:caps w:val="false"/>
          <w:smallCaps w:val="false"/>
          <w:sz w:val="48"/>
        </w:rPr>
        <w:t>Zevra Therapeutics, Inc.</w:t>
      </w:r>
    </w:p>
    <w:p>
      <w:pPr>
        <w:pStyle w:val="TextBody"/>
        <w:bidi w:val="0"/>
        <w:spacing w:before="0" w:after="0"/>
        <w:ind w:left="150" w:right="15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150" w:right="15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150" w:right="150" w:hanging="0"/>
        <w:jc w:val="center"/>
        <w:rPr/>
      </w:pPr>
      <w:r>
        <w:rPr/>
        <w:t> </w:t>
      </w:r>
    </w:p>
    <w:tbl>
      <w:tblPr>
        <w:tblW w:w="8350" w:type="dxa"/>
        <w:jc w:val="left"/>
        <w:tblInd w:w="0" w:type="dxa"/>
        <w:tblLayout w:type="fixed"/>
        <w:tblCellMar>
          <w:top w:w="0" w:type="dxa"/>
          <w:left w:w="0" w:type="dxa"/>
          <w:bottom w:w="0" w:type="dxa"/>
          <w:right w:w="0" w:type="dxa"/>
        </w:tblCellMar>
      </w:tblPr>
      <w:tblGrid>
        <w:gridCol w:w="5285"/>
        <w:gridCol w:w="60"/>
        <w:gridCol w:w="3005"/>
      </w:tblGrid>
      <w:tr>
        <w:trPr/>
        <w:tc>
          <w:tcPr>
            <w:tcW w:w="528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vAlign w:val="center"/>
          </w:tcPr>
          <w:p>
            <w:pPr>
              <w:pStyle w:val="TableContents"/>
              <w:bidi w:val="0"/>
              <w:spacing w:before="0" w:after="0"/>
              <w:ind w:left="0" w:right="0" w:hanging="0"/>
              <w:jc w:val="center"/>
              <w:rPr/>
            </w:pPr>
            <w:r>
              <w:rPr/>
              <w:t> </w:t>
            </w:r>
          </w:p>
        </w:tc>
        <w:tc>
          <w:tcPr>
            <w:tcW w:w="300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20-5894398</w:t>
            </w:r>
          </w:p>
        </w:tc>
      </w:tr>
      <w:tr>
        <w:trPr/>
        <w:tc>
          <w:tcPr>
            <w:tcW w:w="528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(State or Other Jurisdiction of</w:t>
            </w:r>
            <w:r>
              <w:rPr>
                <w:rFonts w:ascii="Times New Roman;Times;serif" w:hAnsi="Times New Roman;Times;serif"/>
                <w:sz w:val="20"/>
              </w:rPr>
              <w:t> </w:t>
            </w:r>
            <w:r>
              <w:rPr>
                <w:rFonts w:ascii="Times New Roman;Times;serif" w:hAnsi="Times New Roman;Times;serif"/>
                <w:b/>
                <w:sz w:val="20"/>
              </w:rPr>
              <w:t>Incorporation or Organization)</w:t>
            </w:r>
          </w:p>
        </w:tc>
        <w:tc>
          <w:tcPr>
            <w:tcW w:w="60" w:type="dxa"/>
            <w:tcBorders/>
            <w:vAlign w:val="center"/>
          </w:tcPr>
          <w:p>
            <w:pPr>
              <w:pStyle w:val="TableContents"/>
              <w:bidi w:val="0"/>
              <w:spacing w:before="0" w:after="0"/>
              <w:ind w:left="0" w:right="0" w:hanging="0"/>
              <w:jc w:val="center"/>
              <w:rPr/>
            </w:pPr>
            <w:r>
              <w:rPr/>
              <w:t> </w:t>
            </w:r>
          </w:p>
        </w:tc>
        <w:tc>
          <w:tcPr>
            <w:tcW w:w="300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t> </w:t>
            </w:r>
            <w:r>
              <w:rPr>
                <w:rFonts w:ascii="Times New Roman;Times;serif" w:hAnsi="Times New Roman;Times;serif"/>
                <w:b/>
                <w:sz w:val="20"/>
              </w:rPr>
              <w:t>Identification No.)</w:t>
            </w:r>
          </w:p>
        </w:tc>
      </w:tr>
      <w:tr>
        <w:trPr/>
        <w:tc>
          <w:tcPr>
            <w:tcW w:w="5285" w:type="dxa"/>
            <w:tcBorders/>
            <w:vAlign w:val="center"/>
          </w:tcPr>
          <w:p>
            <w:pPr>
              <w:pStyle w:val="TableContents"/>
              <w:bidi w:val="0"/>
              <w:spacing w:before="0" w:after="0"/>
              <w:ind w:left="0" w:right="0" w:hanging="0"/>
              <w:jc w:val="center"/>
              <w:rPr/>
            </w:pPr>
            <w:r>
              <w:rPr/>
              <w:t> </w:t>
            </w:r>
          </w:p>
        </w:tc>
        <w:tc>
          <w:tcPr>
            <w:tcW w:w="60" w:type="dxa"/>
            <w:tcBorders/>
            <w:vAlign w:val="center"/>
          </w:tcPr>
          <w:p>
            <w:pPr>
              <w:pStyle w:val="TableContents"/>
              <w:bidi w:val="0"/>
              <w:spacing w:before="0" w:after="0"/>
              <w:ind w:left="0" w:right="0" w:hanging="0"/>
              <w:jc w:val="center"/>
              <w:rPr/>
            </w:pPr>
            <w:r>
              <w:rPr/>
              <w:t> </w:t>
            </w:r>
          </w:p>
        </w:tc>
        <w:tc>
          <w:tcPr>
            <w:tcW w:w="3005" w:type="dxa"/>
            <w:tcBorders/>
            <w:vAlign w:val="center"/>
          </w:tcPr>
          <w:p>
            <w:pPr>
              <w:pStyle w:val="TableContents"/>
              <w:bidi w:val="0"/>
              <w:spacing w:before="0" w:after="0"/>
              <w:ind w:left="0" w:right="0" w:hanging="0"/>
              <w:jc w:val="center"/>
              <w:rPr/>
            </w:pPr>
            <w:r>
              <w:rPr/>
              <w:t> </w:t>
            </w:r>
          </w:p>
        </w:tc>
      </w:tr>
      <w:tr>
        <w:trPr/>
        <w:tc>
          <w:tcPr>
            <w:tcW w:w="528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1180 Celebration Boulevard, Suite 103, Celebration, FL</w:t>
            </w:r>
          </w:p>
        </w:tc>
        <w:tc>
          <w:tcPr>
            <w:tcW w:w="60" w:type="dxa"/>
            <w:tcBorders/>
            <w:vAlign w:val="center"/>
          </w:tcPr>
          <w:p>
            <w:pPr>
              <w:pStyle w:val="TableContents"/>
              <w:bidi w:val="0"/>
              <w:spacing w:before="0" w:after="0"/>
              <w:ind w:left="0" w:right="0" w:hanging="0"/>
              <w:jc w:val="center"/>
              <w:rPr/>
            </w:pPr>
            <w:r>
              <w:rPr/>
              <w:t> </w:t>
            </w:r>
          </w:p>
        </w:tc>
        <w:tc>
          <w:tcPr>
            <w:tcW w:w="300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34747</w:t>
            </w:r>
          </w:p>
        </w:tc>
      </w:tr>
      <w:tr>
        <w:trPr/>
        <w:tc>
          <w:tcPr>
            <w:tcW w:w="528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0"/>
              <w:ind w:left="0" w:right="0" w:hanging="0"/>
              <w:jc w:val="center"/>
              <w:rPr/>
            </w:pPr>
            <w:r>
              <w:rPr/>
              <w:t> </w:t>
            </w:r>
          </w:p>
        </w:tc>
        <w:tc>
          <w:tcPr>
            <w:tcW w:w="300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shd w:fill="FFFFFF" w:val="clear"/>
        <w:bidi w:val="0"/>
        <w:spacing w:before="0" w:after="0"/>
        <w:ind w:left="0" w:right="0" w:hanging="0"/>
        <w:jc w:val="left"/>
        <w:rPr>
          <w:color w:val="000000"/>
        </w:rPr>
      </w:pPr>
      <w:r>
        <w:rPr>
          <w:color w:val="000000"/>
        </w:rPr>
        <w:t> </w:t>
      </w:r>
    </w:p>
    <w:tbl>
      <w:tblPr>
        <w:tblW w:w="9050" w:type="dxa"/>
        <w:jc w:val="left"/>
        <w:tblInd w:w="0" w:type="dxa"/>
        <w:tblLayout w:type="fixed"/>
        <w:tblCellMar>
          <w:top w:w="0" w:type="dxa"/>
          <w:left w:w="0" w:type="dxa"/>
          <w:bottom w:w="0" w:type="dxa"/>
          <w:right w:w="0" w:type="dxa"/>
        </w:tblCellMar>
      </w:tblPr>
      <w:tblGrid>
        <w:gridCol w:w="9050"/>
      </w:tblGrid>
      <w:tr>
        <w:trPr/>
        <w:tc>
          <w:tcPr>
            <w:tcW w:w="9050" w:type="dxa"/>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(321) 939-3416</w:t>
            </w:r>
          </w:p>
        </w:tc>
      </w:tr>
      <w:tr>
        <w:trPr/>
        <w:tc>
          <w:tcPr>
            <w:tcW w:w="9050" w:type="dxa"/>
            <w:tcBorders/>
            <w:vAlign w:val="center"/>
          </w:tcPr>
          <w:p>
            <w:pPr>
              <w:pStyle w:val="TableContents"/>
              <w:bidi w:val="0"/>
              <w:spacing w:before="0" w:after="283"/>
              <w:jc w:val="center"/>
              <w:rPr>
                <w:b/>
              </w:rPr>
            </w:pPr>
            <w:r>
              <w:rPr>
                <w:b/>
              </w:rPr>
              <w:t>(Registrant’</w:t>
            </w:r>
            <w:r>
              <w:rPr>
                <w:rFonts w:ascii="Times New Roman;Times;serif" w:hAnsi="Times New Roman;Times;serif"/>
                <w:b/>
                <w:sz w:val="20"/>
              </w:rPr>
              <w:t>s Telephone Number, Including Area Code)</w:t>
            </w:r>
          </w:p>
        </w:tc>
      </w:tr>
      <w:tr>
        <w:trPr/>
        <w:tc>
          <w:tcPr>
            <w:tcW w:w="9050" w:type="dxa"/>
            <w:tcBorders/>
            <w:vAlign w:val="center"/>
          </w:tcPr>
          <w:p>
            <w:pPr>
              <w:pStyle w:val="TableContents"/>
              <w:bidi w:val="0"/>
              <w:spacing w:before="0" w:after="283"/>
              <w:jc w:val="left"/>
              <w:rPr/>
            </w:pPr>
            <w:r>
              <w:rPr/>
              <w:t> </w:t>
            </w:r>
          </w:p>
        </w:tc>
      </w:tr>
      <w:tr>
        <w:trPr/>
        <w:tc>
          <w:tcPr>
            <w:tcW w:w="9050" w:type="dxa"/>
            <w:tcBorders/>
            <w:vAlign w:val="center"/>
          </w:tcPr>
          <w:p>
            <w:pPr>
              <w:pStyle w:val="TableContents"/>
              <w:bidi w:val="0"/>
              <w:spacing w:before="0" w:after="283"/>
              <w:jc w:val="left"/>
              <w:rPr/>
            </w:pPr>
            <w:r>
              <w:rPr/>
              <w:t> </w:t>
            </w:r>
          </w:p>
        </w:tc>
      </w:tr>
      <w:tr>
        <w:trPr/>
        <w:tc>
          <w:tcPr>
            <w:tcW w:w="9050" w:type="dxa"/>
            <w:tcBorders/>
            <w:vAlign w:val="center"/>
          </w:tcPr>
          <w:p>
            <w:pPr>
              <w:pStyle w:val="TableContents"/>
              <w:bidi w:val="0"/>
              <w:spacing w:before="0" w:after="283"/>
              <w:jc w:val="center"/>
              <w:rPr>
                <w:b/>
              </w:rPr>
            </w:pPr>
            <w:r>
              <w:rPr>
                <w:b/>
              </w:rPr>
              <w:t>(Former Name, Former Address, and Former Fiscal Year if Changed Since Last Report)</w:t>
            </w:r>
          </w:p>
        </w:tc>
      </w:tr>
      <w:tr>
        <w:trPr/>
        <w:tc>
          <w:tcPr>
            <w:tcW w:w="905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shd w:fill="FFFFFF" w:val="clear"/>
        <w:bidi w:val="0"/>
        <w:spacing w:before="0" w:after="0"/>
        <w:ind w:left="0" w:right="0" w:hanging="0"/>
        <w:jc w:val="left"/>
        <w:rPr>
          <w:color w:val="000000"/>
        </w:rPr>
      </w:pPr>
      <w:r>
        <w:rPr>
          <w:color w:val="000000"/>
        </w:rPr>
        <w:t> </w:t>
      </w:r>
    </w:p>
    <w:tbl>
      <w:tblPr>
        <w:tblW w:w="10035" w:type="dxa"/>
        <w:jc w:val="left"/>
        <w:tblInd w:w="0" w:type="dxa"/>
        <w:tblLayout w:type="fixed"/>
        <w:tblCellMar>
          <w:top w:w="28" w:type="dxa"/>
          <w:left w:w="28" w:type="dxa"/>
          <w:bottom w:w="0" w:type="dxa"/>
          <w:right w:w="0" w:type="dxa"/>
        </w:tblCellMar>
      </w:tblPr>
      <w:tblGrid>
        <w:gridCol w:w="4250"/>
        <w:gridCol w:w="1565"/>
        <w:gridCol w:w="4220"/>
      </w:tblGrid>
      <w:tr>
        <w:trPr/>
        <w:tc>
          <w:tcPr>
            <w:tcW w:w="4250" w:type="dxa"/>
            <w:tcBorders>
              <w:top w:val="single" w:sz="2" w:space="0" w:color="000000"/>
              <w:left w:val="single" w:sz="2" w:space="0" w:color="000000"/>
            </w:tcBorders>
            <w:vAlign w:val="center"/>
          </w:tcPr>
          <w:p>
            <w:pPr>
              <w:pStyle w:val="TableContents"/>
              <w:bidi w:val="0"/>
              <w:spacing w:before="0" w:after="283"/>
              <w:jc w:val="center"/>
              <w:rPr/>
            </w:pPr>
            <w:r>
              <w:rPr/>
              <w:t>Title of each class</w:t>
            </w:r>
          </w:p>
        </w:tc>
        <w:tc>
          <w:tcPr>
            <w:tcW w:w="1565" w:type="dxa"/>
            <w:tcBorders>
              <w:top w:val="single" w:sz="2" w:space="0" w:color="000000"/>
              <w:left w:val="single" w:sz="2" w:space="0" w:color="000000"/>
            </w:tcBorders>
            <w:vAlign w:val="center"/>
          </w:tcPr>
          <w:p>
            <w:pPr>
              <w:pStyle w:val="TableContents"/>
              <w:bidi w:val="0"/>
              <w:spacing w:before="0" w:after="283"/>
              <w:jc w:val="center"/>
              <w:rPr/>
            </w:pPr>
            <w:r>
              <w:rPr/>
              <w:t>Trading Symbol</w:t>
            </w:r>
          </w:p>
        </w:tc>
        <w:tc>
          <w:tcPr>
            <w:tcW w:w="4220" w:type="dxa"/>
            <w:tcBorders>
              <w:top w:val="single" w:sz="2" w:space="0" w:color="000000"/>
              <w:left w:val="single" w:sz="2" w:space="0" w:color="000000"/>
              <w:right w:val="single" w:sz="2" w:space="0" w:color="000000"/>
            </w:tcBorders>
            <w:tcMar>
              <w:right w:w="28" w:type="dxa"/>
            </w:tcMar>
            <w:vAlign w:val="center"/>
          </w:tcPr>
          <w:p>
            <w:pPr>
              <w:pStyle w:val="TableContents"/>
              <w:bidi w:val="0"/>
              <w:spacing w:before="0" w:after="283"/>
              <w:jc w:val="center"/>
              <w:rPr/>
            </w:pPr>
            <w:r>
              <w:rPr/>
              <w:t>Name of each exchange on which registered</w:t>
            </w:r>
          </w:p>
        </w:tc>
      </w:tr>
      <w:tr>
        <w:trPr/>
        <w:tc>
          <w:tcPr>
            <w:tcW w:w="4250"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283"/>
              <w:jc w:val="center"/>
              <w:rPr/>
            </w:pPr>
            <w:r>
              <w:rPr/>
              <w:t>Common Stock, $0.0001 par value per share</w:t>
            </w:r>
          </w:p>
        </w:tc>
        <w:tc>
          <w:tcPr>
            <w:tcW w:w="1565" w:type="dxa"/>
            <w:tcBorders>
              <w:top w:val="single" w:sz="2" w:space="0" w:color="000000"/>
              <w:left w:val="single" w:sz="2" w:space="0" w:color="000000"/>
              <w:bottom w:val="single" w:sz="2" w:space="0" w:color="000000"/>
            </w:tcBorders>
            <w:tcMar>
              <w:bottom w:w="28" w:type="dxa"/>
            </w:tcMar>
            <w:vAlign w:val="center"/>
          </w:tcPr>
          <w:p>
            <w:pPr>
              <w:pStyle w:val="TableContents"/>
              <w:bidi w:val="0"/>
              <w:spacing w:before="0" w:after="283"/>
              <w:jc w:val="center"/>
              <w:rPr/>
            </w:pPr>
            <w:r>
              <w:rPr/>
              <w:t>ZVRA</w:t>
            </w:r>
          </w:p>
        </w:tc>
        <w:tc>
          <w:tcPr>
            <w:tcW w:w="4220" w:type="dxa"/>
            <w:tcBorders>
              <w:top w:val="single" w:sz="2" w:space="0" w:color="000000"/>
              <w:left w:val="single" w:sz="2" w:space="0" w:color="000000"/>
              <w:bottom w:val="single" w:sz="2" w:space="0" w:color="000000"/>
              <w:right w:val="single" w:sz="2" w:space="0" w:color="000000"/>
            </w:tcBorders>
            <w:tcMar>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hd w:fill="FFFFFF" w:val="clear"/>
        <w:bidi w:val="0"/>
        <w:spacing w:before="0" w:after="0"/>
        <w:ind w:left="0" w:right="0" w:hanging="0"/>
        <w:jc w:val="left"/>
        <w:rPr>
          <w:color w:val="000000"/>
        </w:rPr>
      </w:pPr>
      <w:r>
        <w:rPr>
          <w:color w:val="000000"/>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pPr>
      <w:r>
        <w:rPr/>
        <w:t> </w:t>
      </w:r>
    </w:p>
    <w:tbl>
      <w:tblPr>
        <w:tblW w:w="4505" w:type="dxa"/>
        <w:jc w:val="left"/>
        <w:tblInd w:w="0" w:type="dxa"/>
        <w:tblLayout w:type="fixed"/>
        <w:tblCellMar>
          <w:top w:w="0" w:type="dxa"/>
          <w:left w:w="0" w:type="dxa"/>
          <w:bottom w:w="0" w:type="dxa"/>
          <w:right w:w="0" w:type="dxa"/>
        </w:tblCellMar>
      </w:tblPr>
      <w:tblGrid>
        <w:gridCol w:w="182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0"/>
              <w:ind w:left="0" w:right="0" w:hanging="0"/>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c>
          <w:tcPr>
            <w:tcW w:w="230"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firstLine="400"/>
        <w:jc w:val="both"/>
        <w:rPr/>
      </w:pPr>
      <w:r>
        <w:rPr/>
        <w:t> </w:t>
      </w:r>
    </w:p>
    <w:p>
      <w:pPr>
        <w:pStyle w:val="TextBody"/>
        <w:shd w:fill="FFFFFF" w:val="clear"/>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Indicate by check mark whether the registrant is a shell company (as defined in Rule 12b-2 of the Exchange Act).     Yes  ☐     No  ☒</w:t>
      </w:r>
    </w:p>
    <w:p>
      <w:pPr>
        <w:pStyle w:val="TextBody"/>
        <w:shd w:fill="FFFFFF" w:val="clear"/>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August 11, 2023, the registrant had 33,932,639 shares of common stock outstanding.</w:t>
      </w:r>
    </w:p>
    <w:p>
      <w:pPr>
        <w:pStyle w:val="TextBody"/>
        <w:bidi w:val="0"/>
        <w:spacing w:before="0" w:after="0"/>
        <w:jc w:val="left"/>
        <w:rPr>
          <w:shd w:fill="FFFFFF" w:val="clear"/>
        </w:rPr>
      </w:pPr>
      <w:r>
        <w:rPr>
          <w:shd w:fill="FFFFFF" w:val="clear"/>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shd w:fill="FFFFFF" w:val="clear"/>
        <w:bidi w:val="0"/>
        <w:jc w:val="left"/>
        <w:rPr>
          <w:rFonts w:ascii="Times New Roman;Times;serif" w:hAnsi="Times New Roman;Times;serif"/>
          <w:b/>
          <w:color w:val="000000"/>
          <w:sz w:val="20"/>
        </w:rPr>
      </w:pPr>
      <w:bookmarkStart w:id="2" w:name="toc"/>
      <w:bookmarkEnd w:id="2"/>
      <w:r>
        <w:rPr>
          <w:rFonts w:ascii="Times New Roman;Times;serif" w:hAnsi="Times New Roman;Times;serif"/>
          <w:b/>
          <w:color w:val="000000"/>
          <w:sz w:val="20"/>
        </w:rPr>
        <w:t>INDEX</w:t>
      </w:r>
    </w:p>
    <w:p>
      <w:pPr>
        <w:pStyle w:val="TextBody"/>
        <w:shd w:fill="FFFFFF" w:val="clear"/>
        <w:bidi w:val="0"/>
        <w:jc w:val="center"/>
        <w:rPr>
          <w:color w:val="000000"/>
        </w:rPr>
      </w:pPr>
      <w:r>
        <w:rPr>
          <w:color w:val="000000"/>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ZEVRA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625"/>
        <w:gridCol w:w="8884"/>
        <w:gridCol w:w="696"/>
      </w:tblGrid>
      <w:tr>
        <w:trPr/>
        <w:tc>
          <w:tcPr>
            <w:tcW w:w="625"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center"/>
              <w:rPr>
                <w:b/>
                <w:caps/>
              </w:rPr>
            </w:pPr>
            <w:r>
              <w:rPr>
                <w:b/>
                <w:caps/>
              </w:rPr>
              <w:t>Page</w:t>
            </w:r>
          </w:p>
        </w:tc>
      </w:tr>
      <w:tr>
        <w:trPr/>
        <w:tc>
          <w:tcPr>
            <w:tcW w:w="625"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r>
      <w:tr>
        <w:trPr/>
        <w:tc>
          <w:tcPr>
            <w:tcW w:w="625" w:type="dxa"/>
            <w:tcBorders/>
            <w:shd w:fill="CCEEFF" w:val="clear"/>
            <w:vAlign w:val="center"/>
          </w:tcPr>
          <w:p>
            <w:pPr>
              <w:pStyle w:val="TableContents"/>
              <w:bidi w:val="0"/>
              <w:spacing w:before="0" w:after="0"/>
              <w:ind w:left="0" w:right="0" w:hanging="0"/>
              <w:jc w:val="left"/>
              <w:rPr/>
            </w:pPr>
            <w:r>
              <w:rPr/>
              <w:t> </w:t>
            </w:r>
          </w:p>
        </w:tc>
        <w:tc>
          <w:tcPr>
            <w:tcW w:w="8884" w:type="dxa"/>
            <w:tcBorders/>
            <w:shd w:fill="CCEEFF" w:val="clear"/>
            <w:vAlign w:val="center"/>
          </w:tcPr>
          <w:p>
            <w:pPr>
              <w:pStyle w:val="TableContents"/>
              <w:bidi w:val="0"/>
              <w:spacing w:before="0" w:after="0"/>
              <w:ind w:left="0" w:right="0" w:hanging="0"/>
              <w:jc w:val="center"/>
              <w:rPr/>
            </w:pPr>
            <w:hyperlink w:anchor="part1">
              <w:r>
                <w:rPr>
                  <w:rStyle w:val="InternetLink"/>
                  <w:rFonts w:ascii="Times New Roman" w:hAnsi="Times New Roman"/>
                  <w:b/>
                  <w:sz w:val="20"/>
                </w:rPr>
                <w:t>PART I — FINANCIAL INFORMATION</w:t>
              </w:r>
            </w:hyperlink>
          </w:p>
        </w:tc>
        <w:tc>
          <w:tcPr>
            <w:tcW w:w="696" w:type="dxa"/>
            <w:tcBorders/>
            <w:shd w:fill="CCEEFF" w:val="clear"/>
            <w:vAlign w:val="center"/>
          </w:tcPr>
          <w:p>
            <w:pPr>
              <w:pStyle w:val="TableContents"/>
              <w:bidi w:val="0"/>
              <w:spacing w:before="0" w:after="0"/>
              <w:ind w:left="0" w:right="0" w:hanging="0"/>
              <w:jc w:val="right"/>
              <w:rPr/>
            </w:pPr>
            <w:r>
              <w:rPr/>
              <w:t> </w:t>
            </w:r>
          </w:p>
        </w:tc>
      </w:tr>
      <w:tr>
        <w:trPr/>
        <w:tc>
          <w:tcPr>
            <w:tcW w:w="625" w:type="dxa"/>
            <w:tcBorders/>
            <w:shd w:fill="FFFFFF" w:val="clear"/>
            <w:vAlign w:val="center"/>
          </w:tcPr>
          <w:p>
            <w:pPr>
              <w:pStyle w:val="TableContents"/>
              <w:bidi w:val="0"/>
              <w:spacing w:before="0" w:after="0"/>
              <w:ind w:left="0" w:right="0" w:hanging="0"/>
              <w:jc w:val="left"/>
              <w:rPr/>
            </w:pPr>
            <w:r>
              <w:rPr/>
              <w:t> </w:t>
            </w:r>
          </w:p>
        </w:tc>
        <w:tc>
          <w:tcPr>
            <w:tcW w:w="8884" w:type="dxa"/>
            <w:tcBorders/>
            <w:shd w:fill="FFFFFF" w:val="clear"/>
            <w:vAlign w:val="center"/>
          </w:tcPr>
          <w:p>
            <w:pPr>
              <w:pStyle w:val="TableContents"/>
              <w:bidi w:val="0"/>
              <w:spacing w:before="0" w:after="0"/>
              <w:ind w:left="0" w:right="0" w:hanging="0"/>
              <w:jc w:val="left"/>
              <w:rPr/>
            </w:pPr>
            <w:r>
              <w:rPr/>
              <w:t> </w:t>
            </w:r>
          </w:p>
        </w:tc>
        <w:tc>
          <w:tcPr>
            <w:tcW w:w="696" w:type="dxa"/>
            <w:tcBorders/>
            <w:shd w:fill="FFFFFF" w:val="clear"/>
            <w:vAlign w:val="center"/>
          </w:tcPr>
          <w:p>
            <w:pPr>
              <w:pStyle w:val="TableContents"/>
              <w:bidi w:val="0"/>
              <w:spacing w:before="0" w:after="0"/>
              <w:ind w:left="0" w:right="0" w:hanging="0"/>
              <w:jc w:val="left"/>
              <w:rPr/>
            </w:pPr>
            <w:r>
              <w:rPr/>
              <w:t> </w:t>
            </w:r>
          </w:p>
        </w:tc>
      </w:tr>
      <w:tr>
        <w:trPr/>
        <w:tc>
          <w:tcPr>
            <w:tcW w:w="625" w:type="dxa"/>
            <w:tcBorders/>
            <w:shd w:fill="CCEE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1.</w:t>
            </w:r>
          </w:p>
        </w:tc>
        <w:tc>
          <w:tcPr>
            <w:tcW w:w="8884" w:type="dxa"/>
            <w:tcBorders/>
            <w:shd w:fill="CCEEFF" w:val="clear"/>
            <w:vAlign w:val="center"/>
          </w:tcPr>
          <w:p>
            <w:pPr>
              <w:pStyle w:val="TableContents"/>
              <w:bidi w:val="0"/>
              <w:spacing w:before="0" w:after="0"/>
              <w:ind w:left="0" w:right="0" w:hanging="0"/>
              <w:jc w:val="left"/>
              <w:rPr/>
            </w:pPr>
            <w:hyperlink w:anchor="part1">
              <w:r>
                <w:rPr>
                  <w:rStyle w:val="InternetLink"/>
                  <w:rFonts w:ascii="Times New Roman" w:hAnsi="Times New Roman"/>
                  <w:caps/>
                  <w:sz w:val="20"/>
                </w:rPr>
                <w:t>unaudited CondeNSed CONSOLIDaTED Financial Statements</w:t>
              </w:r>
            </w:hyperlink>
          </w:p>
        </w:tc>
        <w:tc>
          <w:tcPr>
            <w:tcW w:w="696" w:type="dxa"/>
            <w:tcBorders/>
            <w:shd w:fill="CCEEFF" w:val="clear"/>
            <w:vAlign w:val="center"/>
          </w:tcPr>
          <w:p>
            <w:pPr>
              <w:pStyle w:val="TableContents"/>
              <w:bidi w:val="0"/>
              <w:spacing w:before="0" w:after="0"/>
              <w:ind w:left="0" w:right="0" w:hanging="0"/>
              <w:jc w:val="right"/>
              <w:rPr/>
            </w:pPr>
            <w:r>
              <w:rPr/>
              <w:t> </w:t>
            </w:r>
          </w:p>
        </w:tc>
      </w:tr>
      <w:tr>
        <w:trPr/>
        <w:tc>
          <w:tcPr>
            <w:tcW w:w="625" w:type="dxa"/>
            <w:tcBorders/>
            <w:shd w:fill="FFFFFF" w:val="clear"/>
            <w:vAlign w:val="center"/>
          </w:tcPr>
          <w:p>
            <w:pPr>
              <w:pStyle w:val="TableContents"/>
              <w:bidi w:val="0"/>
              <w:spacing w:before="0" w:after="0"/>
              <w:ind w:left="0" w:right="0" w:hanging="0"/>
              <w:jc w:val="left"/>
              <w:rPr/>
            </w:pPr>
            <w:r>
              <w:rPr/>
              <w:t> </w:t>
            </w:r>
          </w:p>
        </w:tc>
        <w:tc>
          <w:tcPr>
            <w:tcW w:w="8884" w:type="dxa"/>
            <w:tcBorders/>
            <w:shd w:fill="FFFFFF" w:val="clear"/>
            <w:vAlign w:val="center"/>
          </w:tcPr>
          <w:p>
            <w:pPr>
              <w:pStyle w:val="TableContents"/>
              <w:bidi w:val="0"/>
              <w:spacing w:before="0" w:after="0"/>
              <w:ind w:left="180" w:right="0" w:hanging="0"/>
              <w:jc w:val="left"/>
              <w:rPr/>
            </w:pPr>
            <w:hyperlink w:anchor="part1">
              <w:r>
                <w:rPr>
                  <w:rStyle w:val="InternetLink"/>
                  <w:rFonts w:ascii="Times New Roman" w:hAnsi="Times New Roman"/>
                  <w:caps/>
                  <w:sz w:val="20"/>
                </w:rPr>
                <w:t>UNAUDITED Condensed CONSOLIDATED Balance Sheets as of JUNE 30, 2023, and December 31, 2022</w:t>
              </w:r>
            </w:hyperlink>
          </w:p>
        </w:tc>
        <w:tc>
          <w:tcPr>
            <w:tcW w:w="696" w:type="dxa"/>
            <w:tcBorders/>
            <w:shd w:fill="FFFFFF" w:val="clear"/>
            <w:vAlign w:val="center"/>
          </w:tcPr>
          <w:p>
            <w:pPr>
              <w:pStyle w:val="TableContents"/>
              <w:bidi w:val="0"/>
              <w:spacing w:before="0" w:after="0"/>
              <w:ind w:left="0" w:right="0" w:hanging="0"/>
              <w:jc w:val="center"/>
              <w:rPr/>
            </w:pPr>
            <w:hyperlink w:anchor="part1">
              <w:r>
                <w:rPr>
                  <w:rStyle w:val="InternetLink"/>
                  <w:rFonts w:ascii="Times New Roman" w:hAnsi="Times New Roman"/>
                  <w:sz w:val="20"/>
                </w:rPr>
                <w:t>4</w:t>
              </w:r>
            </w:hyperlink>
          </w:p>
        </w:tc>
      </w:tr>
      <w:tr>
        <w:trPr/>
        <w:tc>
          <w:tcPr>
            <w:tcW w:w="625" w:type="dxa"/>
            <w:tcBorders/>
            <w:shd w:fill="CCEEFF" w:val="clear"/>
            <w:vAlign w:val="center"/>
          </w:tcPr>
          <w:p>
            <w:pPr>
              <w:pStyle w:val="TableContents"/>
              <w:bidi w:val="0"/>
              <w:spacing w:before="0" w:after="0"/>
              <w:ind w:left="0" w:right="0" w:hanging="0"/>
              <w:jc w:val="left"/>
              <w:rPr/>
            </w:pPr>
            <w:r>
              <w:rPr/>
              <w:t> </w:t>
            </w:r>
          </w:p>
        </w:tc>
        <w:tc>
          <w:tcPr>
            <w:tcW w:w="8884" w:type="dxa"/>
            <w:tcBorders/>
            <w:shd w:fill="CCEEFF" w:val="clear"/>
            <w:vAlign w:val="center"/>
          </w:tcPr>
          <w:p>
            <w:pPr>
              <w:pStyle w:val="TableContents"/>
              <w:bidi w:val="0"/>
              <w:spacing w:before="0" w:after="0"/>
              <w:ind w:left="180" w:right="0" w:hanging="0"/>
              <w:jc w:val="left"/>
              <w:rPr/>
            </w:pPr>
            <w:hyperlink w:anchor="ops">
              <w:r>
                <w:rPr>
                  <w:rStyle w:val="InternetLink"/>
                  <w:rFonts w:ascii="Times New Roman" w:hAnsi="Times New Roman"/>
                  <w:caps/>
                  <w:sz w:val="20"/>
                </w:rPr>
                <w:t>UNAUDITED Condensed CONSOLIDATED Statements of Operations for the three AND SIX Months ended JUNE 30, 2023, and 2022</w:t>
              </w:r>
            </w:hyperlink>
          </w:p>
        </w:tc>
        <w:tc>
          <w:tcPr>
            <w:tcW w:w="696" w:type="dxa"/>
            <w:tcBorders/>
            <w:shd w:fill="CCEEFF" w:val="clear"/>
            <w:vAlign w:val="center"/>
          </w:tcPr>
          <w:p>
            <w:pPr>
              <w:pStyle w:val="TableContents"/>
              <w:bidi w:val="0"/>
              <w:spacing w:before="0" w:after="0"/>
              <w:ind w:left="0" w:right="0" w:hanging="0"/>
              <w:jc w:val="center"/>
              <w:rPr/>
            </w:pPr>
            <w:hyperlink w:anchor="ops">
              <w:r>
                <w:rPr>
                  <w:rStyle w:val="InternetLink"/>
                  <w:rFonts w:ascii="Times New Roman" w:hAnsi="Times New Roman"/>
                  <w:sz w:val="20"/>
                </w:rPr>
                <w:t>5</w:t>
              </w:r>
            </w:hyperlink>
          </w:p>
        </w:tc>
      </w:tr>
      <w:tr>
        <w:trPr/>
        <w:tc>
          <w:tcPr>
            <w:tcW w:w="625" w:type="dxa"/>
            <w:tcBorders/>
            <w:shd w:fill="FFFFFF" w:val="clear"/>
            <w:vAlign w:val="center"/>
          </w:tcPr>
          <w:p>
            <w:pPr>
              <w:pStyle w:val="TableContents"/>
              <w:bidi w:val="0"/>
              <w:spacing w:before="0" w:after="283"/>
              <w:jc w:val="left"/>
              <w:rPr/>
            </w:pPr>
            <w:r>
              <w:rPr/>
              <w:t> </w:t>
            </w:r>
          </w:p>
        </w:tc>
        <w:tc>
          <w:tcPr>
            <w:tcW w:w="8884" w:type="dxa"/>
            <w:tcBorders/>
            <w:shd w:fill="FFFFFF" w:val="clear"/>
            <w:vAlign w:val="center"/>
          </w:tcPr>
          <w:p>
            <w:pPr>
              <w:pStyle w:val="TableContents"/>
              <w:bidi w:val="0"/>
              <w:spacing w:before="0" w:after="283"/>
              <w:jc w:val="left"/>
              <w:rPr/>
            </w:pPr>
            <w:hyperlink w:anchor="Comp_Incom">
              <w:r>
                <w:rPr>
                  <w:rStyle w:val="InternetLink"/>
                </w:rPr>
                <w:t>UNAUDITED CONDENSED CONSOLIDATED STATEMENTS OF COMPREHENSIVE INCOME (LOSS) FOR THE THREE AND SIX MONTHS ENDED JUNE 30, 2023, and 2022</w:t>
              </w:r>
            </w:hyperlink>
          </w:p>
        </w:tc>
        <w:tc>
          <w:tcPr>
            <w:tcW w:w="696" w:type="dxa"/>
            <w:tcBorders/>
            <w:shd w:fill="FFFFFF" w:val="clear"/>
            <w:vAlign w:val="center"/>
          </w:tcPr>
          <w:p>
            <w:pPr>
              <w:pStyle w:val="TableContents"/>
              <w:bidi w:val="0"/>
              <w:spacing w:before="0" w:after="283"/>
              <w:jc w:val="center"/>
              <w:rPr/>
            </w:pPr>
            <w:hyperlink w:anchor="Comp_Incom">
              <w:r>
                <w:rPr>
                  <w:rStyle w:val="InternetLink"/>
                </w:rPr>
                <w:t>6</w:t>
              </w:r>
            </w:hyperlink>
          </w:p>
        </w:tc>
      </w:tr>
      <w:tr>
        <w:trPr/>
        <w:tc>
          <w:tcPr>
            <w:tcW w:w="625" w:type="dxa"/>
            <w:tcBorders/>
            <w:shd w:fill="CCEEFF" w:val="clear"/>
            <w:vAlign w:val="center"/>
          </w:tcPr>
          <w:p>
            <w:pPr>
              <w:pStyle w:val="TableContents"/>
              <w:bidi w:val="0"/>
              <w:spacing w:before="0" w:after="283"/>
              <w:jc w:val="left"/>
              <w:rPr/>
            </w:pPr>
            <w:r>
              <w:rPr/>
              <w:t> </w:t>
            </w:r>
          </w:p>
        </w:tc>
        <w:tc>
          <w:tcPr>
            <w:tcW w:w="8884" w:type="dxa"/>
            <w:tcBorders/>
            <w:shd w:fill="CCEEFF" w:val="clear"/>
            <w:vAlign w:val="center"/>
          </w:tcPr>
          <w:p>
            <w:pPr>
              <w:pStyle w:val="TableContents"/>
              <w:bidi w:val="0"/>
              <w:spacing w:before="0" w:after="283"/>
              <w:jc w:val="left"/>
              <w:rPr/>
            </w:pPr>
            <w:hyperlink w:anchor="equity">
              <w:r>
                <w:rPr>
                  <w:rStyle w:val="InternetLink"/>
                </w:rPr>
                <w:t xml:space="preserve">UNAUDITED CONDENSED CONSOLIDATED STATEMENTS OF STOCKHOLDERS' EQUITY FOR THE THREE AND </w:t>
              </w:r>
            </w:hyperlink>
            <w:hyperlink w:anchor="equity">
              <w:r>
                <w:rPr>
                  <w:rStyle w:val="InternetLink"/>
                  <w:caps/>
                </w:rPr>
                <w:t xml:space="preserve">SIX </w:t>
              </w:r>
            </w:hyperlink>
            <w:hyperlink w:anchor="equity">
              <w:r>
                <w:rPr>
                  <w:rStyle w:val="InternetLink"/>
                </w:rPr>
                <w:t>MONTHS ENDED JUNE 30, 2023, AND 2022</w:t>
              </w:r>
            </w:hyperlink>
          </w:p>
        </w:tc>
        <w:tc>
          <w:tcPr>
            <w:tcW w:w="696" w:type="dxa"/>
            <w:tcBorders/>
            <w:shd w:fill="CCEEFF" w:val="clear"/>
            <w:vAlign w:val="center"/>
          </w:tcPr>
          <w:p>
            <w:pPr>
              <w:pStyle w:val="TableContents"/>
              <w:bidi w:val="0"/>
              <w:spacing w:before="0" w:after="283"/>
              <w:jc w:val="center"/>
              <w:rPr/>
            </w:pPr>
            <w:hyperlink w:anchor="equity">
              <w:r>
                <w:rPr>
                  <w:rStyle w:val="InternetLink"/>
                </w:rPr>
                <w:t>7</w:t>
              </w:r>
            </w:hyperlink>
          </w:p>
        </w:tc>
      </w:tr>
      <w:tr>
        <w:trPr/>
        <w:tc>
          <w:tcPr>
            <w:tcW w:w="625" w:type="dxa"/>
            <w:tcBorders/>
            <w:shd w:fill="FFFFFF" w:val="clear"/>
            <w:vAlign w:val="center"/>
          </w:tcPr>
          <w:p>
            <w:pPr>
              <w:pStyle w:val="TableContents"/>
              <w:bidi w:val="0"/>
              <w:spacing w:before="0" w:after="0"/>
              <w:ind w:left="0" w:right="0" w:hanging="0"/>
              <w:jc w:val="left"/>
              <w:rPr/>
            </w:pPr>
            <w:r>
              <w:rPr/>
              <w:t> </w:t>
            </w:r>
          </w:p>
        </w:tc>
        <w:tc>
          <w:tcPr>
            <w:tcW w:w="8884" w:type="dxa"/>
            <w:tcBorders/>
            <w:shd w:fill="FFFFFF" w:val="clear"/>
            <w:vAlign w:val="center"/>
          </w:tcPr>
          <w:p>
            <w:pPr>
              <w:pStyle w:val="TableContents"/>
              <w:bidi w:val="0"/>
              <w:spacing w:before="0" w:after="0"/>
              <w:ind w:left="180" w:right="0" w:hanging="0"/>
              <w:jc w:val="left"/>
              <w:rPr/>
            </w:pPr>
            <w:hyperlink w:anchor="cf">
              <w:r>
                <w:rPr>
                  <w:rStyle w:val="InternetLink"/>
                  <w:rFonts w:ascii="Times New Roman" w:hAnsi="Times New Roman"/>
                  <w:caps/>
                  <w:sz w:val="20"/>
                </w:rPr>
                <w:t>Unaudited condensed CONSOLIDATED Statements of Cash Flows for the SIX months ended JUNE 30, 2023, and 2022</w:t>
              </w:r>
            </w:hyperlink>
          </w:p>
        </w:tc>
        <w:tc>
          <w:tcPr>
            <w:tcW w:w="696" w:type="dxa"/>
            <w:tcBorders/>
            <w:shd w:fill="FFFFFF" w:val="clear"/>
            <w:vAlign w:val="center"/>
          </w:tcPr>
          <w:p>
            <w:pPr>
              <w:pStyle w:val="TableContents"/>
              <w:bidi w:val="0"/>
              <w:spacing w:before="0" w:after="0"/>
              <w:ind w:left="0" w:right="0" w:hanging="0"/>
              <w:jc w:val="center"/>
              <w:rPr/>
            </w:pPr>
            <w:hyperlink w:anchor="cf">
              <w:r>
                <w:rPr>
                  <w:rStyle w:val="InternetLink"/>
                  <w:rFonts w:ascii="Times New Roman" w:hAnsi="Times New Roman"/>
                  <w:sz w:val="20"/>
                </w:rPr>
                <w:t>9</w:t>
              </w:r>
            </w:hyperlink>
          </w:p>
        </w:tc>
      </w:tr>
      <w:tr>
        <w:trPr/>
        <w:tc>
          <w:tcPr>
            <w:tcW w:w="625" w:type="dxa"/>
            <w:tcBorders/>
            <w:shd w:fill="CCEEFF" w:val="clear"/>
            <w:vAlign w:val="center"/>
          </w:tcPr>
          <w:p>
            <w:pPr>
              <w:pStyle w:val="TableContents"/>
              <w:bidi w:val="0"/>
              <w:spacing w:before="0" w:after="0"/>
              <w:ind w:left="0" w:right="0" w:hanging="0"/>
              <w:jc w:val="left"/>
              <w:rPr/>
            </w:pPr>
            <w:r>
              <w:rPr/>
              <w:t> </w:t>
            </w:r>
          </w:p>
        </w:tc>
        <w:tc>
          <w:tcPr>
            <w:tcW w:w="8884" w:type="dxa"/>
            <w:tcBorders/>
            <w:shd w:fill="CCEEFF" w:val="clear"/>
            <w:vAlign w:val="center"/>
          </w:tcPr>
          <w:p>
            <w:pPr>
              <w:pStyle w:val="TableContents"/>
              <w:bidi w:val="0"/>
              <w:spacing w:before="0" w:after="0"/>
              <w:ind w:left="180" w:right="0" w:hanging="0"/>
              <w:jc w:val="left"/>
              <w:rPr/>
            </w:pPr>
            <w:hyperlink w:anchor="notes">
              <w:r>
                <w:rPr>
                  <w:rStyle w:val="InternetLink"/>
                  <w:rFonts w:ascii="Times New Roman" w:hAnsi="Times New Roman"/>
                  <w:caps/>
                  <w:sz w:val="20"/>
                </w:rPr>
                <w:t>Notes to unaudited Condensed CONSOLIDATED Financial Statements</w:t>
              </w:r>
            </w:hyperlink>
          </w:p>
        </w:tc>
        <w:tc>
          <w:tcPr>
            <w:tcW w:w="696" w:type="dxa"/>
            <w:tcBorders/>
            <w:shd w:fill="CCEEFF" w:val="clear"/>
            <w:vAlign w:val="center"/>
          </w:tcPr>
          <w:p>
            <w:pPr>
              <w:pStyle w:val="TableContents"/>
              <w:bidi w:val="0"/>
              <w:spacing w:before="0" w:after="0"/>
              <w:ind w:left="0" w:right="0" w:hanging="0"/>
              <w:jc w:val="center"/>
              <w:rPr/>
            </w:pPr>
            <w:hyperlink w:anchor="notes">
              <w:r>
                <w:rPr>
                  <w:rStyle w:val="InternetLink"/>
                  <w:rFonts w:ascii="Times New Roman" w:hAnsi="Times New Roman"/>
                  <w:sz w:val="20"/>
                </w:rPr>
                <w:t>10</w:t>
              </w:r>
            </w:hyperlink>
          </w:p>
        </w:tc>
      </w:tr>
      <w:tr>
        <w:trPr/>
        <w:tc>
          <w:tcPr>
            <w:tcW w:w="625" w:type="dxa"/>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2.</w:t>
            </w:r>
          </w:p>
        </w:tc>
        <w:tc>
          <w:tcPr>
            <w:tcW w:w="8884" w:type="dxa"/>
            <w:tcBorders/>
            <w:shd w:fill="FFFFFF" w:val="clear"/>
            <w:vAlign w:val="center"/>
          </w:tcPr>
          <w:p>
            <w:pPr>
              <w:pStyle w:val="TableContents"/>
              <w:bidi w:val="0"/>
              <w:spacing w:before="0" w:after="0"/>
              <w:ind w:left="0" w:right="0" w:hanging="0"/>
              <w:jc w:val="left"/>
              <w:rPr/>
            </w:pPr>
            <w:hyperlink w:anchor="item2">
              <w:r>
                <w:rPr>
                  <w:rStyle w:val="InternetLink"/>
                  <w:rFonts w:ascii="Times New Roman" w:hAnsi="Times New Roman"/>
                  <w:caps/>
                  <w:sz w:val="20"/>
                </w:rPr>
                <w:t>Management’</w:t>
              </w:r>
            </w:hyperlink>
            <w:hyperlink w:anchor="item2">
              <w:r>
                <w:rPr>
                  <w:rStyle w:val="InternetLink"/>
                  <w:rFonts w:ascii="Times New Roman;Times;serif" w:hAnsi="Times New Roman;Times;serif"/>
                  <w:caps/>
                  <w:sz w:val="20"/>
                </w:rPr>
                <w:t>s Discussion and Analysis of Financial Condition and Results of Operations</w:t>
              </w:r>
            </w:hyperlink>
          </w:p>
        </w:tc>
        <w:tc>
          <w:tcPr>
            <w:tcW w:w="696" w:type="dxa"/>
            <w:tcBorders/>
            <w:shd w:fill="FFFFFF" w:val="clear"/>
            <w:vAlign w:val="center"/>
          </w:tcPr>
          <w:p>
            <w:pPr>
              <w:pStyle w:val="TableContents"/>
              <w:bidi w:val="0"/>
              <w:spacing w:before="0" w:after="283"/>
              <w:jc w:val="center"/>
              <w:rPr/>
            </w:pPr>
            <w:hyperlink w:anchor="item2">
              <w:r>
                <w:rPr>
                  <w:rStyle w:val="InternetLink"/>
                </w:rPr>
                <w:t>24</w:t>
              </w:r>
            </w:hyperlink>
          </w:p>
        </w:tc>
      </w:tr>
      <w:tr>
        <w:trPr/>
        <w:tc>
          <w:tcPr>
            <w:tcW w:w="625" w:type="dxa"/>
            <w:tcBorders/>
            <w:shd w:fill="CCEE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3.</w:t>
            </w:r>
          </w:p>
        </w:tc>
        <w:tc>
          <w:tcPr>
            <w:tcW w:w="8884" w:type="dxa"/>
            <w:tcBorders/>
            <w:shd w:fill="CCEEFF" w:val="clear"/>
            <w:vAlign w:val="center"/>
          </w:tcPr>
          <w:p>
            <w:pPr>
              <w:pStyle w:val="TableContents"/>
              <w:bidi w:val="0"/>
              <w:spacing w:before="0" w:after="0"/>
              <w:ind w:left="0" w:right="0" w:hanging="0"/>
              <w:jc w:val="left"/>
              <w:rPr/>
            </w:pPr>
            <w:hyperlink w:anchor="item3">
              <w:r>
                <w:rPr>
                  <w:rStyle w:val="InternetLink"/>
                  <w:rFonts w:ascii="Times New Roman" w:hAnsi="Times New Roman"/>
                  <w:caps/>
                  <w:sz w:val="20"/>
                </w:rPr>
                <w:t>Quantitative and Qualitative Disclosures About Market Risk</w:t>
              </w:r>
            </w:hyperlink>
          </w:p>
        </w:tc>
        <w:tc>
          <w:tcPr>
            <w:tcW w:w="696" w:type="dxa"/>
            <w:tcBorders/>
            <w:shd w:fill="CCEEFF" w:val="clear"/>
            <w:vAlign w:val="center"/>
          </w:tcPr>
          <w:p>
            <w:pPr>
              <w:pStyle w:val="TableContents"/>
              <w:bidi w:val="0"/>
              <w:spacing w:before="0" w:after="0"/>
              <w:ind w:left="0" w:right="0" w:hanging="0"/>
              <w:jc w:val="center"/>
              <w:rPr/>
            </w:pPr>
            <w:hyperlink w:anchor="item3">
              <w:r>
                <w:rPr>
                  <w:rStyle w:val="InternetLink"/>
                  <w:rFonts w:ascii="Times New Roman" w:hAnsi="Times New Roman"/>
                  <w:sz w:val="20"/>
                </w:rPr>
                <w:t>33</w:t>
              </w:r>
            </w:hyperlink>
          </w:p>
        </w:tc>
      </w:tr>
      <w:tr>
        <w:trPr/>
        <w:tc>
          <w:tcPr>
            <w:tcW w:w="625" w:type="dxa"/>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4.</w:t>
            </w:r>
          </w:p>
        </w:tc>
        <w:tc>
          <w:tcPr>
            <w:tcW w:w="8884" w:type="dxa"/>
            <w:tcBorders/>
            <w:shd w:fill="FFFFFF" w:val="clear"/>
            <w:vAlign w:val="center"/>
          </w:tcPr>
          <w:p>
            <w:pPr>
              <w:pStyle w:val="TableContents"/>
              <w:bidi w:val="0"/>
              <w:spacing w:before="0" w:after="0"/>
              <w:ind w:left="0" w:right="0" w:hanging="0"/>
              <w:jc w:val="left"/>
              <w:rPr/>
            </w:pPr>
            <w:hyperlink w:anchor="item4">
              <w:r>
                <w:rPr>
                  <w:rStyle w:val="InternetLink"/>
                  <w:rFonts w:ascii="Times New Roman" w:hAnsi="Times New Roman"/>
                  <w:caps/>
                  <w:sz w:val="20"/>
                </w:rPr>
                <w:t>Controls and Procedures</w:t>
              </w:r>
            </w:hyperlink>
          </w:p>
        </w:tc>
        <w:tc>
          <w:tcPr>
            <w:tcW w:w="696" w:type="dxa"/>
            <w:tcBorders/>
            <w:shd w:fill="FFFFFF" w:val="clear"/>
            <w:vAlign w:val="center"/>
          </w:tcPr>
          <w:p>
            <w:pPr>
              <w:pStyle w:val="TableContents"/>
              <w:bidi w:val="0"/>
              <w:spacing w:before="0" w:after="0"/>
              <w:ind w:left="0" w:right="0" w:hanging="0"/>
              <w:jc w:val="center"/>
              <w:rPr/>
            </w:pPr>
            <w:hyperlink w:anchor="item4">
              <w:r>
                <w:rPr>
                  <w:rStyle w:val="InternetLink"/>
                  <w:rFonts w:ascii="Times New Roman" w:hAnsi="Times New Roman"/>
                  <w:sz w:val="20"/>
                </w:rPr>
                <w:t>33</w:t>
              </w:r>
            </w:hyperlink>
          </w:p>
        </w:tc>
      </w:tr>
      <w:tr>
        <w:trPr/>
        <w:tc>
          <w:tcPr>
            <w:tcW w:w="625" w:type="dxa"/>
            <w:tcBorders/>
            <w:shd w:fill="CCEEFF" w:val="clear"/>
            <w:vAlign w:val="center"/>
          </w:tcPr>
          <w:p>
            <w:pPr>
              <w:pStyle w:val="TableContents"/>
              <w:bidi w:val="0"/>
              <w:spacing w:before="0" w:after="0"/>
              <w:ind w:left="0" w:right="0" w:hanging="0"/>
              <w:jc w:val="left"/>
              <w:rPr/>
            </w:pPr>
            <w:r>
              <w:rPr/>
              <w:t> </w:t>
            </w:r>
          </w:p>
        </w:tc>
        <w:tc>
          <w:tcPr>
            <w:tcW w:w="8884"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left"/>
              <w:rPr/>
            </w:pPr>
            <w:r>
              <w:rPr/>
              <w:t> </w:t>
            </w:r>
          </w:p>
        </w:tc>
      </w:tr>
      <w:tr>
        <w:trPr/>
        <w:tc>
          <w:tcPr>
            <w:tcW w:w="625" w:type="dxa"/>
            <w:tcBorders/>
            <w:shd w:fill="FFFFFF" w:val="clear"/>
            <w:vAlign w:val="center"/>
          </w:tcPr>
          <w:p>
            <w:pPr>
              <w:pStyle w:val="TableContents"/>
              <w:bidi w:val="0"/>
              <w:spacing w:before="0" w:after="0"/>
              <w:ind w:left="0" w:right="0" w:hanging="0"/>
              <w:jc w:val="left"/>
              <w:rPr/>
            </w:pPr>
            <w:r>
              <w:rPr/>
              <w:t> </w:t>
            </w:r>
          </w:p>
        </w:tc>
        <w:tc>
          <w:tcPr>
            <w:tcW w:w="8884" w:type="dxa"/>
            <w:tcBorders/>
            <w:shd w:fill="FFFFFF" w:val="clear"/>
            <w:vAlign w:val="center"/>
          </w:tcPr>
          <w:p>
            <w:pPr>
              <w:pStyle w:val="TableContents"/>
              <w:bidi w:val="0"/>
              <w:spacing w:before="0" w:after="0"/>
              <w:ind w:left="0" w:right="0" w:hanging="0"/>
              <w:jc w:val="center"/>
              <w:rPr/>
            </w:pPr>
            <w:hyperlink w:anchor="part2">
              <w:r>
                <w:rPr>
                  <w:rStyle w:val="InternetLink"/>
                  <w:rFonts w:ascii="Times New Roman" w:hAnsi="Times New Roman"/>
                  <w:b/>
                  <w:sz w:val="20"/>
                </w:rPr>
                <w:t>PART II — OTHER INFORMATION</w:t>
              </w:r>
            </w:hyperlink>
          </w:p>
        </w:tc>
        <w:tc>
          <w:tcPr>
            <w:tcW w:w="696" w:type="dxa"/>
            <w:tcBorders/>
            <w:shd w:fill="FFFFFF" w:val="clear"/>
            <w:vAlign w:val="center"/>
          </w:tcPr>
          <w:p>
            <w:pPr>
              <w:pStyle w:val="TableContents"/>
              <w:bidi w:val="0"/>
              <w:spacing w:before="0" w:after="0"/>
              <w:ind w:left="0" w:right="0" w:hanging="0"/>
              <w:jc w:val="right"/>
              <w:rPr/>
            </w:pPr>
            <w:r>
              <w:rPr/>
              <w:t> </w:t>
            </w:r>
          </w:p>
        </w:tc>
      </w:tr>
      <w:tr>
        <w:trPr/>
        <w:tc>
          <w:tcPr>
            <w:tcW w:w="625" w:type="dxa"/>
            <w:tcBorders/>
            <w:shd w:fill="CCEEFF" w:val="clear"/>
            <w:vAlign w:val="center"/>
          </w:tcPr>
          <w:p>
            <w:pPr>
              <w:pStyle w:val="TableContents"/>
              <w:bidi w:val="0"/>
              <w:spacing w:before="0" w:after="0"/>
              <w:ind w:left="0" w:right="0" w:hanging="0"/>
              <w:jc w:val="left"/>
              <w:rPr/>
            </w:pPr>
            <w:r>
              <w:rPr/>
              <w:t> </w:t>
            </w:r>
          </w:p>
        </w:tc>
        <w:tc>
          <w:tcPr>
            <w:tcW w:w="8884"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left"/>
              <w:rPr/>
            </w:pPr>
            <w:r>
              <w:rPr/>
              <w:t> </w:t>
            </w:r>
          </w:p>
        </w:tc>
      </w:tr>
      <w:tr>
        <w:trPr/>
        <w:tc>
          <w:tcPr>
            <w:tcW w:w="625" w:type="dxa"/>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1.</w:t>
            </w:r>
          </w:p>
        </w:tc>
        <w:tc>
          <w:tcPr>
            <w:tcW w:w="8884" w:type="dxa"/>
            <w:tcBorders/>
            <w:shd w:fill="FFFFFF" w:val="clear"/>
            <w:vAlign w:val="center"/>
          </w:tcPr>
          <w:p>
            <w:pPr>
              <w:pStyle w:val="TableContents"/>
              <w:bidi w:val="0"/>
              <w:spacing w:before="0" w:after="0"/>
              <w:ind w:left="0" w:right="0" w:hanging="0"/>
              <w:jc w:val="left"/>
              <w:rPr/>
            </w:pPr>
            <w:hyperlink w:anchor="legal">
              <w:r>
                <w:rPr>
                  <w:rStyle w:val="InternetLink"/>
                  <w:rFonts w:ascii="Times New Roman" w:hAnsi="Times New Roman"/>
                  <w:caps/>
                  <w:sz w:val="20"/>
                </w:rPr>
                <w:t>Legal Proceedings</w:t>
              </w:r>
            </w:hyperlink>
          </w:p>
        </w:tc>
        <w:tc>
          <w:tcPr>
            <w:tcW w:w="696" w:type="dxa"/>
            <w:tcBorders/>
            <w:shd w:fill="FFFFFF" w:val="clear"/>
            <w:vAlign w:val="center"/>
          </w:tcPr>
          <w:p>
            <w:pPr>
              <w:pStyle w:val="TableContents"/>
              <w:bidi w:val="0"/>
              <w:spacing w:before="0" w:after="0"/>
              <w:ind w:left="0" w:right="0" w:hanging="0"/>
              <w:jc w:val="center"/>
              <w:rPr/>
            </w:pPr>
            <w:hyperlink w:anchor="legal">
              <w:r>
                <w:rPr>
                  <w:rStyle w:val="InternetLink"/>
                  <w:rFonts w:ascii="Times New Roman" w:hAnsi="Times New Roman"/>
                  <w:sz w:val="20"/>
                </w:rPr>
                <w:t>34</w:t>
              </w:r>
            </w:hyperlink>
          </w:p>
        </w:tc>
      </w:tr>
      <w:tr>
        <w:trPr/>
        <w:tc>
          <w:tcPr>
            <w:tcW w:w="625" w:type="dxa"/>
            <w:tcBorders/>
            <w:shd w:fill="CCEE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1A.</w:t>
            </w:r>
          </w:p>
        </w:tc>
        <w:tc>
          <w:tcPr>
            <w:tcW w:w="8884" w:type="dxa"/>
            <w:tcBorders/>
            <w:shd w:fill="CCEEFF" w:val="clear"/>
            <w:vAlign w:val="center"/>
          </w:tcPr>
          <w:p>
            <w:pPr>
              <w:pStyle w:val="TableContents"/>
              <w:bidi w:val="0"/>
              <w:spacing w:before="0" w:after="0"/>
              <w:ind w:left="0" w:right="0" w:hanging="0"/>
              <w:jc w:val="left"/>
              <w:rPr/>
            </w:pPr>
            <w:hyperlink w:anchor="risk">
              <w:r>
                <w:rPr>
                  <w:rStyle w:val="InternetLink"/>
                  <w:rFonts w:ascii="Times New Roman" w:hAnsi="Times New Roman"/>
                  <w:caps/>
                  <w:sz w:val="20"/>
                </w:rPr>
                <w:t>Risk Factors</w:t>
              </w:r>
            </w:hyperlink>
          </w:p>
        </w:tc>
        <w:tc>
          <w:tcPr>
            <w:tcW w:w="696" w:type="dxa"/>
            <w:tcBorders/>
            <w:shd w:fill="CCEEFF" w:val="clear"/>
            <w:vAlign w:val="center"/>
          </w:tcPr>
          <w:p>
            <w:pPr>
              <w:pStyle w:val="TableContents"/>
              <w:bidi w:val="0"/>
              <w:spacing w:before="0" w:after="0"/>
              <w:ind w:left="0" w:right="0" w:hanging="0"/>
              <w:jc w:val="center"/>
              <w:rPr/>
            </w:pPr>
            <w:hyperlink w:anchor="risk">
              <w:r>
                <w:rPr>
                  <w:rStyle w:val="InternetLink"/>
                  <w:rFonts w:ascii="Times New Roman" w:hAnsi="Times New Roman"/>
                  <w:sz w:val="20"/>
                </w:rPr>
                <w:t>34</w:t>
              </w:r>
            </w:hyperlink>
          </w:p>
        </w:tc>
      </w:tr>
      <w:tr>
        <w:trPr/>
        <w:tc>
          <w:tcPr>
            <w:tcW w:w="625" w:type="dxa"/>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2.</w:t>
            </w:r>
          </w:p>
        </w:tc>
        <w:tc>
          <w:tcPr>
            <w:tcW w:w="8884" w:type="dxa"/>
            <w:tcBorders/>
            <w:shd w:fill="FFFFFF" w:val="clear"/>
            <w:vAlign w:val="center"/>
          </w:tcPr>
          <w:p>
            <w:pPr>
              <w:pStyle w:val="TableContents"/>
              <w:bidi w:val="0"/>
              <w:spacing w:before="0" w:after="0"/>
              <w:ind w:left="0" w:right="0" w:hanging="0"/>
              <w:jc w:val="left"/>
              <w:rPr/>
            </w:pPr>
            <w:hyperlink w:anchor="item2">
              <w:r>
                <w:rPr>
                  <w:rStyle w:val="InternetLink"/>
                  <w:rFonts w:ascii="Times New Roman" w:hAnsi="Times New Roman"/>
                  <w:caps/>
                  <w:sz w:val="20"/>
                </w:rPr>
                <w:t>Unregistered Sales of Equity </w:t>
              </w:r>
            </w:hyperlink>
            <w:hyperlink w:anchor="item2">
              <w:r>
                <w:rPr>
                  <w:rStyle w:val="InternetLink"/>
                  <w:rFonts w:ascii="Times New Roman;Times;serif" w:hAnsi="Times New Roman;Times;serif"/>
                  <w:caps/>
                  <w:sz w:val="20"/>
                </w:rPr>
                <w:t>Securities, Use of Proceeds</w:t>
              </w:r>
            </w:hyperlink>
            <w:hyperlink w:anchor="item2">
              <w:r>
                <w:rPr>
                  <w:rStyle w:val="InternetLink"/>
                  <w:rFonts w:ascii="Times New Roman" w:hAnsi="Times New Roman"/>
                  <w:sz w:val="20"/>
                </w:rPr>
                <w:t>, AND ISSUER PURCHASES OF EQUITY SECURITIES</w:t>
              </w:r>
            </w:hyperlink>
          </w:p>
        </w:tc>
        <w:tc>
          <w:tcPr>
            <w:tcW w:w="696" w:type="dxa"/>
            <w:tcBorders/>
            <w:shd w:fill="FFFFFF" w:val="clear"/>
            <w:vAlign w:val="center"/>
          </w:tcPr>
          <w:p>
            <w:pPr>
              <w:pStyle w:val="TableContents"/>
              <w:bidi w:val="0"/>
              <w:spacing w:before="0" w:after="0"/>
              <w:ind w:left="0" w:right="0" w:hanging="0"/>
              <w:jc w:val="center"/>
              <w:rPr/>
            </w:pPr>
            <w:hyperlink w:anchor="unregsales">
              <w:r>
                <w:rPr>
                  <w:rStyle w:val="InternetLink"/>
                  <w:rFonts w:ascii="Times New Roman" w:hAnsi="Times New Roman"/>
                  <w:sz w:val="20"/>
                </w:rPr>
                <w:t>35</w:t>
              </w:r>
            </w:hyperlink>
          </w:p>
        </w:tc>
      </w:tr>
      <w:tr>
        <w:trPr/>
        <w:tc>
          <w:tcPr>
            <w:tcW w:w="625" w:type="dxa"/>
            <w:tcBorders/>
            <w:shd w:fill="CCEE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3.</w:t>
            </w:r>
          </w:p>
        </w:tc>
        <w:tc>
          <w:tcPr>
            <w:tcW w:w="8884" w:type="dxa"/>
            <w:tcBorders/>
            <w:shd w:fill="CCEEFF" w:val="clear"/>
            <w:vAlign w:val="center"/>
          </w:tcPr>
          <w:p>
            <w:pPr>
              <w:pStyle w:val="TableContents"/>
              <w:bidi w:val="0"/>
              <w:spacing w:before="0" w:after="0"/>
              <w:ind w:left="0" w:right="0" w:hanging="0"/>
              <w:jc w:val="left"/>
              <w:rPr/>
            </w:pPr>
            <w:hyperlink w:anchor="defaults">
              <w:r>
                <w:rPr>
                  <w:rStyle w:val="InternetLink"/>
                  <w:rFonts w:ascii="Times New Roman" w:hAnsi="Times New Roman"/>
                  <w:caps/>
                  <w:sz w:val="20"/>
                </w:rPr>
                <w:t>Defaults Upon Senior Securities</w:t>
              </w:r>
            </w:hyperlink>
          </w:p>
        </w:tc>
        <w:tc>
          <w:tcPr>
            <w:tcW w:w="696" w:type="dxa"/>
            <w:tcBorders/>
            <w:shd w:fill="CCEEFF" w:val="clear"/>
            <w:vAlign w:val="center"/>
          </w:tcPr>
          <w:p>
            <w:pPr>
              <w:pStyle w:val="TableContents"/>
              <w:bidi w:val="0"/>
              <w:spacing w:before="0" w:after="0"/>
              <w:ind w:left="0" w:right="0" w:hanging="0"/>
              <w:jc w:val="center"/>
              <w:rPr/>
            </w:pPr>
            <w:hyperlink w:anchor="defaults">
              <w:r>
                <w:rPr>
                  <w:rStyle w:val="InternetLink"/>
                  <w:rFonts w:ascii="Times New Roman" w:hAnsi="Times New Roman"/>
                  <w:sz w:val="20"/>
                </w:rPr>
                <w:t>35</w:t>
              </w:r>
            </w:hyperlink>
          </w:p>
        </w:tc>
      </w:tr>
      <w:tr>
        <w:trPr/>
        <w:tc>
          <w:tcPr>
            <w:tcW w:w="625" w:type="dxa"/>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4.</w:t>
            </w:r>
          </w:p>
        </w:tc>
        <w:tc>
          <w:tcPr>
            <w:tcW w:w="8884" w:type="dxa"/>
            <w:tcBorders/>
            <w:shd w:fill="FFFFFF" w:val="clear"/>
            <w:vAlign w:val="center"/>
          </w:tcPr>
          <w:p>
            <w:pPr>
              <w:pStyle w:val="TableContents"/>
              <w:bidi w:val="0"/>
              <w:spacing w:before="0" w:after="0"/>
              <w:ind w:left="0" w:right="0" w:hanging="0"/>
              <w:jc w:val="left"/>
              <w:rPr/>
            </w:pPr>
            <w:hyperlink w:anchor="mine">
              <w:r>
                <w:rPr>
                  <w:rStyle w:val="InternetLink"/>
                  <w:rFonts w:ascii="Times New Roman" w:hAnsi="Times New Roman"/>
                  <w:caps/>
                  <w:sz w:val="20"/>
                </w:rPr>
                <w:t>Mine Safety Disclosures</w:t>
              </w:r>
            </w:hyperlink>
          </w:p>
        </w:tc>
        <w:tc>
          <w:tcPr>
            <w:tcW w:w="696" w:type="dxa"/>
            <w:tcBorders/>
            <w:shd w:fill="FFFFFF" w:val="clear"/>
            <w:vAlign w:val="center"/>
          </w:tcPr>
          <w:p>
            <w:pPr>
              <w:pStyle w:val="TableContents"/>
              <w:bidi w:val="0"/>
              <w:spacing w:before="0" w:after="0"/>
              <w:ind w:left="0" w:right="0" w:hanging="0"/>
              <w:jc w:val="center"/>
              <w:rPr/>
            </w:pPr>
            <w:hyperlink w:anchor="mine">
              <w:r>
                <w:rPr>
                  <w:rStyle w:val="InternetLink"/>
                  <w:rFonts w:ascii="Times New Roman" w:hAnsi="Times New Roman"/>
                  <w:sz w:val="20"/>
                </w:rPr>
                <w:t>35</w:t>
              </w:r>
            </w:hyperlink>
          </w:p>
        </w:tc>
      </w:tr>
      <w:tr>
        <w:trPr/>
        <w:tc>
          <w:tcPr>
            <w:tcW w:w="625" w:type="dxa"/>
            <w:tcBorders/>
            <w:shd w:fill="CCEE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5.</w:t>
            </w:r>
          </w:p>
        </w:tc>
        <w:tc>
          <w:tcPr>
            <w:tcW w:w="8884" w:type="dxa"/>
            <w:tcBorders/>
            <w:shd w:fill="CCEEFF" w:val="clear"/>
            <w:vAlign w:val="center"/>
          </w:tcPr>
          <w:p>
            <w:pPr>
              <w:pStyle w:val="TableContents"/>
              <w:bidi w:val="0"/>
              <w:spacing w:before="0" w:after="0"/>
              <w:ind w:left="0" w:right="0" w:hanging="0"/>
              <w:jc w:val="left"/>
              <w:rPr/>
            </w:pPr>
            <w:hyperlink w:anchor="other">
              <w:r>
                <w:rPr>
                  <w:rStyle w:val="InternetLink"/>
                  <w:rFonts w:ascii="Times New Roman" w:hAnsi="Times New Roman"/>
                  <w:caps/>
                  <w:sz w:val="20"/>
                </w:rPr>
                <w:t>Other Information</w:t>
              </w:r>
            </w:hyperlink>
          </w:p>
        </w:tc>
        <w:tc>
          <w:tcPr>
            <w:tcW w:w="696" w:type="dxa"/>
            <w:tcBorders/>
            <w:shd w:fill="CCEEFF" w:val="clear"/>
            <w:vAlign w:val="center"/>
          </w:tcPr>
          <w:p>
            <w:pPr>
              <w:pStyle w:val="TableContents"/>
              <w:bidi w:val="0"/>
              <w:spacing w:before="0" w:after="0"/>
              <w:ind w:left="0" w:right="0" w:hanging="0"/>
              <w:jc w:val="center"/>
              <w:rPr/>
            </w:pPr>
            <w:hyperlink w:anchor="other">
              <w:r>
                <w:rPr>
                  <w:rStyle w:val="InternetLink"/>
                  <w:rFonts w:ascii="Times New Roman" w:hAnsi="Times New Roman"/>
                  <w:sz w:val="20"/>
                </w:rPr>
                <w:t>35</w:t>
              </w:r>
            </w:hyperlink>
          </w:p>
        </w:tc>
      </w:tr>
      <w:tr>
        <w:trPr/>
        <w:tc>
          <w:tcPr>
            <w:tcW w:w="625" w:type="dxa"/>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Item 6.</w:t>
            </w:r>
          </w:p>
        </w:tc>
        <w:tc>
          <w:tcPr>
            <w:tcW w:w="8884" w:type="dxa"/>
            <w:tcBorders/>
            <w:shd w:fill="FFFFFF" w:val="clear"/>
            <w:vAlign w:val="center"/>
          </w:tcPr>
          <w:p>
            <w:pPr>
              <w:pStyle w:val="TableContents"/>
              <w:bidi w:val="0"/>
              <w:spacing w:before="0" w:after="0"/>
              <w:ind w:left="0" w:right="0" w:hanging="0"/>
              <w:jc w:val="left"/>
              <w:rPr/>
            </w:pPr>
            <w:hyperlink w:anchor="exhibits">
              <w:r>
                <w:rPr>
                  <w:rStyle w:val="InternetLink"/>
                  <w:rFonts w:ascii="Times New Roman" w:hAnsi="Times New Roman"/>
                  <w:caps/>
                  <w:sz w:val="20"/>
                </w:rPr>
                <w:t>Exhibits</w:t>
              </w:r>
            </w:hyperlink>
          </w:p>
        </w:tc>
        <w:tc>
          <w:tcPr>
            <w:tcW w:w="696" w:type="dxa"/>
            <w:tcBorders/>
            <w:shd w:fill="FFFFFF" w:val="clear"/>
            <w:vAlign w:val="center"/>
          </w:tcPr>
          <w:p>
            <w:pPr>
              <w:pStyle w:val="TableContents"/>
              <w:bidi w:val="0"/>
              <w:spacing w:before="0" w:after="0"/>
              <w:ind w:left="0" w:right="0" w:hanging="0"/>
              <w:jc w:val="center"/>
              <w:rPr/>
            </w:pPr>
            <w:hyperlink w:anchor="exhibits">
              <w:r>
                <w:rPr>
                  <w:rStyle w:val="InternetLink"/>
                  <w:rFonts w:ascii="Times New Roman" w:hAnsi="Times New Roman"/>
                  <w:sz w:val="20"/>
                </w:rPr>
                <w:t>36</w:t>
              </w:r>
            </w:hyperlink>
          </w:p>
        </w:tc>
      </w:tr>
      <w:tr>
        <w:trPr/>
        <w:tc>
          <w:tcPr>
            <w:tcW w:w="625" w:type="dxa"/>
            <w:tcBorders/>
            <w:shd w:fill="CCEEFF" w:val="clear"/>
            <w:vAlign w:val="center"/>
          </w:tcPr>
          <w:p>
            <w:pPr>
              <w:pStyle w:val="TableContents"/>
              <w:bidi w:val="0"/>
              <w:spacing w:before="0" w:after="0"/>
              <w:ind w:left="0" w:right="0" w:hanging="0"/>
              <w:jc w:val="left"/>
              <w:rPr/>
            </w:pPr>
            <w:r>
              <w:rPr/>
              <w:t> </w:t>
            </w:r>
          </w:p>
        </w:tc>
        <w:tc>
          <w:tcPr>
            <w:tcW w:w="8884"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left"/>
              <w:rPr/>
            </w:pPr>
            <w:r>
              <w:rPr/>
              <w:t> </w:t>
            </w:r>
          </w:p>
        </w:tc>
      </w:tr>
      <w:tr>
        <w:trPr/>
        <w:tc>
          <w:tcPr>
            <w:tcW w:w="625" w:type="dxa"/>
            <w:tcBorders/>
            <w:shd w:fill="FFFFFF" w:val="clear"/>
            <w:vAlign w:val="center"/>
          </w:tcPr>
          <w:p>
            <w:pPr>
              <w:pStyle w:val="TableContents"/>
              <w:bidi w:val="0"/>
              <w:spacing w:before="0" w:after="0"/>
              <w:ind w:left="0" w:right="0" w:hanging="0"/>
              <w:jc w:val="left"/>
              <w:rPr/>
            </w:pPr>
            <w:r>
              <w:rPr/>
              <w:t> </w:t>
            </w:r>
          </w:p>
        </w:tc>
        <w:tc>
          <w:tcPr>
            <w:tcW w:w="8884" w:type="dxa"/>
            <w:tcBorders/>
            <w:shd w:fill="FFFFFF" w:val="clear"/>
            <w:vAlign w:val="center"/>
          </w:tcPr>
          <w:p>
            <w:pPr>
              <w:pStyle w:val="TableContents"/>
              <w:bidi w:val="0"/>
              <w:spacing w:before="0" w:after="283"/>
              <w:jc w:val="left"/>
              <w:rPr/>
            </w:pPr>
            <w:hyperlink w:anchor="sigs">
              <w:r>
                <w:rPr>
                  <w:rStyle w:val="InternetLink"/>
                  <w:caps/>
                </w:rPr>
                <w:t>Signatures</w:t>
              </w:r>
            </w:hyperlink>
          </w:p>
        </w:tc>
        <w:tc>
          <w:tcPr>
            <w:tcW w:w="696" w:type="dxa"/>
            <w:tcBorders/>
            <w:shd w:fill="FFFFFF" w:val="clear"/>
            <w:vAlign w:val="center"/>
          </w:tcPr>
          <w:p>
            <w:pPr>
              <w:pStyle w:val="TableContents"/>
              <w:bidi w:val="0"/>
              <w:spacing w:before="0" w:after="0"/>
              <w:ind w:left="0" w:right="0" w:hanging="0"/>
              <w:jc w:val="center"/>
              <w:rPr/>
            </w:pPr>
            <w:hyperlink w:anchor="sigs">
              <w:r>
                <w:rPr>
                  <w:rStyle w:val="InternetLink"/>
                  <w:rFonts w:ascii="Times New Roman" w:hAnsi="Times New Roman"/>
                  <w:sz w:val="20"/>
                </w:rPr>
                <w:t>37</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w:t>
      </w:r>
      <w:r>
        <w:rPr>
          <w:rFonts w:ascii="Times New Roman" w:hAnsi="Times New Roman"/>
          <w:caps w:val="false"/>
          <w:smallCaps w:val="false"/>
          <w:sz w:val="20"/>
        </w:rPr>
        <w:t> </w:t>
      </w:r>
      <w:r>
        <w:rPr>
          <w:rFonts w:ascii="Times New Roman" w:hAnsi="Times New Roman"/>
          <w:i/>
          <w:caps w:val="false"/>
          <w:smallCaps w:val="false"/>
          <w:sz w:val="20"/>
        </w:rPr>
        <w:t xml:space="preserve">Quarterly Report on Form 10-Q, including the section entitled </w:t>
      </w:r>
      <w:r>
        <w:rPr>
          <w:rFonts w:ascii="Times New Roman" w:hAnsi="Times New Roman"/>
          <w:caps w:val="false"/>
          <w:smallCaps w:val="false"/>
          <w:sz w:val="20"/>
        </w:rPr>
        <w:t>“</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target,</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contemplates,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predicts,</w:t>
      </w:r>
      <w:r>
        <w:rPr>
          <w:rFonts w:ascii="Times New Roman" w:hAnsi="Times New Roman"/>
          <w:caps w:val="false"/>
          <w:smallCaps w:val="false"/>
          <w:sz w:val="20"/>
        </w:rPr>
        <w:t>” “</w:t>
      </w:r>
      <w:r>
        <w:rPr>
          <w:rFonts w:ascii="Times New Roman" w:hAnsi="Times New Roman"/>
          <w:i/>
          <w:caps w:val="false"/>
          <w:smallCaps w:val="false"/>
          <w:sz w:val="20"/>
        </w:rPr>
        <w:t>assume,</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xml:space="preserve">” </w:t>
      </w:r>
      <w:r>
        <w:rPr>
          <w:rFonts w:ascii="Times New Roman" w:hAnsi="Times New Roman"/>
          <w:i/>
          <w:caps w:val="false"/>
          <w:smallCaps w:val="false"/>
          <w:sz w:val="20"/>
        </w:rPr>
        <w:t>or other similar words or the negative of these terms.</w:t>
      </w:r>
      <w:r>
        <w:rPr>
          <w:rFonts w:ascii="Times New Roman" w:hAnsi="Times New Roman"/>
          <w:caps w:val="false"/>
          <w:smallCaps w:val="false"/>
          <w:sz w:val="20"/>
        </w:rPr>
        <w:t> </w:t>
      </w:r>
      <w:r>
        <w:rPr>
          <w:rFonts w:ascii="Times New Roman" w:hAnsi="Times New Roman"/>
          <w:i/>
          <w:caps w:val="false"/>
          <w:smallCaps w:val="false"/>
          <w:sz w:val="20"/>
        </w:rPr>
        <w:t>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Part II, Item 1A. "Risk Factors" and elsewhere in this Quarterly Report on Form 10-Q and Part I, Item 1A. “Risk Factors” of our Annual Report on Form 10-K for the fiscal year ended December 31, 2022, filed with the SEC on March 7, 2023.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w:t>
      </w:r>
      <w:r>
        <w:rPr>
          <w:rFonts w:ascii="Times New Roman" w:hAnsi="Times New Roman"/>
          <w:caps w:val="false"/>
          <w:smallCaps w:val="false"/>
          <w:sz w:val="20"/>
        </w:rPr>
        <w:t> </w:t>
      </w:r>
      <w:r>
        <w:rPr>
          <w:rFonts w:ascii="Times New Roman" w:hAnsi="Times New Roman"/>
          <w:i/>
          <w:caps w:val="false"/>
          <w:smallCaps w:val="false"/>
          <w:sz w:val="20"/>
        </w:rPr>
        <w:t>anticipated in the forward-looking statements. Forward-looking statements contained in this report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progress of, outcome or and timing of any regulatory approval for any of our product candidates and the expected amount or timing of any payment related thereto under any of our collaboration agreements;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progress of, timing of and expected amount of expenses associated with our research, development and commercialization activities;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ability to raise additional funds on commercially reasonable terms, or at all, in order to support our continued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sufficiency of our cash resources to fund our operating expenses and capital investment requirements for any period;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expected timing of our clinical trials</w:t>
            </w:r>
            <w:r>
              <w:rPr>
                <w:rFonts w:ascii="Times New Roman" w:hAnsi="Times New Roman"/>
                <w:caps w:val="false"/>
                <w:smallCaps w:val="false"/>
                <w:sz w:val="20"/>
              </w:rPr>
              <w:t> </w:t>
            </w:r>
            <w:r>
              <w:rPr>
                <w:rFonts w:ascii="Times New Roman" w:hAnsi="Times New Roman"/>
                <w:i/>
                <w:caps w:val="false"/>
                <w:smallCaps w:val="false"/>
                <w:sz w:val="20"/>
              </w:rPr>
              <w:t>for our product candidates and the availability of data and results of those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expectations regarding federal, state and foreign regulatory requirements;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potential therapeutic benefits and effectiveness of our products and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size and characteristics of the markets that may be addressed by our products and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our intention to seek to establish, and the potential benefits to us from, any</w:t>
            </w:r>
            <w:r>
              <w:rPr>
                <w:rFonts w:ascii="Times New Roman" w:hAnsi="Times New Roman"/>
                <w:caps w:val="false"/>
                <w:smallCaps w:val="false"/>
                <w:sz w:val="20"/>
              </w:rPr>
              <w:t> </w:t>
            </w:r>
            <w:r>
              <w:rPr>
                <w:rFonts w:ascii="Times New Roman" w:hAnsi="Times New Roman"/>
                <w:i/>
                <w:caps w:val="false"/>
                <w:smallCaps w:val="false"/>
                <w:sz w:val="20"/>
              </w:rPr>
              <w:t>strategic collaborations or partnerships for the development or sale of our products and product candidates; if approved;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our expectations as to future financial performance, expense levels and liquidity sources;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timing of commercializing our products and product candidates, if approved;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i/>
              </w:rPr>
            </w:pPr>
            <w:r>
              <w:rPr>
                <w:i/>
              </w:rPr>
              <w:t>senior leadership and board member transitions and refreshments;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factors discussed elsewhere in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for the fiscal year ended December 31, 2022, filed with the SEC on March 7, 2023,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sz w:val="20"/>
        </w:rPr>
      </w:pPr>
      <w:r>
        <w:rPr>
          <w:rFonts w:ascii="Times New Roman" w:hAnsi="Times New Roman"/>
          <w:b/>
          <w:caps/>
          <w:sz w:val="20"/>
        </w:rPr>
        <w:t>Note Regarding Company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otherwise requires, we use the terms </w:t>
      </w:r>
      <w:r>
        <w:rPr>
          <w:rFonts w:ascii="Times New Roman" w:hAnsi="Times New Roman"/>
          <w:caps w:val="false"/>
          <w:smallCaps w:val="false"/>
          <w:sz w:val="20"/>
        </w:rPr>
        <w:t>“</w:t>
      </w:r>
      <w:r>
        <w:rPr>
          <w:rFonts w:ascii="Times New Roman" w:hAnsi="Times New Roman"/>
          <w:i/>
          <w:caps w:val="false"/>
          <w:smallCaps w:val="false"/>
          <w:sz w:val="20"/>
        </w:rPr>
        <w:t>Zevra,</w:t>
      </w:r>
      <w:r>
        <w:rPr>
          <w:rFonts w:ascii="Times New Roman" w:hAnsi="Times New Roman"/>
          <w:caps w:val="false"/>
          <w:smallCaps w:val="false"/>
          <w:sz w:val="20"/>
        </w:rPr>
        <w:t>”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in this</w:t>
      </w:r>
      <w:r>
        <w:rPr>
          <w:rFonts w:ascii="Times New Roman" w:hAnsi="Times New Roman"/>
          <w:caps w:val="false"/>
          <w:smallCaps w:val="false"/>
          <w:sz w:val="20"/>
        </w:rPr>
        <w:t> </w:t>
      </w:r>
      <w:r>
        <w:rPr>
          <w:rFonts w:ascii="Times New Roman" w:hAnsi="Times New Roman"/>
          <w:i/>
          <w:caps w:val="false"/>
          <w:smallCaps w:val="false"/>
          <w:sz w:val="20"/>
        </w:rPr>
        <w:t>Quarterly Report on Form 10-Q to refer to Zevra Therapeutics, In</w:t>
      </w:r>
      <w:r>
        <w:rPr>
          <w:rFonts w:ascii="Times New Roman" w:hAnsi="Times New Roman"/>
          <w:i/>
          <w:caps w:val="false"/>
          <w:smallCaps w:val="false"/>
          <w:sz w:val="20"/>
          <w:shd w:fill="FFFFFF" w:val="clear"/>
        </w:rPr>
        <w:t>c., formerly known as KemPharm, Inc. prior t</w:t>
      </w:r>
      <w:r>
        <w:rPr>
          <w:rFonts w:ascii="Times New Roman" w:hAnsi="Times New Roman"/>
          <w:i/>
          <w:caps w:val="false"/>
          <w:smallCaps w:val="false"/>
          <w:sz w:val="20"/>
        </w:rPr>
        <w:t>o February 21, 2023. We have proprietary rights to a number of trademarks used in this</w:t>
      </w:r>
      <w:r>
        <w:rPr>
          <w:rFonts w:ascii="Times New Roman" w:hAnsi="Times New Roman"/>
          <w:caps w:val="false"/>
          <w:smallCaps w:val="false"/>
          <w:sz w:val="20"/>
        </w:rPr>
        <w:t> </w:t>
      </w:r>
      <w:r>
        <w:rPr>
          <w:rFonts w:ascii="Times New Roman" w:hAnsi="Times New Roman"/>
          <w:i/>
          <w:caps w:val="false"/>
          <w:smallCaps w:val="false"/>
          <w:sz w:val="20"/>
        </w:rPr>
        <w:t>Quarterly Report on Form 10-Q that are important to our business, including LAT</w:t>
      </w:r>
      <w:r>
        <w:rPr>
          <w:rFonts w:ascii="Times New Roman" w:hAnsi="Times New Roman"/>
          <w:caps w:val="false"/>
          <w:smallCaps w:val="false"/>
          <w:sz w:val="20"/>
        </w:rPr>
        <w:t>® </w:t>
      </w:r>
      <w:r>
        <w:rPr>
          <w:rFonts w:ascii="Times New Roman" w:hAnsi="Times New Roman"/>
          <w:i/>
          <w:caps w:val="false"/>
          <w:smallCaps w:val="false"/>
          <w:sz w:val="20"/>
        </w:rPr>
        <w:t>and the Zevra logo. All other trademarks, trade names and service marks appearing in this</w:t>
      </w:r>
      <w:r>
        <w:rPr>
          <w:rFonts w:ascii="Times New Roman" w:hAnsi="Times New Roman"/>
          <w:caps w:val="false"/>
          <w:smallCaps w:val="false"/>
          <w:sz w:val="20"/>
        </w:rPr>
        <w:t> </w:t>
      </w:r>
      <w:r>
        <w:rPr>
          <w:rFonts w:ascii="Times New Roman" w:hAnsi="Times New Roman"/>
          <w:i/>
          <w:caps w:val="false"/>
          <w:smallCaps w:val="false"/>
          <w:sz w:val="20"/>
        </w:rPr>
        <w:t>Quarterly Report on Form 10-Q are the property of their respective owners. Solely for convenience, the trademarks and trade names in this</w:t>
      </w:r>
      <w:r>
        <w:rPr>
          <w:rFonts w:ascii="Times New Roman" w:hAnsi="Times New Roman"/>
          <w:caps w:val="false"/>
          <w:smallCaps w:val="false"/>
          <w:sz w:val="20"/>
        </w:rPr>
        <w:t> </w:t>
      </w:r>
      <w:r>
        <w:rPr>
          <w:rFonts w:ascii="Times New Roman" w:hAnsi="Times New Roman"/>
          <w:i/>
          <w:caps w:val="false"/>
          <w:smallCaps w:val="false"/>
          <w:sz w:val="20"/>
        </w:rPr>
        <w:t>Quarterly Report on Form 10-Q are referred to without the</w:t>
      </w:r>
      <w:r>
        <w:rPr>
          <w:rFonts w:ascii="Times New Roman" w:hAnsi="Times New Roman"/>
          <w:caps w:val="false"/>
          <w:smallCaps w:val="false"/>
          <w:sz w:val="20"/>
        </w:rPr>
        <w:t xml:space="preserve"> ® </w:t>
      </w:r>
      <w:r>
        <w:rPr>
          <w:rFonts w:ascii="Times New Roman" w:hAnsi="Times New Roman"/>
          <w:i/>
          <w:caps w:val="false"/>
          <w:smallCaps w:val="false"/>
          <w:sz w:val="20"/>
        </w:rPr>
        <w:t>and</w:t>
      </w:r>
      <w:r>
        <w:rPr>
          <w:rFonts w:ascii="Times New Roman" w:hAnsi="Times New Roman"/>
          <w:caps w:val="false"/>
          <w:smallCaps w:val="false"/>
          <w:sz w:val="20"/>
        </w:rPr>
        <w:t xml:space="preserve"> ™ </w:t>
      </w:r>
      <w:r>
        <w:rPr>
          <w:rFonts w:ascii="Times New Roman" w:hAnsi="Times New Roman"/>
          <w:i/>
          <w:caps w:val="false"/>
          <w:smallCaps w:val="false"/>
          <w:sz w:val="20"/>
        </w:rPr>
        <w:t>symbols, but such references should not be construed as any indicator that their respective owners will not assert, to the fullest extent under applicable law, their rights thereto.</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 FINANCIAL INFORMATION</w:t>
      </w:r>
    </w:p>
    <w:p>
      <w:pPr>
        <w:pStyle w:val="TextBody"/>
        <w:bidi w:val="0"/>
        <w:spacing w:before="0" w:after="0"/>
        <w:ind w:left="0" w:right="0" w:hanging="0"/>
        <w:jc w:val="both"/>
        <w:rPr/>
      </w:pPr>
      <w:r>
        <w:rPr/>
        <w:t> </w:t>
      </w:r>
    </w:p>
    <w:tbl>
      <w:tblPr>
        <w:tblW w:w="7270" w:type="dxa"/>
        <w:jc w:val="left"/>
        <w:tblInd w:w="0" w:type="dxa"/>
        <w:tblLayout w:type="fixed"/>
        <w:tblCellMar>
          <w:top w:w="0" w:type="dxa"/>
          <w:left w:w="0" w:type="dxa"/>
          <w:bottom w:w="0" w:type="dxa"/>
          <w:right w:w="0" w:type="dxa"/>
        </w:tblCellMar>
      </w:tblPr>
      <w:tblGrid>
        <w:gridCol w:w="740"/>
        <w:gridCol w:w="6530"/>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Item 1.</w:t>
            </w:r>
          </w:p>
        </w:tc>
        <w:tc>
          <w:tcPr>
            <w:tcW w:w="6530"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unaudited condensed CONSOLIDATED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ZEVRA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par value amounts)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8063"/>
        <w:gridCol w:w="60"/>
        <w:gridCol w:w="125"/>
        <w:gridCol w:w="755"/>
        <w:gridCol w:w="80"/>
        <w:gridCol w:w="60"/>
        <w:gridCol w:w="139"/>
        <w:gridCol w:w="841"/>
        <w:gridCol w:w="82"/>
      </w:tblGrid>
      <w:tr>
        <w:trPr/>
        <w:tc>
          <w:tcPr>
            <w:tcW w:w="8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66,196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65,466</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Securities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20,696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16,900</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Short-term investments -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481</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Accounts and other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8,299</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1,877</w:t>
            </w:r>
          </w:p>
        </w:tc>
        <w:tc>
          <w:tcPr>
            <w:tcW w:w="8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8063" w:type="dxa"/>
            <w:tcBorders/>
            <w:shd w:fill="FFFFFF" w:val="clear"/>
            <w:vAlign w:val="center"/>
          </w:tcPr>
          <w:p>
            <w:pPr>
              <w:pStyle w:val="TableContents"/>
              <w:bidi w:val="0"/>
              <w:spacing w:before="0" w:after="0"/>
              <w:ind w:left="540" w:right="18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103,427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93,023</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671</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794</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988</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Long-term investments - 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20,000</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w:t>
            </w:r>
          </w:p>
        </w:tc>
        <w:tc>
          <w:tcPr>
            <w:tcW w:w="8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115,529</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10,510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6,169</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480</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Current portion of discount and rebate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4,655</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w:t>
            </w:r>
          </w:p>
        </w:tc>
        <w:tc>
          <w:tcPr>
            <w:tcW w:w="82"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806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11,726</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Line of credit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12,800</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less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843</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Discount and rebate liabilities, less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4,327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c>
          <w:tcPr>
            <w:tcW w:w="82"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29,722</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Preferred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720" w:right="0" w:hanging="180"/>
              <w:jc w:val="both"/>
              <w:rPr>
                <w:rFonts w:ascii="Times New Roman" w:hAnsi="Times New Roman"/>
                <w:caps w:val="false"/>
                <w:smallCaps w:val="false"/>
                <w:sz w:val="20"/>
              </w:rPr>
            </w:pPr>
            <w:r>
              <w:rPr>
                <w:rFonts w:ascii="Times New Roman" w:hAnsi="Times New Roman"/>
                <w:caps w:val="false"/>
                <w:smallCaps w:val="false"/>
                <w:sz w:val="20"/>
              </w:rPr>
              <w:t>Undesignated preferred stock, $0.0001 par value, 10,000,000 shares authorized, no shares issued or outstanding as of June 30, 2023 or December 31,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Common stock, $0.0001 par value, 250,000,000 shares authorized, 35,503,697 shares issued and 33,928,005 shares outstanding as of June 30, 2023; 35,450,257 shares issued and 34,540,304 shares outstanding as of December 31, 2022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82" w:type="dxa"/>
            <w:tcBorders/>
            <w:shd w:fill="FFFFFF" w:val="clear"/>
            <w:vAlign w:val="center"/>
          </w:tcPr>
          <w:p>
            <w:pPr>
              <w:pStyle w:val="TableContents"/>
              <w:bidi w:val="0"/>
              <w:spacing w:before="0" w:after="283"/>
              <w:jc w:val="left"/>
              <w:rPr/>
            </w:pPr>
            <w:r>
              <w:rPr/>
              <w:t> </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405,127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401,799</w:t>
            </w:r>
          </w:p>
        </w:tc>
        <w:tc>
          <w:tcPr>
            <w:tcW w:w="82" w:type="dxa"/>
            <w:tcBorders/>
            <w:shd w:fill="CCEEFF" w:val="cle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Treasury stock, at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(10,983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(7,536</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0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(325,423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(308,572</w:t>
            </w:r>
          </w:p>
        </w:tc>
        <w:tc>
          <w:tcPr>
            <w:tcW w:w="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80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Accumulated other comprehensive (loss) income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w:t>
            </w:r>
          </w:p>
        </w:tc>
        <w:tc>
          <w:tcPr>
            <w:tcW w:w="82"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8063"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68,499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85,807</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0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115,529</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283"/>
        <w:jc w:val="left"/>
        <w:rPr/>
      </w:pPr>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bookmarkStart w:id="4" w:name="ops"/>
      <w:bookmarkEnd w:id="4"/>
      <w:r>
        <w:rPr>
          <w:rFonts w:ascii="Times New Roman;Times;serif" w:hAnsi="Times New Roman;Times;serif"/>
          <w:b/>
          <w:sz w:val="20"/>
        </w:rPr>
        <w:t>ZEVRA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center"/>
        <w:rPr/>
      </w:pPr>
      <w:r>
        <w:rPr/>
        <w:t> </w:t>
      </w:r>
    </w:p>
    <w:p>
      <w:pPr>
        <w:pStyle w:val="TextBody"/>
        <w:bidi w:val="0"/>
        <w:spacing w:before="0" w:after="0"/>
        <w:ind w:left="180" w:right="180" w:hanging="0"/>
        <w:jc w:val="left"/>
        <w:rPr/>
      </w:pPr>
      <w:r>
        <w:rPr/>
        <w: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5210"/>
        <w:gridCol w:w="60"/>
        <w:gridCol w:w="131"/>
        <w:gridCol w:w="1006"/>
        <w:gridCol w:w="84"/>
        <w:gridCol w:w="62"/>
        <w:gridCol w:w="131"/>
        <w:gridCol w:w="1006"/>
        <w:gridCol w:w="80"/>
        <w:gridCol w:w="60"/>
        <w:gridCol w:w="125"/>
        <w:gridCol w:w="950"/>
        <w:gridCol w:w="80"/>
        <w:gridCol w:w="60"/>
        <w:gridCol w:w="125"/>
        <w:gridCol w:w="950"/>
        <w:gridCol w:w="85"/>
      </w:tblGrid>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 net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8,470</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0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11,349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5,265</w:t>
            </w:r>
          </w:p>
        </w:tc>
        <w:tc>
          <w:tcPr>
            <w:tcW w:w="8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Cost of revenue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677</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w:t>
            </w:r>
          </w:p>
        </w:tc>
        <w:tc>
          <w:tcPr>
            <w:tcW w:w="8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7,433</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16,277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7,877</w:t>
            </w:r>
          </w:p>
        </w:tc>
        <w:tc>
          <w:tcPr>
            <w:tcW w:w="8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7,005</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13,839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6,292</w:t>
            </w:r>
          </w:p>
        </w:tc>
        <w:tc>
          <w:tcPr>
            <w:tcW w:w="8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Acquired in-process research and development</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17,663</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15,115</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31,891</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(6,645</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(26,626</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(197</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10"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Fair value adjustment related to derivative and warrant liability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273</w:t>
            </w:r>
          </w:p>
        </w:tc>
        <w:tc>
          <w:tcPr>
            <w:tcW w:w="8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Fair value adjustment related to investments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131</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(495</w:t>
            </w:r>
          </w:p>
        </w:tc>
        <w:tc>
          <w:tcPr>
            <w:tcW w:w="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and other income, net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1,553</w:t>
            </w:r>
          </w:p>
        </w:tc>
        <w:tc>
          <w:tcPr>
            <w:tcW w:w="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w:t>
            </w:r>
          </w:p>
        </w:tc>
        <w:tc>
          <w:tcPr>
            <w:tcW w:w="8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521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1,487</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(5,158</w:t>
            </w:r>
          </w:p>
        </w:tc>
        <w:tc>
          <w:tcPr>
            <w:tcW w:w="8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(17,028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(26,625</w:t>
            </w:r>
          </w:p>
        </w:tc>
        <w:tc>
          <w:tcPr>
            <w:tcW w:w="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Income tax benefit</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c>
          <w:tcPr>
            <w:tcW w:w="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719</w:t>
            </w:r>
          </w:p>
        </w:tc>
        <w:tc>
          <w:tcPr>
            <w:tcW w:w="85"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(5,084</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(24,042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(16,851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(25,906</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and diluted net loss per share of common stock:</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(0.15</w:t>
            </w:r>
          </w:p>
        </w:tc>
        <w:tc>
          <w:tcPr>
            <w:tcW w:w="84"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(0.70</w:t>
            </w:r>
          </w:p>
        </w:tc>
        <w:tc>
          <w:tcPr>
            <w:tcW w:w="8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(0.49</w:t>
            </w:r>
          </w:p>
        </w:tc>
        <w:tc>
          <w:tcPr>
            <w:tcW w:w="8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(0.75</w:t>
            </w:r>
          </w:p>
        </w:tc>
        <w:tc>
          <w:tcPr>
            <w:tcW w:w="85" w:type="dxa"/>
            <w:tcBorders>
              <w:bottom w:val="double" w:sz="6" w:space="0" w:color="000000"/>
            </w:tcBorders>
            <w:shd w:fill="FFFFFF" w:val="clear"/>
            <w:tcMar>
              <w:bottom w:w="45"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number of shares of common stock outstanding:</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Basic and diluted</w:t>
            </w:r>
          </w:p>
        </w:tc>
        <w:tc>
          <w:tcPr>
            <w:tcW w:w="60" w:type="dxa"/>
            <w:tcBorders/>
            <w:shd w:fill="FFFF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33,898,233</w:t>
            </w:r>
          </w:p>
        </w:tc>
        <w:tc>
          <w:tcPr>
            <w:tcW w:w="84"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34,447,206</w:t>
            </w:r>
          </w:p>
        </w:tc>
        <w:tc>
          <w:tcPr>
            <w:tcW w:w="8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34,180,818</w:t>
            </w:r>
          </w:p>
        </w:tc>
        <w:tc>
          <w:tcPr>
            <w:tcW w:w="8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34,476,737</w:t>
            </w:r>
          </w:p>
        </w:tc>
        <w:tc>
          <w:tcPr>
            <w:tcW w:w="85" w:type="dxa"/>
            <w:tcBorders>
              <w:bottom w:val="double" w:sz="6" w:space="0" w:color="000000"/>
            </w:tcBorders>
            <w:shd w:fill="FFFFFF" w:val="clear"/>
            <w:tcMar>
              <w:bottom w:w="45" w:type="dxa"/>
            </w:tcMar>
            <w:vAlign w:val="center"/>
          </w:tcPr>
          <w:p>
            <w:pPr>
              <w:pStyle w:val="TableContents"/>
              <w:bidi w:val="0"/>
              <w:spacing w:before="0" w:after="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5" w:name="Comp_Incom"/>
      <w:bookmarkEnd w:id="5"/>
      <w:r>
        <w:rPr>
          <w:rFonts w:ascii="Times New Roman;Times;serif" w:hAnsi="Times New Roman;Times;serif"/>
          <w:b/>
          <w:sz w:val="20"/>
        </w:rPr>
        <w:t>ZEVRA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p>
      <w:pPr>
        <w:pStyle w:val="TextBody"/>
        <w:bidi w:val="0"/>
        <w:spacing w:before="0" w:after="0"/>
        <w:jc w:val="left"/>
        <w:rPr/>
      </w:pPr>
      <w:r>
        <w:rPr/>
        <w:t xml:space="preserve">  </w:t>
      </w:r>
    </w:p>
    <w:tbl>
      <w:tblPr>
        <w:tblW w:w="8194" w:type="dxa"/>
        <w:jc w:val="left"/>
        <w:tblInd w:w="0" w:type="dxa"/>
        <w:tblLayout w:type="fixed"/>
        <w:tblCellMar>
          <w:top w:w="0" w:type="dxa"/>
          <w:left w:w="0" w:type="dxa"/>
          <w:bottom w:w="0" w:type="dxa"/>
          <w:right w:w="0" w:type="dxa"/>
        </w:tblCellMar>
      </w:tblPr>
      <w:tblGrid>
        <w:gridCol w:w="3260"/>
        <w:gridCol w:w="60"/>
        <w:gridCol w:w="192"/>
        <w:gridCol w:w="837"/>
        <w:gridCol w:w="122"/>
        <w:gridCol w:w="92"/>
        <w:gridCol w:w="192"/>
        <w:gridCol w:w="998"/>
        <w:gridCol w:w="80"/>
        <w:gridCol w:w="60"/>
        <w:gridCol w:w="164"/>
        <w:gridCol w:w="855"/>
        <w:gridCol w:w="105"/>
        <w:gridCol w:w="78"/>
        <w:gridCol w:w="164"/>
        <w:gridCol w:w="855"/>
        <w:gridCol w:w="80"/>
      </w:tblGrid>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1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(5,084</w:t>
            </w:r>
          </w:p>
        </w:tc>
        <w:tc>
          <w:tcPr>
            <w:tcW w:w="12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(24,042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(16,851</w:t>
            </w:r>
          </w:p>
        </w:tc>
        <w:tc>
          <w:tcPr>
            <w:tcW w:w="10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(25,906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9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Foreign currency translation adjustment</w:t>
            </w:r>
          </w:p>
        </w:tc>
        <w:tc>
          <w:tcPr>
            <w:tcW w:w="60" w:type="dxa"/>
            <w:tcBorders/>
            <w:shd w:fill="CCEEFF" w:val="clear"/>
            <w:vAlign w:val="center"/>
          </w:tcPr>
          <w:p>
            <w:pPr>
              <w:pStyle w:val="TableContents"/>
              <w:bidi w:val="0"/>
              <w:spacing w:before="0" w:after="0"/>
              <w:ind w:left="0" w:right="0" w:hanging="0"/>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w:t>
            </w:r>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bidi w:val="0"/>
              <w:spacing w:before="0" w:after="0"/>
              <w:ind w:left="0" w:right="0" w:hanging="0"/>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w:t>
            </w:r>
          </w:p>
        </w:tc>
        <w:tc>
          <w:tcPr>
            <w:tcW w:w="1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60" w:type="dxa"/>
            <w:tcBorders/>
            <w:shd w:fill="FFFFFF" w:val="clear"/>
            <w:vAlign w:val="center"/>
          </w:tcPr>
          <w:p>
            <w:pPr>
              <w:pStyle w:val="TableContents"/>
              <w:bidi w:val="0"/>
              <w:spacing w:before="0" w:after="0"/>
              <w:ind w:left="0" w:right="0" w:hanging="0"/>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w:t>
            </w:r>
          </w:p>
        </w:tc>
        <w:tc>
          <w:tcPr>
            <w:tcW w:w="1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bidi w:val="0"/>
              <w:spacing w:before="0" w:after="0"/>
              <w:ind w:left="0" w:right="0" w:hanging="0"/>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w:t>
            </w:r>
          </w:p>
        </w:tc>
        <w:tc>
          <w:tcPr>
            <w:tcW w:w="1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(5,246</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(24,042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(17,189</w:t>
            </w:r>
          </w:p>
        </w:tc>
        <w:tc>
          <w:tcPr>
            <w:tcW w:w="1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equity"/>
      <w:bookmarkEnd w:id="6"/>
      <w:r>
        <w:rPr>
          <w:rFonts w:ascii="Times New Roman;Times;serif" w:hAnsi="Times New Roman;Times;serif"/>
          <w:b/>
          <w:sz w:val="20"/>
        </w:rPr>
        <w:t>ZEVRA THERAPEUTICS, INC.</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 CONDENSED CONSOLIDATED STATEMENTS OF CHANGES IN STOCKHOLDERS’ EQUITY</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3403"/>
        <w:gridCol w:w="60"/>
        <w:gridCol w:w="250"/>
        <w:gridCol w:w="520"/>
        <w:gridCol w:w="60"/>
        <w:gridCol w:w="60"/>
        <w:gridCol w:w="140"/>
        <w:gridCol w:w="780"/>
        <w:gridCol w:w="60"/>
        <w:gridCol w:w="60"/>
        <w:gridCol w:w="125"/>
        <w:gridCol w:w="650"/>
        <w:gridCol w:w="80"/>
        <w:gridCol w:w="60"/>
        <w:gridCol w:w="158"/>
        <w:gridCol w:w="957"/>
        <w:gridCol w:w="80"/>
        <w:gridCol w:w="60"/>
        <w:gridCol w:w="311"/>
        <w:gridCol w:w="984"/>
        <w:gridCol w:w="80"/>
        <w:gridCol w:w="60"/>
        <w:gridCol w:w="181"/>
        <w:gridCol w:w="945"/>
        <w:gridCol w:w="81"/>
      </w:tblGrid>
      <w:tr>
        <w:trPr/>
        <w:tc>
          <w:tcPr>
            <w:tcW w:w="34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1" w:type="dxa"/>
            <w:tcBorders/>
            <w:shd w:fill="FFFFFF" w:val="clear"/>
            <w:vAlign w:val="center"/>
          </w:tcPr>
          <w:p>
            <w:pPr>
              <w:pStyle w:val="TableContents"/>
              <w:bidi w:val="0"/>
              <w:spacing w:before="0" w:after="283"/>
              <w:jc w:val="left"/>
              <w:rPr/>
            </w:pPr>
            <w:r>
              <w:rPr/>
              <w:t> </w:t>
            </w:r>
          </w:p>
        </w:tc>
      </w:tr>
      <w:tr>
        <w:trPr/>
        <w:tc>
          <w:tcPr>
            <w:tcW w:w="34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1" w:type="dxa"/>
            <w:tcBorders/>
            <w:shd w:fill="FFFFFF" w:val="clear"/>
            <w:vAlign w:val="center"/>
          </w:tcPr>
          <w:p>
            <w:pPr>
              <w:pStyle w:val="TableContents"/>
              <w:bidi w:val="0"/>
              <w:spacing w:before="0" w:after="283"/>
              <w:jc w:val="left"/>
              <w:rPr/>
            </w:pPr>
            <w:r>
              <w:rPr/>
              <w:t> </w:t>
            </w:r>
          </w:p>
        </w:tc>
      </w:tr>
      <w:tr>
        <w:trPr/>
        <w:tc>
          <w:tcPr>
            <w:tcW w:w="34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at cost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Income (loss)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January 1, 2023</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401,799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(308,572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85,807</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0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(11,767</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0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591</w:t>
            </w:r>
          </w:p>
        </w:tc>
        <w:tc>
          <w:tcPr>
            <w:tcW w:w="81" w:type="dxa"/>
            <w:tcBorders/>
            <w:shd w:fill="CCEEFF" w:val="clear"/>
            <w:vAlign w:val="center"/>
          </w:tcPr>
          <w:p>
            <w:pPr>
              <w:pStyle w:val="TableContents"/>
              <w:bidi w:val="0"/>
              <w:spacing w:before="0" w:after="283"/>
              <w:jc w:val="left"/>
              <w:rPr/>
            </w:pPr>
            <w:r>
              <w:rPr/>
              <w:t> </w:t>
            </w:r>
          </w:p>
        </w:tc>
      </w:tr>
      <w:tr>
        <w:trPr/>
        <w:tc>
          <w:tcPr>
            <w:tcW w:w="340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Shares repurchased as part of the Share Repurchase Program</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(3,447</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0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Issuance of common stock in exchange for consulting services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w:t>
            </w:r>
          </w:p>
        </w:tc>
        <w:tc>
          <w:tcPr>
            <w:tcW w:w="81" w:type="dxa"/>
            <w:tcBorders/>
            <w:shd w:fill="CCEEFF" w:val="clear"/>
            <w:vAlign w:val="center"/>
          </w:tcPr>
          <w:p>
            <w:pPr>
              <w:pStyle w:val="TableContents"/>
              <w:bidi w:val="0"/>
              <w:spacing w:before="0" w:after="283"/>
              <w:jc w:val="left"/>
              <w:rPr/>
            </w:pPr>
            <w:r>
              <w:rPr/>
              <w:t> </w:t>
            </w:r>
          </w:p>
        </w:tc>
      </w:tr>
      <w:tr>
        <w:trPr/>
        <w:tc>
          <w:tcPr>
            <w:tcW w:w="340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Severance expense</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354</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340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60" w:type="dxa"/>
            <w:tcBorders/>
            <w:shd w:fill="CCEEFF" w:val="clear"/>
            <w:vAlign w:val="center"/>
          </w:tcPr>
          <w:p>
            <w:pPr>
              <w:pStyle w:val="TableContents"/>
              <w:bidi w:val="0"/>
              <w:spacing w:before="0" w:after="0"/>
              <w:ind w:left="0" w:right="0" w:hanging="0"/>
              <w:jc w:val="left"/>
              <w:rPr/>
            </w:pPr>
            <w:r>
              <w:rPr/>
              <w:t> </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w:t>
            </w:r>
          </w:p>
        </w:tc>
        <w:tc>
          <w:tcPr>
            <w:tcW w:w="81"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March 31, 2023</w:t>
            </w:r>
          </w:p>
        </w:tc>
        <w:tc>
          <w:tcPr>
            <w:tcW w:w="60" w:type="dxa"/>
            <w:tcBorders/>
            <w:shd w:fill="FFFFFF" w:val="clear"/>
            <w:vAlign w:val="center"/>
          </w:tcPr>
          <w:p>
            <w:pPr>
              <w:pStyle w:val="TableContents"/>
              <w:bidi w:val="0"/>
              <w:spacing w:before="0" w:after="283"/>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402,786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(320,339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71,404</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03"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(5,084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(5,084</w:t>
            </w:r>
          </w:p>
        </w:tc>
        <w:tc>
          <w:tcPr>
            <w:tcW w:w="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03"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1,103</w:t>
            </w:r>
          </w:p>
        </w:tc>
        <w:tc>
          <w:tcPr>
            <w:tcW w:w="81" w:type="dxa"/>
            <w:tcBorders/>
            <w:shd w:fill="FFFFFF" w:val="clear"/>
            <w:vAlign w:val="center"/>
          </w:tcPr>
          <w:p>
            <w:pPr>
              <w:pStyle w:val="TableContents"/>
              <w:bidi w:val="0"/>
              <w:spacing w:before="0" w:after="283"/>
              <w:jc w:val="left"/>
              <w:rPr/>
            </w:pPr>
            <w:r>
              <w:rPr/>
              <w:t> </w:t>
            </w:r>
          </w:p>
        </w:tc>
      </w:tr>
      <w:tr>
        <w:trPr/>
        <w:tc>
          <w:tcPr>
            <w:tcW w:w="3403"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Issuance of common stock in exchange for consulting services</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w:t>
            </w:r>
          </w:p>
        </w:tc>
        <w:tc>
          <w:tcPr>
            <w:tcW w:w="81" w:type="dxa"/>
            <w:tcBorders/>
            <w:shd w:fill="CCEEFF" w:val="clear"/>
            <w:vAlign w:val="center"/>
          </w:tcPr>
          <w:p>
            <w:pPr>
              <w:pStyle w:val="TableContents"/>
              <w:bidi w:val="0"/>
              <w:spacing w:before="0" w:after="283"/>
              <w:jc w:val="left"/>
              <w:rPr/>
            </w:pPr>
            <w:r>
              <w:rPr/>
              <w:t> </w:t>
            </w:r>
          </w:p>
        </w:tc>
      </w:tr>
      <w:tr>
        <w:trPr/>
        <w:tc>
          <w:tcPr>
            <w:tcW w:w="3403"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Severance expense</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1,048</w:t>
            </w:r>
          </w:p>
        </w:tc>
        <w:tc>
          <w:tcPr>
            <w:tcW w:w="81" w:type="dxa"/>
            <w:tcBorders/>
            <w:shd w:fill="FFFFFF" w:val="clear"/>
            <w:vAlign w:val="center"/>
          </w:tcPr>
          <w:p>
            <w:pPr>
              <w:pStyle w:val="TableContents"/>
              <w:bidi w:val="0"/>
              <w:spacing w:before="0" w:after="283"/>
              <w:jc w:val="left"/>
              <w:rPr/>
            </w:pPr>
            <w:r>
              <w:rPr/>
              <w:t> </w:t>
            </w:r>
          </w:p>
        </w:tc>
      </w:tr>
      <w:tr>
        <w:trPr/>
        <w:tc>
          <w:tcPr>
            <w:tcW w:w="3403"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Issuance of common stock as part of the Employee Stock Purchase Plan</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5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340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comprehensive loss</w:t>
            </w:r>
          </w:p>
        </w:tc>
        <w:tc>
          <w:tcPr>
            <w:tcW w:w="60" w:type="dxa"/>
            <w:tcBorders/>
            <w:shd w:fill="FFFFFF" w:val="clear"/>
            <w:vAlign w:val="center"/>
          </w:tcPr>
          <w:p>
            <w:pPr>
              <w:pStyle w:val="TableContents"/>
              <w:bidi w:val="0"/>
              <w:spacing w:before="0" w:after="0"/>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w:t>
            </w:r>
          </w:p>
        </w:tc>
        <w:tc>
          <w:tcPr>
            <w:tcW w:w="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0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as of June 30, 2023</w:t>
            </w:r>
          </w:p>
        </w:tc>
        <w:tc>
          <w:tcPr>
            <w:tcW w:w="60" w:type="dxa"/>
            <w:tcBorders/>
            <w:shd w:fill="CCEEFF" w:val="clear"/>
            <w:vAlign w:val="center"/>
          </w:tcPr>
          <w:p>
            <w:pPr>
              <w:pStyle w:val="TableContents"/>
              <w:bidi w:val="0"/>
              <w:spacing w:before="0" w:after="0"/>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60" w:type="dxa"/>
            <w:tcBorders>
              <w:top w:val="single" w:sz="2" w:space="0" w:color="000000"/>
              <w:bottom w:val="double" w:sz="6" w:space="0" w:color="000000"/>
            </w:tcBorders>
            <w:shd w:fill="CCEEFF" w:val="clear"/>
            <w:tcMar>
              <w:top w:w="28" w:type="dxa"/>
              <w:bottom w:w="45"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405,127</w:t>
            </w:r>
          </w:p>
        </w:tc>
        <w:tc>
          <w:tcPr>
            <w:tcW w:w="60" w:type="dxa"/>
            <w:tcBorders>
              <w:top w:val="single" w:sz="2" w:space="0" w:color="000000"/>
              <w:bottom w:val="double" w:sz="6" w:space="0" w:color="000000"/>
            </w:tcBorders>
            <w:shd w:fill="CCEEFF" w:val="clear"/>
            <w:tcMar>
              <w:top w:w="28" w:type="dxa"/>
              <w:bottom w:w="45"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(10,983</w:t>
            </w:r>
          </w:p>
        </w:tc>
        <w:tc>
          <w:tcPr>
            <w:tcW w:w="80" w:type="dxa"/>
            <w:tcBorders>
              <w:top w:val="single" w:sz="2" w:space="0" w:color="000000"/>
              <w:bottom w:val="double" w:sz="6" w:space="0" w:color="000000"/>
            </w:tcBorders>
            <w:shd w:fill="CCEEFF" w:val="clear"/>
            <w:tcMar>
              <w:top w:w="28" w:type="dxa"/>
              <w:bottom w:w="45"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(325,423</w:t>
            </w:r>
          </w:p>
        </w:tc>
        <w:tc>
          <w:tcPr>
            <w:tcW w:w="80" w:type="dxa"/>
            <w:tcBorders>
              <w:top w:val="single" w:sz="2" w:space="0" w:color="000000"/>
              <w:bottom w:val="double" w:sz="6" w:space="0" w:color="000000"/>
            </w:tcBorders>
            <w:shd w:fill="CCEEFF" w:val="clear"/>
            <w:tcMar>
              <w:top w:w="28" w:type="dxa"/>
              <w:bottom w:w="45"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w:t>
            </w:r>
          </w:p>
        </w:tc>
        <w:tc>
          <w:tcPr>
            <w:tcW w:w="80" w:type="dxa"/>
            <w:tcBorders>
              <w:top w:val="single" w:sz="2" w:space="0" w:color="000000"/>
              <w:bottom w:val="double" w:sz="6" w:space="0" w:color="000000"/>
            </w:tcBorders>
            <w:shd w:fill="CCEEFF" w:val="clear"/>
            <w:tcMar>
              <w:top w:w="28" w:type="dxa"/>
              <w:bottom w:w="45"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68,499</w:t>
            </w:r>
          </w:p>
        </w:tc>
        <w:tc>
          <w:tcPr>
            <w:tcW w:w="81" w:type="dxa"/>
            <w:tcBorders>
              <w:top w:val="single" w:sz="2" w:space="0" w:color="000000"/>
              <w:bottom w:val="double" w:sz="6" w:space="0" w:color="000000"/>
            </w:tcBorders>
            <w:shd w:fill="CCEEFF" w:val="clear"/>
            <w:tcMar>
              <w:top w:w="28" w:type="dxa"/>
              <w:bottom w:w="45" w:type="dxa"/>
            </w:tcMar>
            <w:vAlign w:val="center"/>
          </w:tcPr>
          <w:p>
            <w:pPr>
              <w:pStyle w:val="TableContents"/>
              <w:bidi w:val="0"/>
              <w:spacing w:before="0" w:after="0"/>
              <w:jc w:val="left"/>
              <w:rPr/>
            </w:pPr>
            <w:r>
              <w:rPr/>
              <w:t> </w:t>
            </w:r>
          </w:p>
        </w:tc>
      </w:tr>
    </w:tbl>
    <w:p>
      <w:pPr>
        <w:pStyle w:val="TextBody"/>
        <w:bidi w:val="0"/>
        <w:spacing w:before="0" w:after="0"/>
        <w:ind w:left="0" w:right="0" w:hanging="0"/>
        <w:jc w:val="center"/>
        <w:rPr>
          <w:color w:val="000000"/>
        </w:rPr>
      </w:pPr>
      <w:r>
        <w:rPr>
          <w:color w:val="000000"/>
        </w:rPr>
        <w:t> </w:t>
      </w:r>
    </w:p>
    <w:p>
      <w:pPr>
        <w:pStyle w:val="TextBody"/>
        <w:bidi w:val="0"/>
        <w:spacing w:before="0" w:after="0"/>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ZEVRA THERAPEUTICS, INC.</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UNAUDITED CONDENSED CONSOLIDATED STATEMENTS OF CHANGES IN STOCKHOLDERS’ EQUITY, CONTINUED</w:t>
      </w:r>
    </w:p>
    <w:p>
      <w:pPr>
        <w:pStyle w:val="TextBody"/>
        <w:bidi w:val="0"/>
        <w:spacing w:before="0" w:after="0"/>
        <w:ind w:left="144" w:right="144"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144" w:right="144" w:hanging="0"/>
        <w:jc w:val="center"/>
        <w:rPr/>
      </w:pPr>
      <w:r>
        <w:rPr/>
        <w:t> </w:t>
      </w:r>
    </w:p>
    <w:tbl>
      <w:tblPr>
        <w:tblW w:w="10205" w:type="dxa"/>
        <w:jc w:val="left"/>
        <w:tblInd w:w="0" w:type="dxa"/>
        <w:tblLayout w:type="fixed"/>
        <w:tblCellMar>
          <w:top w:w="0" w:type="dxa"/>
          <w:left w:w="0" w:type="dxa"/>
          <w:bottom w:w="0" w:type="dxa"/>
          <w:right w:w="0" w:type="dxa"/>
        </w:tblCellMar>
      </w:tblPr>
      <w:tblGrid>
        <w:gridCol w:w="5066"/>
        <w:gridCol w:w="60"/>
        <w:gridCol w:w="206"/>
        <w:gridCol w:w="489"/>
        <w:gridCol w:w="80"/>
        <w:gridCol w:w="60"/>
        <w:gridCol w:w="120"/>
        <w:gridCol w:w="665"/>
        <w:gridCol w:w="60"/>
        <w:gridCol w:w="60"/>
        <w:gridCol w:w="179"/>
        <w:gridCol w:w="795"/>
        <w:gridCol w:w="80"/>
        <w:gridCol w:w="60"/>
        <w:gridCol w:w="139"/>
        <w:gridCol w:w="841"/>
        <w:gridCol w:w="80"/>
        <w:gridCol w:w="60"/>
        <w:gridCol w:w="155"/>
        <w:gridCol w:w="867"/>
        <w:gridCol w:w="83"/>
      </w:tblGrid>
      <w:tr>
        <w:trPr/>
        <w:tc>
          <w:tcPr>
            <w:tcW w:w="50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3" w:type="dxa"/>
            <w:tcBorders/>
            <w:shd w:fill="FFFFFF" w:val="clear"/>
            <w:vAlign w:val="center"/>
          </w:tcPr>
          <w:p>
            <w:pPr>
              <w:pStyle w:val="TableContents"/>
              <w:bidi w:val="0"/>
              <w:spacing w:before="0" w:after="283"/>
              <w:jc w:val="left"/>
              <w:rPr/>
            </w:pPr>
            <w:r>
              <w:rPr/>
              <w:t> </w:t>
            </w:r>
          </w:p>
        </w:tc>
      </w:tr>
      <w:tr>
        <w:trPr/>
        <w:tc>
          <w:tcPr>
            <w:tcW w:w="50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2"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3" w:type="dxa"/>
            <w:tcBorders/>
            <w:shd w:fill="FFFFFF" w:val="clear"/>
            <w:vAlign w:val="center"/>
          </w:tcPr>
          <w:p>
            <w:pPr>
              <w:pStyle w:val="TableContents"/>
              <w:bidi w:val="0"/>
              <w:spacing w:before="0" w:after="283"/>
              <w:jc w:val="left"/>
              <w:rPr/>
            </w:pPr>
            <w:r>
              <w:rPr/>
              <w:t> </w:t>
            </w:r>
          </w:p>
        </w:tc>
      </w:tr>
      <w:tr>
        <w:trPr/>
        <w:tc>
          <w:tcPr>
            <w:tcW w:w="50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 at cost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as of January 1, 2022</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396,957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(267,029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127,118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6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(1,864</w:t>
            </w:r>
          </w:p>
        </w:tc>
        <w:tc>
          <w:tcPr>
            <w:tcW w:w="8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06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918</w:t>
            </w:r>
          </w:p>
        </w:tc>
        <w:tc>
          <w:tcPr>
            <w:tcW w:w="83" w:type="dxa"/>
            <w:tcBorders/>
            <w:shd w:fill="CCEEFF" w:val="clear"/>
            <w:vAlign w:val="center"/>
          </w:tcPr>
          <w:p>
            <w:pPr>
              <w:pStyle w:val="TableContents"/>
              <w:bidi w:val="0"/>
              <w:spacing w:before="0" w:after="283"/>
              <w:jc w:val="left"/>
              <w:rPr/>
            </w:pPr>
            <w:r>
              <w:rPr/>
              <w:t> </w:t>
            </w:r>
          </w:p>
        </w:tc>
      </w:tr>
      <w:tr>
        <w:trPr/>
        <w:tc>
          <w:tcPr>
            <w:tcW w:w="506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repurchased as part of the Share Repurchase Program</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48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(4,722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(4,723</w:t>
            </w:r>
          </w:p>
        </w:tc>
        <w:tc>
          <w:tcPr>
            <w:tcW w:w="83"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06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in exchange for consulting services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as of March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397,925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(7,536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(268,893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121,499</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66" w:type="dxa"/>
            <w:tcBorders/>
            <w:shd w:fill="CCEEFF" w:val="clear"/>
            <w:vAlign w:val="center"/>
          </w:tcPr>
          <w:p>
            <w:pPr>
              <w:pStyle w:val="TableContents"/>
              <w:bidi w:val="0"/>
              <w:spacing w:before="0" w:after="0"/>
              <w:ind w:left="180" w:right="180" w:hanging="0"/>
              <w:jc w:val="left"/>
              <w:rPr>
                <w:rFonts w:ascii="Times New Roman;Times;serif" w:hAnsi="Times New Roman;Times;serif"/>
                <w:sz w:val="18"/>
              </w:rPr>
            </w:pPr>
            <w:r>
              <w:rPr>
                <w:rFonts w:ascii="Times New Roman;Times;serif" w:hAnsi="Times New Roman;Times;serif"/>
                <w:sz w:val="18"/>
              </w:rPr>
              <w:t>Net income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(24,042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(24,042</w:t>
            </w:r>
          </w:p>
        </w:tc>
        <w:tc>
          <w:tcPr>
            <w:tcW w:w="83"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5066" w:type="dxa"/>
            <w:tcBorders/>
            <w:shd w:fill="FFFFFF" w:val="clear"/>
            <w:vAlign w:val="center"/>
          </w:tcPr>
          <w:p>
            <w:pPr>
              <w:pStyle w:val="TableContents"/>
              <w:bidi w:val="0"/>
              <w:spacing w:before="0" w:after="0"/>
              <w:ind w:left="180" w:right="18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1,510</w:t>
            </w:r>
          </w:p>
        </w:tc>
        <w:tc>
          <w:tcPr>
            <w:tcW w:w="83" w:type="dxa"/>
            <w:tcBorders/>
            <w:shd w:fill="FFFFFF" w:val="clear"/>
            <w:vAlign w:val="center"/>
          </w:tcPr>
          <w:p>
            <w:pPr>
              <w:pStyle w:val="TableContents"/>
              <w:bidi w:val="0"/>
              <w:spacing w:before="0" w:after="283"/>
              <w:jc w:val="left"/>
              <w:rPr/>
            </w:pPr>
            <w:r>
              <w:rPr/>
              <w:t> </w:t>
            </w:r>
          </w:p>
        </w:tc>
      </w:tr>
      <w:tr>
        <w:trPr/>
        <w:tc>
          <w:tcPr>
            <w:tcW w:w="5066" w:type="dxa"/>
            <w:tcBorders/>
            <w:shd w:fill="CCEEFF" w:val="clear"/>
            <w:vAlign w:val="center"/>
          </w:tcPr>
          <w:p>
            <w:pPr>
              <w:pStyle w:val="TableContents"/>
              <w:bidi w:val="0"/>
              <w:spacing w:before="0" w:after="0"/>
              <w:ind w:left="180" w:right="180" w:hanging="0"/>
              <w:jc w:val="left"/>
              <w:rPr>
                <w:rFonts w:ascii="Times New Roman;Times;serif" w:hAnsi="Times New Roman;Times;serif"/>
                <w:sz w:val="18"/>
              </w:rPr>
            </w:pPr>
            <w:r>
              <w:rPr>
                <w:rFonts w:ascii="Times New Roman;Times;serif" w:hAnsi="Times New Roman;Times;serif"/>
                <w:sz w:val="18"/>
              </w:rPr>
              <w:t>Issuance of common stock in exchange for consulting services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84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5066"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as part of the Employee Stock Purchase Plan</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216</w:t>
            </w:r>
          </w:p>
        </w:tc>
        <w:tc>
          <w:tcPr>
            <w:tcW w:w="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06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as of June 30, 2022</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399,701</w:t>
            </w:r>
          </w:p>
        </w:tc>
        <w:tc>
          <w:tcPr>
            <w:tcW w:w="6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(7,536</w:t>
            </w:r>
          </w:p>
        </w:tc>
        <w:tc>
          <w:tcPr>
            <w:tcW w:w="8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(292,935</w:t>
            </w:r>
          </w:p>
        </w:tc>
        <w:tc>
          <w:tcPr>
            <w:tcW w:w="8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99,233</w:t>
            </w:r>
          </w:p>
        </w:tc>
        <w:tc>
          <w:tcPr>
            <w:tcW w:w="83" w:type="dxa"/>
            <w:tcBorders>
              <w:bottom w:val="double" w:sz="6" w:space="0" w:color="000000"/>
            </w:tcBorders>
            <w:shd w:fill="CCEEFF" w:val="clear"/>
            <w:tcMar>
              <w:bottom w:w="45"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i/>
          <w:color w:val="000000"/>
          <w:sz w:val="20"/>
        </w:rPr>
      </w:pPr>
      <w:r>
        <w:rPr>
          <w:rFonts w:ascii="Times New Roman;Times;serif" w:hAnsi="Times New Roman;Times;serif"/>
          <w:i/>
          <w:color w:val="000000"/>
          <w:sz w:val="20"/>
        </w:rPr>
        <w:t>See accompanying notes to unaudited condensed consolidated financial statements.</w:t>
      </w:r>
    </w:p>
    <w:p>
      <w:pPr>
        <w:pStyle w:val="TextBody"/>
        <w:bidi w:val="0"/>
        <w:spacing w:before="0" w:after="0"/>
        <w:ind w:left="0" w:right="0" w:hanging="0"/>
        <w:jc w:val="center"/>
        <w:rPr>
          <w:color w:val="000000"/>
        </w:rPr>
      </w:pPr>
      <w:r>
        <w:rPr>
          <w:color w:val="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cf"/>
      <w:bookmarkEnd w:id="7"/>
      <w:r>
        <w:rPr>
          <w:rFonts w:ascii="Times New Roman;Times;serif" w:hAnsi="Times New Roman;Times;serif"/>
          <w:b/>
          <w:sz w:val="20"/>
        </w:rPr>
        <w:t>ZEVRA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 </w:t>
      </w:r>
    </w:p>
    <w:tbl>
      <w:tblPr>
        <w:tblW w:w="8292" w:type="dxa"/>
        <w:jc w:val="left"/>
        <w:tblInd w:w="0" w:type="dxa"/>
        <w:tblLayout w:type="fixed"/>
        <w:tblCellMar>
          <w:top w:w="0" w:type="dxa"/>
          <w:left w:w="0" w:type="dxa"/>
          <w:bottom w:w="0" w:type="dxa"/>
          <w:right w:w="0" w:type="dxa"/>
        </w:tblCellMar>
      </w:tblPr>
      <w:tblGrid>
        <w:gridCol w:w="5930"/>
        <w:gridCol w:w="60"/>
        <w:gridCol w:w="160"/>
        <w:gridCol w:w="833"/>
        <w:gridCol w:w="102"/>
        <w:gridCol w:w="76"/>
        <w:gridCol w:w="160"/>
        <w:gridCol w:w="891"/>
        <w:gridCol w:w="80"/>
      </w:tblGrid>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(16,851</w:t>
            </w:r>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(25,906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180" w:right="0" w:hanging="0"/>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2,428</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Severance expense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1,402</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157</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246</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Fair value adjustment related to derivative and warrant liability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Fair value adjustment related to investments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(327</w:t>
            </w:r>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495</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Loss on sublease and disposal of property and equipment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Consulting fees paid in common stock</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Acquired in-process research and development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17,663</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Gain on foreign currency exchange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(138</w:t>
            </w:r>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ind w:left="180" w:right="0" w:hanging="0"/>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 in assets and liabilities: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360" w:hanging="0"/>
              <w:jc w:val="left"/>
              <w:rPr>
                <w:rFonts w:ascii="Times New Roman" w:hAnsi="Times New Roman"/>
                <w:sz w:val="20"/>
              </w:rPr>
            </w:pPr>
            <w:r>
              <w:rPr>
                <w:rFonts w:ascii="Times New Roman" w:hAnsi="Times New Roman"/>
                <w:sz w:val="20"/>
              </w:rPr>
              <w:t>Accounts and other receivables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(5,734</w:t>
            </w:r>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360" w:right="360" w:hanging="0"/>
              <w:jc w:val="left"/>
              <w:rPr>
                <w:rFonts w:ascii="Times New Roman" w:hAnsi="Times New Roman"/>
                <w:sz w:val="20"/>
              </w:rPr>
            </w:pPr>
            <w:r>
              <w:rPr>
                <w:rFonts w:ascii="Times New Roman" w:hAnsi="Times New Roman"/>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(146</w:t>
            </w:r>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(1,892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360" w:right="360" w:hanging="0"/>
              <w:jc w:val="left"/>
              <w:rPr>
                <w:rFonts w:ascii="Times New Roman" w:hAnsi="Times New Roman"/>
                <w:sz w:val="20"/>
              </w:rPr>
            </w:pPr>
            <w:r>
              <w:rPr>
                <w:rFonts w:ascii="Times New Roman" w:hAnsi="Times New Roman"/>
                <w:sz w:val="20"/>
              </w:rPr>
              <w:t>Inventories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125</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39</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360" w:hanging="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161</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360" w:right="360" w:hanging="0"/>
              <w:jc w:val="left"/>
              <w:rPr>
                <w:rFonts w:ascii="Times New Roman" w:hAnsi="Times New Roman"/>
                <w:sz w:val="20"/>
              </w:rPr>
            </w:pPr>
            <w:r>
              <w:rPr>
                <w:rFonts w:ascii="Times New Roman" w:hAnsi="Times New Roman"/>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3,338</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630</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360" w:hanging="0"/>
              <w:jc w:val="left"/>
              <w:rPr>
                <w:rFonts w:ascii="Times New Roman" w:hAnsi="Times New Roman"/>
                <w:sz w:val="20"/>
              </w:rPr>
            </w:pPr>
            <w:r>
              <w:rPr>
                <w:rFonts w:ascii="Times New Roman" w:hAnsi="Times New Roman"/>
                <w:sz w:val="20"/>
              </w:rPr>
              <w:t>Discount and rebate liability</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3,097</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496</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360" w:hanging="0"/>
              <w:jc w:val="left"/>
              <w:rPr>
                <w:rFonts w:ascii="Times New Roman" w:hAnsi="Times New Roman"/>
                <w:sz w:val="20"/>
              </w:rPr>
            </w:pPr>
            <w:r>
              <w:rPr>
                <w:rFonts w:ascii="Times New Roman" w:hAnsi="Times New Roman"/>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w:t>
            </w:r>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622</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(12,749</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Acquisitions, net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Purchases of investments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(17,467</w:t>
            </w:r>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(23,832</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Maturities of investments</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34,000</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1,025</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16,481</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issuance of debt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12,800</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12,800</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Repayment of debt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(13,007</w:t>
            </w:r>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insurance financing arrangements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1,256</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1,273</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Proceeds from Employee Stock Purchase Plan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166</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216</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Payments of principal on insurance financing arrangements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(564</w:t>
            </w:r>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Payments to repurchase shares as part of the Share Repurchase Program</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(3,447</w:t>
            </w:r>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(4,723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offering costs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Repayment of principal on finance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(2,799</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(203</w:t>
            </w:r>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65,466</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112,346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66,196</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paid for interest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261</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8" w:name="notes"/>
      <w:bookmarkEnd w:id="8"/>
      <w:r>
        <w:rPr>
          <w:rFonts w:ascii="Times New Roman;Times;serif" w:hAnsi="Times New Roman;Times;serif"/>
          <w:b/>
          <w:sz w:val="20"/>
        </w:rPr>
        <w:t>ZEVRA THERAPEUTICS,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7900" w:type="dxa"/>
        <w:jc w:val="left"/>
        <w:tblInd w:w="0" w:type="dxa"/>
        <w:tblLayout w:type="fixed"/>
        <w:tblCellMar>
          <w:top w:w="0" w:type="dxa"/>
          <w:left w:w="0" w:type="dxa"/>
          <w:bottom w:w="0" w:type="dxa"/>
          <w:right w:w="0" w:type="dxa"/>
        </w:tblCellMar>
      </w:tblPr>
      <w:tblGrid>
        <w:gridCol w:w="260"/>
        <w:gridCol w:w="7640"/>
      </w:tblGrid>
      <w:tr>
        <w:trPr/>
        <w:tc>
          <w:tcPr>
            <w:tcW w:w="260" w:type="dxa"/>
            <w:tcBorders/>
            <w:vAlign w:val="center"/>
          </w:tcPr>
          <w:p>
            <w:pPr>
              <w:pStyle w:val="TableContents"/>
              <w:bidi w:val="0"/>
              <w:spacing w:before="0" w:after="283"/>
              <w:jc w:val="left"/>
              <w:rPr>
                <w:b/>
              </w:rPr>
            </w:pPr>
            <w:r>
              <w:rPr>
                <w:b/>
              </w:rPr>
              <w:t>A.</w:t>
            </w:r>
          </w:p>
        </w:tc>
        <w:tc>
          <w:tcPr>
            <w:tcW w:w="7640" w:type="dxa"/>
            <w:tcBorders/>
            <w:vAlign w:val="center"/>
          </w:tcPr>
          <w:p>
            <w:pPr>
              <w:pStyle w:val="TableContents"/>
              <w:bidi w:val="0"/>
              <w:spacing w:before="0" w:after="283"/>
              <w:jc w:val="left"/>
              <w:rPr>
                <w:b/>
              </w:rPr>
            </w:pPr>
            <w:r>
              <w:rPr>
                <w:b/>
              </w:rPr>
              <w:t>Description of Business, Basis of Presentation, and Significant Transactions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Zevra Therapeutics, Inc. (the "Company") is a rare disease company melding science, data and patient need to create transformational therapies for diseases with limited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treatment options. The Company has a diverse portfolio of products and product candidates, which includes a combination of both a clinical stage pipeline and commercial stage assets. The Company's pipeline includes arimoclomol, an orally-delivered,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-in-class investigational product candidate being developed for Niemann-Pick disease type C ("NPC"), which has been granted orphan drug designation, Fast-track designation, Breakthrough Therapy designation and rare pediatric disease designation for the treatment of NPC by the U.S. Food and Drug Administration ("FDA") and orphan medical product designation for the treatment of NPC by the European Medicines Agency ("EMA"). </w:t>
      </w:r>
      <w:r>
        <w:rPr>
          <w:rStyle w:val="Emphasis"/>
          <w:rFonts w:ascii="Times New Roman" w:hAnsi="Times New Roman"/>
          <w:caps w:val="false"/>
          <w:smallCaps w:val="false"/>
          <w:sz w:val="20"/>
        </w:rPr>
        <w:t>KP1077</w:t>
      </w:r>
      <w:r>
        <w:rPr>
          <w:rFonts w:ascii="Times New Roman" w:hAnsi="Times New Roman"/>
          <w:caps w:val="false"/>
          <w:smallCaps w:val="false"/>
          <w:sz w:val="20"/>
        </w:rPr>
        <w:t xml:space="preserve"> is the Company's lead clinical development product candidate which is b</w:t>
      </w:r>
      <w:r>
        <w:rPr>
          <w:rFonts w:ascii="Times New Roman" w:hAnsi="Times New Roman"/>
          <w:caps w:val="false"/>
          <w:smallCaps w:val="false"/>
          <w:sz w:val="20"/>
          <w:shd w:fill="FFFFFF" w:val="clear"/>
        </w:rPr>
        <w:t xml:space="preserve">eing developed as a treatment for idiopathic hypersomnia ("IH"), a rare neurological sleep disorder, and narcolepsy. </w:t>
      </w:r>
      <w:r>
        <w:rPr>
          <w:rStyle w:val="Emphasis"/>
          <w:rFonts w:ascii="Times New Roman" w:hAnsi="Times New Roman"/>
          <w:caps w:val="false"/>
          <w:smallCaps w:val="false"/>
          <w:sz w:val="20"/>
          <w:shd w:fill="FFFFFF" w:val="clear"/>
        </w:rPr>
        <w:t>KP1077</w:t>
      </w:r>
      <w:r>
        <w:rPr>
          <w:rFonts w:ascii="Times New Roman" w:hAnsi="Times New Roman"/>
          <w:caps w:val="false"/>
          <w:smallCaps w:val="false"/>
          <w:sz w:val="20"/>
          <w:shd w:fill="FFFFFF" w:val="clear"/>
        </w:rPr>
        <w:t xml:space="preserve"> is comprised solely of serdexmethylphenidate ("SDX"), the Company's proprietary prodrug of d-methylphenidate (“d-MPH”). The FDA has granted </w:t>
      </w:r>
      <w:r>
        <w:rPr>
          <w:rStyle w:val="Emphasis"/>
          <w:rFonts w:ascii="Times New Roman" w:hAnsi="Times New Roman"/>
          <w:caps w:val="false"/>
          <w:smallCaps w:val="false"/>
          <w:sz w:val="20"/>
          <w:shd w:fill="FFFFFF" w:val="clear"/>
        </w:rPr>
        <w:t>KP1077</w:t>
      </w:r>
      <w:r>
        <w:rPr>
          <w:rFonts w:ascii="Times New Roman" w:hAnsi="Times New Roman"/>
          <w:caps w:val="false"/>
          <w:smallCaps w:val="false"/>
          <w:sz w:val="20"/>
          <w:shd w:fill="FFFFFF" w:val="clear"/>
        </w:rPr>
        <w:t xml:space="preserve"> orphan drug designation for the treatment of IH. The Company changed its name from KemPharm, Inc. to Zevra Therapeutics, Inc. effective as of </w:t>
      </w:r>
      <w:r>
        <w:rPr>
          <w:rStyle w:val="Emphasis"/>
          <w:rFonts w:ascii="Times New Roman" w:hAnsi="Times New Roman"/>
          <w:caps w:val="false"/>
          <w:smallCaps w:val="false"/>
          <w:sz w:val="20"/>
          <w:shd w:fill="FFFFFF" w:val="clear"/>
        </w:rPr>
        <w:t>February 21, 2023.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2023, </w:t>
      </w:r>
      <w:r>
        <w:rPr>
          <w:rFonts w:ascii="Times New Roman" w:hAnsi="Times New Roman"/>
          <w:caps w:val="false"/>
          <w:smallCaps w:val="false"/>
          <w:sz w:val="20"/>
        </w:rPr>
        <w:t>following its name change, the Company's common stock began trading on the Nasdaq Global Select Market under the ticker symbol "ZVRA".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The accompanying unaudited condensed consolidated financial statements have been prepared in accordance with accounting principles generally accepted in the United States of America ("U.S. GAAP") for interim financial information and with the instructions </w:t>
      </w:r>
      <w:r>
        <w:rPr>
          <w:rFonts w:ascii="Times New Roman" w:hAnsi="Times New Roman"/>
          <w:caps w:val="false"/>
          <w:smallCaps w:val="false"/>
          <w:sz w:val="20"/>
        </w:rPr>
        <w:t>to Form </w:t>
      </w:r>
      <w:r>
        <w:rPr>
          <w:rStyle w:val="Emphasis"/>
          <w:rFonts w:ascii="Times New Roman" w:hAnsi="Times New Roman"/>
          <w:caps w:val="false"/>
          <w:smallCaps w:val="false"/>
          <w:sz w:val="20"/>
        </w:rPr>
        <w:t>10</w:t>
      </w:r>
      <w:r>
        <w:rPr>
          <w:rFonts w:ascii="Times New Roman" w:hAnsi="Times New Roman"/>
          <w:caps w:val="false"/>
          <w:smallCaps w:val="false"/>
          <w:sz w:val="20"/>
        </w:rPr>
        <w:t>-Q and Rule </w:t>
      </w:r>
      <w:r>
        <w:rPr>
          <w:rStyle w:val="Emphasis"/>
          <w:rFonts w:ascii="Times New Roman" w:hAnsi="Times New Roman"/>
          <w:caps w:val="false"/>
          <w:smallCaps w:val="false"/>
          <w:sz w:val="20"/>
        </w:rPr>
        <w:t>8</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related notes required by U.S. GAAP for complete financial statements. In the opinion of management, all adjustments (consisting of normal recurring adjustments) considered necessary for a fair presentation have been included in the accompanying consolidated financial statements.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are </w:t>
      </w:r>
      <w:r>
        <w:rPr>
          <w:rStyle w:val="Emphasis"/>
          <w:rFonts w:ascii="Times New Roman" w:hAnsi="Times New Roman"/>
          <w:caps w:val="false"/>
          <w:smallCaps w:val="false"/>
          <w:sz w:val="20"/>
        </w:rPr>
        <w:t>not</w:t>
      </w:r>
      <w:r>
        <w:rPr>
          <w:rFonts w:ascii="Times New Roman" w:hAnsi="Times New Roman"/>
          <w:caps w:val="false"/>
          <w:smallCaps w:val="false"/>
          <w:sz w:val="20"/>
        </w:rPr>
        <w:t> necessarily indicative of the results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expected for the full year ending </w:t>
      </w:r>
      <w:r>
        <w:rPr>
          <w:rStyle w:val="Emphasis"/>
          <w:rFonts w:ascii="Times New Roman" w:hAnsi="Times New Roman"/>
          <w:caps w:val="false"/>
          <w:smallCaps w:val="false"/>
          <w:sz w:val="20"/>
        </w:rPr>
        <w:t xml:space="preserve">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This interim information should be read in conjunction with the audited financial statements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the fiscal year ended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filed with the United States Securities and Exchange Commission (“SEC”) on </w:t>
      </w:r>
      <w:r>
        <w:rPr>
          <w:rStyle w:val="Emphasis"/>
          <w:rFonts w:ascii="Times New Roman" w:hAnsi="Times New Roman"/>
          <w:caps w:val="false"/>
          <w:smallCaps w:val="false"/>
          <w:sz w:val="20"/>
        </w:rPr>
        <w:t xml:space="preserve"> March 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shd w:fill="FFFFFF" w:val="clear"/>
        </w:rPr>
      </w:pPr>
      <w:r>
        <w:rPr>
          <w:rFonts w:ascii="Times New Roman" w:hAnsi="Times New Roman"/>
          <w:b/>
          <w:i/>
          <w:caps w:val="false"/>
          <w:smallCaps w:val="false"/>
          <w:sz w:val="20"/>
          <w:shd w:fill="FFFFFF" w:val="clear"/>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Company prepared the unaudited condensed consolidated financial statements in accordance with U.S. GAAP and the rules and regulations of the SEC and, in the Company's opinion, reflect all adjustments, including normal recurring items that are necessary.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Arimoclomol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May 15, 2022, </w:t>
      </w:r>
      <w:r>
        <w:rPr>
          <w:rFonts w:ascii="Times New Roman" w:hAnsi="Times New Roman"/>
          <w:caps w:val="false"/>
          <w:smallCaps w:val="false"/>
          <w:sz w:val="20"/>
          <w:shd w:fill="FFFFFF" w:val="clear"/>
        </w:rPr>
        <w:t xml:space="preserve">the Company and Zevra Denmark A/S (formerly known as KemPharm Denmark A/S prior to </w:t>
      </w:r>
      <w:r>
        <w:rPr>
          <w:rStyle w:val="Emphasis"/>
          <w:rFonts w:ascii="Times New Roman" w:hAnsi="Times New Roman"/>
          <w:caps w:val="false"/>
          <w:smallCaps w:val="false"/>
          <w:sz w:val="20"/>
          <w:shd w:fill="FFFFFF" w:val="clear"/>
        </w:rPr>
        <w:t>February 21, 2023) (</w:t>
      </w:r>
      <w:r>
        <w:rPr>
          <w:rFonts w:ascii="Times New Roman" w:hAnsi="Times New Roman"/>
          <w:caps w:val="false"/>
          <w:smallCaps w:val="false"/>
          <w:sz w:val="20"/>
          <w:shd w:fill="FFFFFF" w:val="clear"/>
        </w:rPr>
        <w:t>“Zevra DK”), a</w:t>
      </w:r>
      <w:r>
        <w:rPr>
          <w:rFonts w:ascii="Times New Roman" w:hAnsi="Times New Roman"/>
          <w:caps w:val="false"/>
          <w:smallCaps w:val="false"/>
          <w:sz w:val="20"/>
        </w:rPr>
        <w:t xml:space="preserve"> newly formed Danish company and wholly-owned subsidiary of the Company, entered into an asset purchase agreement (the “Arimoclomol Purchase Agreement”) with Orphazyme A/S in restructuring, a Danish public limited liability company (“Orphazyme”). The Arimoclomol Purchase Agreement closed on </w:t>
      </w:r>
      <w:r>
        <w:rPr>
          <w:rStyle w:val="Emphasis"/>
          <w:rFonts w:ascii="Times New Roman" w:hAnsi="Times New Roman"/>
          <w:caps w:val="false"/>
          <w:smallCaps w:val="false"/>
          <w:sz w:val="20"/>
        </w:rPr>
        <w:t xml:space="preserve">May 31, 2022. </w:t>
      </w:r>
      <w:r>
        <w:rPr>
          <w:rFonts w:ascii="Times New Roman" w:hAnsi="Times New Roman"/>
          <w:caps w:val="false"/>
          <w:smallCaps w:val="false"/>
          <w:sz w:val="20"/>
        </w:rPr>
        <w:t>Under the terms of the Arimoclomol Purchase Agreement, Zevra DK purchased all of the assets and operations of Orphazyme related to arimoclomol and settled all of Orphazyme’s actual outstanding liabilities to its creditors with a cash payment of $12.8 million. In addition, Zevra DK agreed to assume an estimated reserve liability of $5.2 million related to revenue generated from Orphazyme’s Early Access Program in France.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accounted for the arimoclomol acquisition as an asset acquisition as the majority of the value of the assets acquired related to the arimoclomol acquired in-process research and development (“IPR&amp;D”) asset. The intangible asset associated with IPR&amp;D relates to arimoclomol. The estimated fair value of $17.7 million was determined using the excess earnings valuation method, a variation of the income valuation approach. The excess earnings valuation method estimates the value of an intangible asset equal to the present value of the incremental after-tax cash flows attributable to that intangible asset over its remaining economic life. Some of the more significant assumptions utilized in the Company's asset valuations included projected revenues, probability of commercial success, and the discount rate. The fair value using the excess earnings valuation method was determined using an estimated weighted average cost of capital of 42%, which reflects the risks inherent in future cash flow projections and represents a rate of return that a market participant would expect for this asset. This fair value measurement was based on significant inputs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observable in the market and thus represent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accordance with Accounting Standards Codification ("ASC"), Subtopic </w:t>
      </w:r>
      <w:r>
        <w:rPr>
          <w:rStyle w:val="Emphasis"/>
          <w:rFonts w:ascii="Times New Roman" w:hAnsi="Times New Roman"/>
          <w:caps w:val="false"/>
          <w:smallCaps w:val="false"/>
          <w:sz w:val="20"/>
        </w:rPr>
        <w:t>730</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25,</w:t>
      </w:r>
      <w:r>
        <w:rPr>
          <w:rFonts w:ascii="Times New Roman" w:hAnsi="Times New Roman"/>
          <w:caps w:val="false"/>
          <w:smallCaps w:val="false"/>
          <w:sz w:val="20"/>
        </w:rPr>
        <w:t xml:space="preserve"> </w:t>
      </w:r>
      <w:r>
        <w:rPr>
          <w:rFonts w:ascii="Times New Roman" w:hAnsi="Times New Roman"/>
          <w:i/>
          <w:caps w:val="false"/>
          <w:smallCaps w:val="false"/>
          <w:sz w:val="20"/>
        </w:rPr>
        <w:t>Accounting for Research and Development Costs</w:t>
      </w:r>
      <w:r>
        <w:rPr>
          <w:rFonts w:ascii="Times New Roman" w:hAnsi="Times New Roman"/>
          <w:caps w:val="false"/>
          <w:smallCaps w:val="false"/>
          <w:sz w:val="20"/>
        </w:rPr>
        <w:t xml:space="preserve">, the up-front payments to acquire a new drug compound, as well as future milestone payments when paid or payable, are immediately expensed as acquired IPR&amp;D in transactions other than a business combination provided that the drug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achieved regulatory approval for marketing and, absent obtaining such approval,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alternative future use. Therefore, the portion of the purchase price that was allocated to the IPR&amp;D assets acquired was immediately expensed. Other assets acquired and liabilities assumed, were recorded at fair value. The Company also recorde</w:t>
      </w:r>
      <w:r>
        <w:rPr>
          <w:rFonts w:ascii="Times New Roman" w:hAnsi="Times New Roman"/>
          <w:caps w:val="false"/>
          <w:smallCaps w:val="false"/>
          <w:sz w:val="20"/>
          <w:shd w:fill="FFFFFF" w:val="clear"/>
        </w:rPr>
        <w:t xml:space="preserve">d a $0.8 million income tax benefit for the year ended </w:t>
      </w:r>
      <w:r>
        <w:rPr>
          <w:rStyle w:val="Emphasis"/>
          <w:rFonts w:ascii="Times New Roman" w:hAnsi="Times New Roman"/>
          <w:caps w:val="false"/>
          <w:smallCaps w:val="false"/>
          <w:sz w:val="20"/>
          <w:shd w:fill="FFFFFF" w:val="clear"/>
        </w:rPr>
        <w:t>December 31,</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2022,</w:t>
      </w:r>
      <w:r>
        <w:rPr>
          <w:rFonts w:ascii="Times New Roman" w:hAnsi="Times New Roman"/>
          <w:caps w:val="false"/>
          <w:smallCaps w:val="false"/>
          <w:sz w:val="20"/>
          <w:shd w:fill="FFFFFF" w:val="clear"/>
        </w:rPr>
        <w:t xml:space="preserve"> related to research and development credits that are expected to be realized from the local jurisdiction in Denmark.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represents the consideration paid and purchase price allocation for the acquisition of arimoclomol (in thousands):</w:t>
      </w:r>
    </w:p>
    <w:p>
      <w:pPr>
        <w:pStyle w:val="TextBody"/>
        <w:bidi w:val="0"/>
        <w:spacing w:before="0" w:after="0"/>
        <w:ind w:left="0" w:right="0" w:hanging="0"/>
        <w:jc w:val="left"/>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5705"/>
        <w:gridCol w:w="60"/>
        <w:gridCol w:w="125"/>
        <w:gridCol w:w="590"/>
        <w:gridCol w:w="75"/>
      </w:tblGrid>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12,800</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Assumed reserve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18,000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 transaction costs associated with the acquisition (1)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purchase price to be allocated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19,290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inventory and assembled workforce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IPR&amp;D (2)</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allocated purchase price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19,290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As a result of the asset acquisition accounting, the transaction costs associated with the acquisition should be included in the costs of the assets acquired and allocated amongst qualifying assets using the relative fair value basis. The transaction costs primarily included financial advisor fees and legal expenses.</w:t>
            </w:r>
          </w:p>
        </w:tc>
      </w:tr>
      <w:tr>
        <w:trPr/>
        <w:tc>
          <w:tcPr>
            <w:tcW w:w="10205" w:type="dxa"/>
            <w:tcBorders/>
            <w:vAlign w:val="center"/>
          </w:tcPr>
          <w:p>
            <w:pPr>
              <w:pStyle w:val="TableContents"/>
              <w:bidi w:val="0"/>
              <w:spacing w:before="0" w:after="283"/>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The primary asset acquired, the IPR&amp;D asset, was expensed and the allocated transaction related costs were included with and expensed with this asset.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Amendment to Registration Statement on Form S-</w:t>
      </w:r>
      <w:r>
        <w:rPr>
          <w:rStyle w:val="Emphasis"/>
          <w:rFonts w:ascii="Times New Roman" w:hAnsi="Times New Roman"/>
          <w:b/>
          <w:i/>
          <w:caps w:val="false"/>
          <w:smallCaps w:val="false"/>
          <w:sz w:val="2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25, 2022, </w:t>
      </w:r>
      <w:r>
        <w:rPr>
          <w:rFonts w:ascii="Times New Roman" w:hAnsi="Times New Roman"/>
          <w:caps w:val="false"/>
          <w:smallCaps w:val="false"/>
          <w:sz w:val="20"/>
        </w:rPr>
        <w:t>the Company filed an amendment to the registration statement on Form S-</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(File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333</w:t>
      </w:r>
      <w:r>
        <w:rPr>
          <w:rFonts w:ascii="Times New Roman" w:hAnsi="Times New Roman"/>
          <w:caps w:val="false"/>
          <w:smallCaps w:val="false"/>
          <w:sz w:val="20"/>
        </w:rPr>
        <w:t>-</w:t>
      </w:r>
      <w:r>
        <w:rPr>
          <w:rStyle w:val="Emphasis"/>
          <w:rFonts w:ascii="Times New Roman" w:hAnsi="Times New Roman"/>
          <w:caps w:val="false"/>
          <w:smallCaps w:val="false"/>
          <w:sz w:val="20"/>
        </w:rPr>
        <w:t>250945</w:t>
      </w:r>
      <w:r>
        <w:rPr>
          <w:rFonts w:ascii="Times New Roman" w:hAnsi="Times New Roman"/>
          <w:caps w:val="false"/>
          <w:smallCaps w:val="false"/>
          <w:sz w:val="20"/>
        </w:rPr>
        <w: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covering the issuance of the shares of the Company's common stock issuable upon the exercise of the warrants issued in the Company's </w:t>
      </w:r>
      <w:r>
        <w:rPr>
          <w:rStyle w:val="Emphasis"/>
          <w:rFonts w:ascii="Times New Roman" w:hAnsi="Times New Roman"/>
          <w:caps w:val="false"/>
          <w:smallCaps w:val="false"/>
          <w:sz w:val="20"/>
        </w:rPr>
        <w:t xml:space="preserve">January 2021 </w:t>
      </w:r>
      <w:r>
        <w:rPr>
          <w:rFonts w:ascii="Times New Roman" w:hAnsi="Times New Roman"/>
          <w:caps w:val="false"/>
          <w:smallCaps w:val="false"/>
          <w:sz w:val="20"/>
        </w:rPr>
        <w:t xml:space="preserve">underwritten public offering (the "Public Offering") and remaining unexercised as of the date of the amendment, which was declared effective on </w:t>
      </w:r>
      <w:r>
        <w:rPr>
          <w:rStyle w:val="Emphasis"/>
          <w:rFonts w:ascii="Times New Roman" w:hAnsi="Times New Roman"/>
          <w:caps w:val="false"/>
          <w:smallCaps w:val="false"/>
          <w:sz w:val="20"/>
        </w:rPr>
        <w:t>February 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i/>
          <w:caps w:val="false"/>
          <w:smallCaps w:val="false"/>
          <w:sz w:val="20"/>
        </w:rPr>
        <w:t>Entry into</w:t>
      </w:r>
      <w:r>
        <w:rPr>
          <w:rFonts w:ascii="Times New Roman" w:hAnsi="Times New Roman"/>
          <w:caps w:val="false"/>
          <w:smallCaps w:val="false"/>
          <w:sz w:val="20"/>
        </w:rPr>
        <w:t> </w:t>
      </w:r>
      <w:r>
        <w:rPr>
          <w:rStyle w:val="Emphasis"/>
          <w:rFonts w:ascii="Times New Roman" w:hAnsi="Times New Roman"/>
          <w:b/>
          <w:i/>
          <w:caps w:val="false"/>
          <w:smallCaps w:val="false"/>
          <w:sz w:val="20"/>
        </w:rPr>
        <w:t>2021</w:t>
      </w:r>
      <w:r>
        <w:rPr>
          <w:rFonts w:ascii="Times New Roman" w:hAnsi="Times New Roman"/>
          <w:caps w:val="false"/>
          <w:smallCaps w:val="false"/>
          <w:sz w:val="20"/>
        </w:rPr>
        <w:t> </w:t>
      </w:r>
      <w:r>
        <w:rPr>
          <w:rFonts w:ascii="Times New Roman" w:hAnsi="Times New Roman"/>
          <w:b/>
          <w:i/>
          <w:caps w:val="false"/>
          <w:smallCaps w:val="false"/>
          <w:sz w:val="20"/>
        </w:rPr>
        <w:t>ATM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2,</w:t>
      </w:r>
      <w:r>
        <w:rPr>
          <w:rFonts w:ascii="Times New Roman" w:hAnsi="Times New Roman"/>
          <w:caps w:val="false"/>
          <w:smallCaps w:val="false"/>
          <w:sz w:val="20"/>
        </w:rPr>
        <w:t> </w:t>
      </w:r>
      <w:r>
        <w:rPr>
          <w:rStyle w:val="Emphasis"/>
          <w:rFonts w:ascii="Times New Roman" w:hAnsi="Times New Roman"/>
          <w:caps w:val="false"/>
          <w:smallCaps w:val="false"/>
          <w:sz w:val="20"/>
        </w:rPr>
        <w:t>2021,</w:t>
      </w:r>
      <w:r>
        <w:rPr>
          <w:rFonts w:ascii="Times New Roman" w:hAnsi="Times New Roman"/>
          <w:caps w:val="false"/>
          <w:smallCaps w:val="false"/>
          <w:sz w:val="20"/>
        </w:rPr>
        <w:t> the Company entered into an equity distribution agreement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 with JMP Securities LLC ("JMP") and RBC Capital Markets, LLC ("RBCCM") under which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offer and sell, from time to time at its sole discretion, shares of its common stock having an aggregate offering price of up to $75.0 million through JMP and RBCCM as its sales agents. The issuance and sale, if any, of common stock by the Company under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 will be made pursuant to a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JMP and RBCCM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sell the common stock by any method permitted by law deemed to be an “at the market offering” as defined in Rule </w:t>
      </w:r>
      <w:r>
        <w:rPr>
          <w:rStyle w:val="Emphasis"/>
          <w:rFonts w:ascii="Times New Roman" w:hAnsi="Times New Roman"/>
          <w:caps w:val="false"/>
          <w:smallCaps w:val="false"/>
          <w:sz w:val="20"/>
        </w:rPr>
        <w:t>415</w:t>
      </w:r>
      <w:r>
        <w:rPr>
          <w:rFonts w:ascii="Times New Roman" w:hAnsi="Times New Roman"/>
          <w:caps w:val="false"/>
          <w:smallCaps w:val="false"/>
          <w:sz w:val="20"/>
        </w:rPr>
        <w:t> of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as amended. JMP and RBCCM will use commercially reasonable efforts to sell the common stock from time to time, based upon instructions from the Company (including any price, time or size limits or other customary parameters or conditions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impose). The Company will pay JMP and RBCCM a commission equal to 3.0% in the aggregate of the gross sales proceeds of any common stock sold through JMP and RBCCM under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 The Company filed a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covering the sale of the shares of its common stock up to $350.0 million, $75.0 million of which was allocated to the sales of the shares of common stock issuable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 which was declared effective on </w:t>
      </w:r>
      <w:r>
        <w:rPr>
          <w:rStyle w:val="Emphasis"/>
          <w:rFonts w:ascii="Times New Roman" w:hAnsi="Times New Roman"/>
          <w:caps w:val="false"/>
          <w:smallCaps w:val="false"/>
          <w:sz w:val="20"/>
        </w:rPr>
        <w:t xml:space="preserve"> July 12, 2021.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2023, </w:t>
      </w:r>
      <w:r>
        <w:rPr>
          <w:rFonts w:ascii="Times New Roman" w:hAnsi="Times New Roman"/>
          <w:caps w:val="false"/>
          <w:smallCaps w:val="false"/>
          <w:sz w:val="20"/>
        </w:rPr>
        <w:t>no shares have been issued or sold under the </w:t>
      </w:r>
      <w:r>
        <w:rPr>
          <w:rStyle w:val="Emphasis"/>
          <w:rFonts w:ascii="Times New Roman" w:hAnsi="Times New Roman"/>
          <w:caps w:val="false"/>
          <w:smallCaps w:val="false"/>
          <w:sz w:val="20"/>
        </w:rPr>
        <w:t>2021</w:t>
      </w:r>
      <w:r>
        <w:rPr>
          <w:rFonts w:ascii="Times New Roman" w:hAnsi="Times New Roman"/>
          <w:caps w:val="false"/>
          <w:smallCaps w:val="false"/>
          <w:sz w:val="20"/>
        </w:rPr>
        <w:t> ATM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20, 2021, </w:t>
      </w:r>
      <w:r>
        <w:rPr>
          <w:rFonts w:ascii="Times New Roman" w:hAnsi="Times New Roman"/>
          <w:caps w:val="false"/>
          <w:smallCaps w:val="false"/>
          <w:sz w:val="20"/>
        </w:rPr>
        <w:t xml:space="preserve">the Company initiated a share repurchase program (the "Share Repurchase Program") pursuant to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repurchase up to $50 million of shares of its common stock through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Capital allocation to the Share Repurchase Program will be based on a variety of factors, including the Company's business results, the receipt of royalties and sales milestones under the AZSTARYS License Agreement (refer to Note B), and potentially other sources of non-dilutive capital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available to the Company. Repurchases will be made in compliance with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xml:space="preserve"> of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subject to a variety of factors, including the market price of the Company’s common stock, general market and economic conditions and applicable legal requirements. The exact number of shares to be repurchased by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guaranteed and the program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suspended, modified, or discontinued at any time without prior notice.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had repurc</w:t>
      </w:r>
      <w:r>
        <w:rPr>
          <w:rFonts w:ascii="Times New Roman" w:hAnsi="Times New Roman"/>
          <w:caps w:val="false"/>
          <w:smallCaps w:val="false"/>
          <w:sz w:val="20"/>
          <w:shd w:fill="FFFFFF" w:val="clear"/>
        </w:rPr>
        <w:t>hased 1,575,692 shares of its common stock for approximately $11.0 million under the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Certain reclassifications were made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unaudited condensed consolidated financial statements to conform to the classifications used in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These reclassifications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impact on the consolidated net loss, changes in stockholder's equity, or cash flows previously reported.</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4705" w:type="dxa"/>
        <w:jc w:val="left"/>
        <w:tblInd w:w="0" w:type="dxa"/>
        <w:tblLayout w:type="fixed"/>
        <w:tblCellMar>
          <w:top w:w="0" w:type="dxa"/>
          <w:left w:w="0" w:type="dxa"/>
          <w:bottom w:w="0" w:type="dxa"/>
          <w:right w:w="0" w:type="dxa"/>
        </w:tblCellMar>
      </w:tblPr>
      <w:tblGrid>
        <w:gridCol w:w="245"/>
        <w:gridCol w:w="4460"/>
      </w:tblGrid>
      <w:tr>
        <w:trPr/>
        <w:tc>
          <w:tcPr>
            <w:tcW w:w="245" w:type="dxa"/>
            <w:tcBorders/>
            <w:vAlign w:val="center"/>
          </w:tcPr>
          <w:p>
            <w:pPr>
              <w:pStyle w:val="TableContents"/>
              <w:bidi w:val="0"/>
              <w:spacing w:before="0" w:after="283"/>
              <w:jc w:val="left"/>
              <w:rPr>
                <w:b/>
              </w:rPr>
            </w:pPr>
            <w:r>
              <w:rPr>
                <w:b/>
              </w:rPr>
              <w:t>B.</w:t>
            </w:r>
          </w:p>
        </w:tc>
        <w:tc>
          <w:tcPr>
            <w:tcW w:w="4460" w:type="dxa"/>
            <w:tcBorders/>
            <w:vAlign w:val="center"/>
          </w:tcPr>
          <w:p>
            <w:pPr>
              <w:pStyle w:val="TableContents"/>
              <w:bidi w:val="0"/>
              <w:spacing w:before="0" w:after="283"/>
              <w:jc w:val="left"/>
              <w:rPr>
                <w:b/>
              </w:rPr>
            </w:pPr>
            <w:r>
              <w:rPr>
                <w:b/>
              </w:rPr>
              <w:t>Summary of Significant Accounting Policies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the Company to make estimates and assumptions that affect the amounts reported in the unaudited condensed consolidated financial statements and accompanying notes.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investments and the fair value of the derivative and warrant liability and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Investments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maintains investment securities that are classified as available-for-sale securities for which the Company has elected the fair value option under ASC </w:t>
      </w:r>
      <w:r>
        <w:rPr>
          <w:rStyle w:val="Emphasis"/>
          <w:rFonts w:ascii="Times New Roman" w:hAnsi="Times New Roman"/>
          <w:caps w:val="false"/>
          <w:smallCaps w:val="false"/>
          <w:sz w:val="20"/>
        </w:rPr>
        <w:t>825,</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w:t>
      </w:r>
      <w:r>
        <w:rPr>
          <w:rFonts w:ascii="Times New Roman" w:hAnsi="Times New Roman"/>
          <w:caps w:val="false"/>
          <w:smallCaps w:val="false"/>
          <w:sz w:val="20"/>
        </w:rPr>
        <w:t xml:space="preserve">. As such, these securities are carried at fair value with unrealized gains and losses included in fair value adjustment related to investments on the unaudited condensed consolidated statements of operations. The securities primarily consist of U.S. Treasury securities and U.S. government-sponsored agency securities and are included in securities at fair value in the unaudited condensed consolidated balance sheets.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the Company held securities with an aggregate fair value of $20</w:t>
      </w:r>
      <w:r>
        <w:rPr>
          <w:rStyle w:val="Emphasis"/>
          <w:rFonts w:ascii="Times New Roman" w:hAnsi="Times New Roman"/>
          <w:caps w:val="false"/>
          <w:smallCaps w:val="false"/>
          <w:sz w:val="20"/>
          <w:shd w:fill="FFFFFF" w:val="clear"/>
        </w:rPr>
        <w:t>.7</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million and $16.9 million, respectively, that contained aggregate unrealized losses of approximately </w:t>
      </w:r>
      <w:r>
        <w:rPr>
          <w:rFonts w:ascii="Times New Roman" w:hAnsi="Times New Roman"/>
          <w:caps w:val="false"/>
          <w:smallCaps w:val="false"/>
          <w:sz w:val="20"/>
          <w:shd w:fill="FFFFFF" w:val="clear"/>
        </w:rPr>
        <w:t>$0.3 m</w:t>
      </w:r>
      <w:r>
        <w:rPr>
          <w:rFonts w:ascii="Times New Roman" w:hAnsi="Times New Roman"/>
          <w:caps w:val="false"/>
          <w:smallCaps w:val="false"/>
          <w:sz w:val="20"/>
        </w:rPr>
        <w:t>illion and $0.6 million, respectively. Applying fair value accounting to these debt securities more accurately represents the Company's investment strategy due to the fact that excess cash is currently being invested for the purpose of funding future operations. In addition, the Company held certificates of deposit totaling $</w:t>
      </w:r>
      <w:r>
        <w:rPr>
          <w:rFonts w:ascii="Times New Roman" w:hAnsi="Times New Roman"/>
          <w:caps w:val="false"/>
          <w:smallCaps w:val="false"/>
          <w:sz w:val="20"/>
          <w:shd w:fill="FFFFFF" w:val="clear"/>
        </w:rPr>
        <w:t xml:space="preserve">20.5 million as of </w:t>
      </w:r>
      <w:r>
        <w:rPr>
          <w:rStyle w:val="Emphasis"/>
          <w:rFonts w:ascii="Times New Roman" w:hAnsi="Times New Roman"/>
          <w:caps w:val="false"/>
          <w:smallCaps w:val="false"/>
          <w:sz w:val="20"/>
          <w:shd w:fill="FFFFFF" w:val="clear"/>
        </w:rPr>
        <w:t xml:space="preserve">December 31, 2022, </w:t>
      </w:r>
      <w:r>
        <w:rPr>
          <w:rFonts w:ascii="Times New Roman" w:hAnsi="Times New Roman"/>
          <w:caps w:val="false"/>
          <w:smallCaps w:val="false"/>
          <w:sz w:val="20"/>
          <w:shd w:fill="FFFFFF" w:val="clear"/>
        </w:rPr>
        <w:t xml:space="preserve">which are included in investments - other in the condensed consolidated balance sheet as of </w:t>
      </w:r>
      <w:r>
        <w:rPr>
          <w:rStyle w:val="Emphasis"/>
          <w:rFonts w:ascii="Times New Roman" w:hAnsi="Times New Roman"/>
          <w:caps w:val="false"/>
          <w:smallCaps w:val="false"/>
          <w:sz w:val="20"/>
          <w:shd w:fill="FFFFFF" w:val="clear"/>
        </w:rPr>
        <w:t xml:space="preserve">December 31, 2022. </w:t>
      </w:r>
      <w:r>
        <w:rPr>
          <w:rFonts w:ascii="Times New Roman" w:hAnsi="Times New Roman"/>
          <w:caps w:val="false"/>
          <w:smallCaps w:val="false"/>
          <w:sz w:val="20"/>
          <w:shd w:fill="FFFFFF" w:val="clear"/>
        </w:rPr>
        <w:t xml:space="preserve">These certificates of deposit matured in </w:t>
      </w:r>
      <w:r>
        <w:rPr>
          <w:rStyle w:val="Emphasis"/>
          <w:rFonts w:ascii="Times New Roman" w:hAnsi="Times New Roman"/>
          <w:caps w:val="false"/>
          <w:smallCaps w:val="false"/>
          <w:sz w:val="20"/>
          <w:shd w:fill="FFFFFF" w:val="clear"/>
        </w:rPr>
        <w:t xml:space="preserve">May 2023. </w:t>
      </w:r>
      <w:r>
        <w:rPr>
          <w:rFonts w:ascii="Times New Roman" w:hAnsi="Times New Roman"/>
          <w:caps w:val="false"/>
          <w:smallCaps w:val="false"/>
          <w:sz w:val="20"/>
          <w:shd w:fill="FFFFFF" w:val="clear"/>
        </w:rPr>
        <w:t>Interest income is recognized as earned using an effective yield method giving effect to the amortization of premium and accretion of discount and is based on t</w:t>
      </w:r>
      <w:r>
        <w:rPr>
          <w:rFonts w:ascii="Times New Roman" w:hAnsi="Times New Roman"/>
          <w:caps w:val="false"/>
          <w:smallCaps w:val="false"/>
          <w:sz w:val="20"/>
        </w:rPr>
        <w:t>he economic life of the securities. Interest income is included in interest and other income, net in the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 Recognition</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recognizes revenue in accordance with the provisions of ASC </w:t>
      </w:r>
      <w:r>
        <w:rPr>
          <w:rStyle w:val="Emphasis"/>
          <w:rFonts w:ascii="Times New Roman" w:hAnsi="Times New Roman"/>
          <w:caps w:val="false"/>
          <w:smallCaps w:val="false"/>
          <w:sz w:val="20"/>
        </w:rPr>
        <w:t>606,</w:t>
      </w:r>
      <w:r>
        <w:rPr>
          <w:rFonts w:ascii="Times New Roman" w:hAnsi="Times New Roman"/>
          <w:caps w:val="false"/>
          <w:smallCaps w:val="false"/>
          <w:sz w:val="20"/>
        </w:rPr>
        <w:t>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and, as a result, follows the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-step model when recognizing revenue: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identifying a contract;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identifying the performance obligations;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determining the transaction price;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allocating the price to performance obligations; and </w:t>
      </w:r>
      <w:r>
        <w:rPr>
          <w:rStyle w:val="Emphasis"/>
          <w:rFonts w:ascii="Times New Roman" w:hAnsi="Times New Roman"/>
          <w:caps w:val="false"/>
          <w:smallCaps w:val="false"/>
          <w:sz w:val="20"/>
        </w:rPr>
        <w:t>5</w:t>
      </w:r>
      <w:r>
        <w:rPr>
          <w:rFonts w:ascii="Times New Roman" w:hAnsi="Times New Roman"/>
          <w:caps w:val="false"/>
          <w:smallCaps w:val="false"/>
          <w:sz w:val="20"/>
        </w:rPr>
        <w:t>) recognizing revenue when the performance obligations have been fulfilled.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Arimoclomol Early Access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Net revenue includes revenue from the sale of arimoclomol for the treatment of NPC under the remunerated early access compassionate use program in France (“French nATU”). An early access compassionate use program is a program giving specific patients access to a drug, which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approved for commercial sale. Only drugs targeting serious or rare indications and for which there is currently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appropriate treatment are considered for early access compassionate use programs. Further, to be considered for the early access compassionate use program, the drug must have proven efficacy and safety and must either be undergoing price negotiations or seeking marketing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accordance with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fulfilling its performance obligation under the Arimoclomol Early Access Program ("Arimoclomol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the customer acceptance has been received. Revenue is recognized net of sales deductions, including discounts, rebates, applicable distributor fees, and revenue-based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French Health Authorities and the manufacturer have agreed to a price for sales during the French nATU, but the final transaction price depends on the terms and conditions in the contracts with the French Health Authorities and is subject to price negotiations with the French Health Authorities, following market approval. Any excess in the price charged the manufacturer compared to the price agreed with the health authorities once the drug product is approved in France must be repaid. The repayment is considered in the clawback liability (rebate). An estimate of net revenue and clawback liability are recognized using the ‘expected value’ method. Accounting for net revenue and clawback liability requires determination of the most appropriate method for the expected final transaction price. This estimate also requires assumptions with respect to inputs into the method, including current pricing of comparable marketed products within the rare disease area in France. Management has considered the expected final sales price as well as the price of similar drug products. The Company is operating within a rare disease therapeutic area where there is unmet treatment need and hence a limited number of comparable commercialized drugs products. The limited available relevant market information for directly comparable commercialized drugs within rare disease increases the uncertainty in management's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2023, </w:t>
      </w:r>
      <w:r>
        <w:rPr>
          <w:rFonts w:ascii="Times New Roman" w:hAnsi="Times New Roman"/>
          <w:caps w:val="false"/>
          <w:smallCaps w:val="false"/>
          <w:sz w:val="20"/>
          <w:shd w:fill="FFFFFF" w:val="clear"/>
        </w:rPr>
        <w:t>the Company recognized revenue related to the Arimoclomol EAP in France of $2.8 million and $4.8 </w:t>
      </w:r>
      <w:r>
        <w:rPr>
          <w:rFonts w:ascii="Times New Roman;Times;serif" w:hAnsi="Times New Roman;Times;serif"/>
          <w:caps w:val="false"/>
          <w:smallCaps w:val="false"/>
          <w:sz w:val="20"/>
          <w:shd w:fill="FFFFFF" w:val="clear"/>
        </w:rPr>
        <w:t xml:space="preserve">million, </w:t>
      </w:r>
      <w:r>
        <w:rPr>
          <w:rFonts w:ascii="Times New Roman" w:hAnsi="Times New Roman"/>
          <w:caps w:val="false"/>
          <w:smallCaps w:val="false"/>
          <w:sz w:val="20"/>
          <w:shd w:fill="FFFFFF" w:val="clear"/>
        </w:rPr>
        <w:t>respectively, which is net of a clawback liability o</w:t>
      </w:r>
      <w:r>
        <w:rPr>
          <w:rFonts w:ascii="Times New Roman" w:hAnsi="Times New Roman"/>
          <w:caps w:val="false"/>
          <w:smallCaps w:val="false"/>
          <w:sz w:val="20"/>
        </w:rPr>
        <w:t>f $1.6 million and $3.1 mill</w:t>
      </w:r>
      <w:r>
        <w:rPr>
          <w:rFonts w:ascii="Times New Roman" w:hAnsi="Times New Roman"/>
          <w:caps w:val="false"/>
          <w:smallCaps w:val="false"/>
          <w:sz w:val="20"/>
          <w:shd w:fill="FFFFFF" w:val="clear"/>
        </w:rPr>
        <w:t xml:space="preserve">ion, respectively, and other gross to net adjustments.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2022, </w:t>
      </w:r>
      <w:r>
        <w:rPr>
          <w:rFonts w:ascii="Times New Roman" w:hAnsi="Times New Roman"/>
          <w:caps w:val="false"/>
          <w:smallCaps w:val="false"/>
          <w:sz w:val="20"/>
          <w:shd w:fill="FFFFFF" w:val="clear"/>
        </w:rPr>
        <w:t xml:space="preserve">the Company recognized revenue related to the Arimoclomol EAP in France of </w:t>
      </w:r>
      <w:r>
        <w:rPr>
          <w:rFonts w:ascii="Times New Roman" w:hAnsi="Times New Roman"/>
          <w:caps w:val="false"/>
          <w:smallCaps w:val="false"/>
          <w:sz w:val="20"/>
        </w:rPr>
        <w:t>$0.9 million</w:t>
      </w:r>
      <w:r>
        <w:rPr>
          <w:rFonts w:ascii="Times New Roman" w:hAnsi="Times New Roman"/>
          <w:caps w:val="false"/>
          <w:smallCaps w:val="false"/>
          <w:sz w:val="20"/>
          <w:shd w:fill="FFFFFF" w:val="clear"/>
        </w:rPr>
        <w:t xml:space="preserve">, which is net of a clawback liability of </w:t>
      </w:r>
      <w:r>
        <w:rPr>
          <w:rFonts w:ascii="Times New Roman" w:hAnsi="Times New Roman"/>
          <w:caps w:val="false"/>
          <w:smallCaps w:val="false"/>
          <w:sz w:val="20"/>
        </w:rPr>
        <w:t>$0.5 mi</w:t>
      </w:r>
      <w:r>
        <w:rPr>
          <w:rFonts w:ascii="Times New Roman" w:hAnsi="Times New Roman"/>
          <w:caps w:val="false"/>
          <w:smallCaps w:val="false"/>
          <w:sz w:val="20"/>
          <w:shd w:fill="FFFFFF" w:val="clear"/>
        </w:rPr>
        <w:t xml:space="preserve">llion during the same periods. As part of the Arimoclomol Purchase Agreement the Company assumed an estimated reserve liability of $5.2 million related to revenue generated from the Arimoclomol EAP in France. The total estimate reserve liability as of </w:t>
      </w:r>
      <w:r>
        <w:rPr>
          <w:rStyle w:val="Emphasis"/>
          <w:rFonts w:ascii="Times New Roman" w:hAnsi="Times New Roman"/>
          <w:caps w:val="false"/>
          <w:smallCaps w:val="false"/>
          <w:sz w:val="20"/>
          <w:shd w:fill="FFFFFF" w:val="clear"/>
        </w:rPr>
        <w:t xml:space="preserve">June 30, 2023, </w:t>
      </w:r>
      <w:r>
        <w:rPr>
          <w:rFonts w:ascii="Times New Roman" w:hAnsi="Times New Roman"/>
          <w:caps w:val="false"/>
          <w:smallCaps w:val="false"/>
          <w:sz w:val="20"/>
          <w:shd w:fill="FFFFFF" w:val="clear"/>
        </w:rPr>
        <w:t xml:space="preserve">including the additional clawback liability 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2023, </w:t>
      </w:r>
      <w:r>
        <w:rPr>
          <w:rFonts w:ascii="Times New Roman" w:hAnsi="Times New Roman"/>
          <w:caps w:val="false"/>
          <w:smallCaps w:val="false"/>
          <w:sz w:val="20"/>
          <w:shd w:fill="FFFFFF" w:val="clear"/>
        </w:rPr>
        <w:t>was </w:t>
      </w:r>
      <w:r>
        <w:rPr>
          <w:rFonts w:ascii="Times New Roman" w:hAnsi="Times New Roman"/>
          <w:caps w:val="false"/>
          <w:smallCaps w:val="false"/>
          <w:sz w:val="20"/>
        </w:rPr>
        <w:t>$12.1 m</w:t>
      </w:r>
      <w:r>
        <w:rPr>
          <w:rFonts w:ascii="Times New Roman" w:hAnsi="Times New Roman"/>
          <w:caps w:val="false"/>
          <w:smallCaps w:val="false"/>
          <w:sz w:val="20"/>
          <w:shd w:fill="FFFFFF" w:val="clear"/>
        </w:rPr>
        <w:t>illion. The total reserve liabili</w:t>
      </w:r>
      <w:r>
        <w:rPr>
          <w:rFonts w:ascii="Times New Roman" w:hAnsi="Times New Roman"/>
          <w:caps w:val="false"/>
          <w:smallCaps w:val="false"/>
          <w:sz w:val="20"/>
        </w:rPr>
        <w:t xml:space="preserve">ty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was $9.0 million. 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this estimated reserve liability is recorded as discount and rebate liabilities in the unaudited condensed consolidated balance sheets and is separated into current and long-term based upon the timing of the expected payment to the French regulators.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Licensing Agreements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enters into licensing agreements with licensees that fall under the scope of ASC </w:t>
      </w:r>
      <w:r>
        <w:rPr>
          <w:rStyle w:val="Emphasis"/>
          <w:rFonts w:ascii="Times New Roman;Times;serif" w:hAnsi="Times New Roman;Times;serif"/>
          <w:sz w:val="20"/>
        </w:rPr>
        <w:t>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terms of the Company’s licensing agreements typically include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 following: (i) upfront fees; (ii) milestone payments related to the achievement of development, regulatory, or commercial goals; and (iii) royalties on net sales of licensed products. Each of these 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licensing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Up-front</w:t>
      </w:r>
      <w:r>
        <w:rPr>
          <w:rFonts w:ascii="Times New Roman" w:hAnsi="Times New Roman"/>
          <w:caps w:val="false"/>
          <w:smallCaps w:val="false"/>
          <w:sz w:val="20"/>
        </w:rPr>
        <w:t> </w:t>
      </w:r>
      <w:r>
        <w:rPr>
          <w:rFonts w:ascii="Times New Roman" w:hAnsi="Times New Roman"/>
          <w:i/>
          <w:caps w:val="false"/>
          <w:smallCaps w:val="false"/>
          <w:sz w:val="20"/>
        </w:rPr>
        <w:t>Fees:</w:t>
      </w:r>
      <w:r>
        <w:rPr>
          <w:rFonts w:ascii="Times New Roman" w:hAnsi="Times New Roman"/>
          <w:caps w:val="false"/>
          <w:smallCaps w:val="false"/>
          <w:sz w:val="20"/>
        </w:rPr>
        <w:t> If a license to the Company’s intellectual property is determined to be distinct from the other performance obligations identified in the 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Milestone Payments:</w:t>
      </w:r>
      <w:r>
        <w:rPr>
          <w:rFonts w:ascii="Times New Roman" w:hAnsi="Times New Roman"/>
          <w:caps w:val="false"/>
          <w:smallCaps w:val="false"/>
          <w:sz w:val="20"/>
        </w:rPr>
        <w:t xml:space="preserve"> 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the associated milestone value is included in the transaction price. Milestone payments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within the Company’s or the licensee’s control, such as non-operational developmental and regulatory approvals, are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result in negative licensing revenues and earnings in the period of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AZSTARYS License Agreement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September 2019, </w:t>
      </w:r>
      <w:r>
        <w:rPr>
          <w:rFonts w:ascii="Times New Roman" w:hAnsi="Times New Roman"/>
          <w:caps w:val="false"/>
          <w:smallCaps w:val="false"/>
          <w:sz w:val="20"/>
        </w:rPr>
        <w:t>the Company entered into a Collaboration and License Agreement (the “AZSTARYS License Agreement”) with Commave Therapeutics SA ("Commave"), an affiliate of Gurnet Point Capital ("GPC"). Under the AZSTARYS License Agreement, the Company granted to Commave an exclusive, worldwide license to develop, manufacture and commercialize the Company’s product candidates containing SDX and d-MPH, including AZSTARYS, or any other product candidates containing SDX and developed to treat ADHD or any other central nervous system ("CNS") disease. Corium, Inc. ("Corium") was tasked by Commave to lead all commercialization activities for AZSTARYS under the AZSTARYS License Agreement. Pursuant to the AZSTARYS License Agreement, Commave agreed to pay milestone payments upon the occurrence of specified regulatory milestones related to AZSTARYS, additional fixed payments upon the achievement of specified U.S. sales milestones, and quarterly, tiered royalty payments based on a range of percentages of net sales. Commave is obligated to make such royalty payments on a product-by-product basis until expiration of the royalty term for the applicable product.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April 2021, </w:t>
      </w:r>
      <w:r>
        <w:rPr>
          <w:rFonts w:ascii="Times New Roman" w:hAnsi="Times New Roman"/>
          <w:caps w:val="false"/>
          <w:smallCaps w:val="false"/>
          <w:sz w:val="20"/>
        </w:rPr>
        <w:t>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1</w:t>
      </w:r>
      <w:r>
        <w:rPr>
          <w:rFonts w:ascii="Times New Roman" w:hAnsi="Times New Roman"/>
          <w:caps w:val="false"/>
          <w:smallCaps w:val="false"/>
          <w:sz w:val="20"/>
        </w:rPr>
        <w:t> to the AZSTARYS License Agreement (the "AZSTARYS Amendment"). Pursuant to the AZSTARYS Amendment, the Company and Commave agreed to modify the compensation terms of the AZSTARYS License Agreement. The AZSTARYS Amendment increased the total remaining future regulatory and sales milestone payments related to AZSTARYS to up to an aggregate of $590.0 million in payments upon the occurrence of specified regulatory milestones related to AZSTARYS and upon the achievement of specified U.S. net sales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Commave also agreed to be responsible for and reimburse the Company for all of the development, commercialization and regulatory expenses incurred on the licensed products, subject to certain limitations as set forth in the AZSTARYS License Agreement. As part of this agreement, the Company is obligated to perform consulting services on behalf of Commave related to the licensed products. For these consulting services, Commave has agreed to pay the Company a set rate per hour on any consulting services performed on behalf of Commave for the benefit of the licensed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accordance with the terms of the Company’s </w:t>
      </w:r>
      <w:r>
        <w:rPr>
          <w:rStyle w:val="Emphasis"/>
          <w:rFonts w:ascii="Times New Roman" w:hAnsi="Times New Roman"/>
          <w:caps w:val="false"/>
          <w:smallCaps w:val="false"/>
          <w:sz w:val="20"/>
        </w:rPr>
        <w:t xml:space="preserve"> March 20,</w:t>
      </w:r>
      <w:r>
        <w:rPr>
          <w:rFonts w:ascii="Times New Roman" w:hAnsi="Times New Roman"/>
          <w:caps w:val="false"/>
          <w:smallCaps w:val="false"/>
          <w:sz w:val="20"/>
        </w:rPr>
        <w:t>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Termination Agreement with Aquestive Therapeutics, Aquestive Therapeutics has the right to receive an amount equal to 10% of any royalty or milestone payments made to the Company related to AZSTARYS or </w:t>
      </w:r>
      <w:r>
        <w:rPr>
          <w:rStyle w:val="Emphasis"/>
          <w:rFonts w:ascii="Times New Roman" w:hAnsi="Times New Roman"/>
          <w:caps w:val="false"/>
          <w:smallCaps w:val="false"/>
          <w:sz w:val="20"/>
        </w:rPr>
        <w:t>KP1077</w:t>
      </w:r>
      <w:r>
        <w:rPr>
          <w:rFonts w:ascii="Times New Roman" w:hAnsi="Times New Roman"/>
          <w:caps w:val="false"/>
          <w:smallCaps w:val="false"/>
          <w:sz w:val="20"/>
        </w:rPr>
        <w:t> under the AZSTARYS License Agreement.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The AZSTARYS License Agreement is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as the transaction represents a contract with a customer where the participants function in a customer / vendor relationship and are </w:t>
      </w:r>
      <w:r>
        <w:rPr>
          <w:rStyle w:val="Emphasis"/>
          <w:rFonts w:ascii="Times New Roman" w:hAnsi="Times New Roman"/>
          <w:caps w:val="false"/>
          <w:smallCaps w:val="false"/>
          <w:sz w:val="20"/>
        </w:rPr>
        <w:t>not</w:t>
      </w:r>
      <w:r>
        <w:rPr>
          <w:rFonts w:ascii="Times New Roman" w:hAnsi="Times New Roman"/>
          <w:caps w:val="false"/>
          <w:smallCaps w:val="false"/>
          <w:sz w:val="20"/>
        </w:rPr>
        <w:t> exposed equally to the risks and rewards of the activities contemplated under the AZSTARYS License Agreement. Using the concepts of ASC </w:t>
      </w:r>
      <w:r>
        <w:rPr>
          <w:rStyle w:val="Emphasis"/>
          <w:rFonts w:ascii="Times New Roman" w:hAnsi="Times New Roman"/>
          <w:caps w:val="false"/>
          <w:smallCaps w:val="false"/>
          <w:sz w:val="20"/>
        </w:rPr>
        <w:t>606,</w:t>
      </w:r>
      <w:r>
        <w:rPr>
          <w:rFonts w:ascii="Times New Roman" w:hAnsi="Times New Roman"/>
          <w:caps w:val="false"/>
          <w:smallCaps w:val="false"/>
          <w:sz w:val="20"/>
        </w:rPr>
        <w:t> the Company identified the grant of the exclusive, worldwide license and the performance of consulting services, which includes the reimbursement of out-of-pocket </w:t>
      </w:r>
      <w:r>
        <w:rPr>
          <w:rStyle w:val="Emphasis"/>
          <w:rFonts w:ascii="Times New Roman" w:hAnsi="Times New Roman"/>
          <w:caps w:val="false"/>
          <w:smallCaps w:val="false"/>
          <w:sz w:val="20"/>
        </w:rPr>
        <w:t>third</w:t>
      </w:r>
      <w:r>
        <w:rPr>
          <w:rFonts w:ascii="Times New Roman" w:hAnsi="Times New Roman"/>
          <w:caps w:val="false"/>
          <w:smallCaps w:val="false"/>
          <w:sz w:val="20"/>
        </w:rPr>
        <w:t>-party research and development costs, as its only </w:t>
      </w:r>
      <w:r>
        <w:rPr>
          <w:rStyle w:val="Emphasis"/>
          <w:rFonts w:ascii="Times New Roman" w:hAnsi="Times New Roman"/>
          <w:caps w:val="false"/>
          <w:smallCaps w:val="false"/>
          <w:sz w:val="20"/>
        </w:rPr>
        <w:t>two</w:t>
      </w:r>
      <w:r>
        <w:rPr>
          <w:rFonts w:ascii="Times New Roman" w:hAnsi="Times New Roman"/>
          <w:caps w:val="false"/>
          <w:smallCaps w:val="false"/>
          <w:sz w:val="20"/>
        </w:rPr>
        <w:t> performance obligations at inception. The Company further determined that the transaction price, at inception, under the agreement was </w:t>
      </w:r>
      <w:r>
        <w:rPr>
          <w:rStyle w:val="Emphasis"/>
          <w:rFonts w:ascii="Times New Roman" w:hAnsi="Times New Roman"/>
          <w:caps w:val="false"/>
          <w:smallCaps w:val="false"/>
          <w:sz w:val="20"/>
        </w:rPr>
        <w:t>$10.0</w:t>
      </w:r>
      <w:r>
        <w:rPr>
          <w:rFonts w:ascii="Times New Roman" w:hAnsi="Times New Roman"/>
          <w:caps w:val="false"/>
          <w:smallCaps w:val="false"/>
          <w:sz w:val="20"/>
        </w:rPr>
        <w:t> million upfront payment plus the fair value of the Development Costs (as defined in the AZSTARYS License Agreement) which was allocated among the performance obligations based on their respective related stand-alone selling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is entitled to additional payments from Commave conditioned upon the achievement of specified regulatory milestones related to AZSTARYS and the achievement of certain U.S. sales milestones. Further, Commave will pay the Company quarterly, tiered royalty payments based on a range of percentage of Net Sales (as defined in the AZSTARYS License Agreement). The Company concluded that these regulatory milestones, sales milestones and royalty payments each contain a significant uncertainty associated with a future event. As such, these milestone and royalty payments are constrained at contract inception and are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transaction price as the Company could </w:t>
      </w:r>
      <w:r>
        <w:rPr>
          <w:rStyle w:val="Emphasis"/>
          <w:rFonts w:ascii="Times New Roman" w:hAnsi="Times New Roman"/>
          <w:caps w:val="false"/>
          <w:smallCaps w:val="false"/>
          <w:sz w:val="20"/>
        </w:rPr>
        <w:t>not</w:t>
      </w:r>
      <w:r>
        <w:rPr>
          <w:rFonts w:ascii="Times New Roman" w:hAnsi="Times New Roman"/>
          <w:caps w:val="false"/>
          <w:smallCaps w:val="false"/>
          <w:sz w:val="20"/>
        </w:rPr>
        <w:t> conclude that it is probable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occur surrounding these milestone paym</w:t>
      </w:r>
      <w:r>
        <w:rPr>
          <w:rFonts w:ascii="Times New Roman" w:hAnsi="Times New Roman"/>
          <w:caps w:val="false"/>
          <w:smallCaps w:val="false"/>
          <w:sz w:val="20"/>
          <w:shd w:fill="FFFFFF" w:val="clear"/>
        </w:rPr>
        <w:t xml:space="preserve">ents. At the end of each reporting period, the Company updates its assessment of whether the milestone and royalty payments are constrained by considering both the likelihood and magnitude of the potential revenue reversal.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2023,</w:t>
      </w:r>
      <w:r>
        <w:rPr>
          <w:rFonts w:ascii="Times New Roman" w:hAnsi="Times New Roman"/>
          <w:caps w:val="false"/>
          <w:smallCaps w:val="false"/>
          <w:sz w:val="20"/>
          <w:shd w:fill="FFFFFF" w:val="clear"/>
        </w:rPr>
        <w:t xml:space="preserve"> the Company recognized $5.7 million and $6.3 mill</w:t>
      </w:r>
      <w:r>
        <w:rPr>
          <w:rFonts w:ascii="Times New Roman" w:hAnsi="Times New Roman"/>
          <w:caps w:val="false"/>
          <w:smallCaps w:val="false"/>
          <w:sz w:val="20"/>
        </w:rPr>
        <w:t xml:space="preserve">ion of revenue under the AZSTARYS License Agreement, respectively, which includes recognition of a $5.0 million net sales milestone that was met in </w:t>
      </w:r>
      <w:r>
        <w:rPr>
          <w:rStyle w:val="Emphasis"/>
          <w:rFonts w:ascii="Times New Roman" w:hAnsi="Times New Roman"/>
          <w:caps w:val="false"/>
          <w:smallCaps w:val="false"/>
          <w:sz w:val="20"/>
        </w:rPr>
        <w:t xml:space="preserve">June 2023. </w:t>
      </w: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the Company recognized revenue under the AZSTARYS License Agreement of $0.1 million and $0.2 million, respectively, primarily related to royalties. There was no deferred revenue related to this agreement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December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Consulting Arrangements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enters into consulting arrangements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that fall under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These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w:t>
      </w:r>
      <w:r>
        <w:rPr>
          <w:rStyle w:val="Emphasis"/>
          <w:rFonts w:ascii="Times New Roman" w:hAnsi="Times New Roman"/>
          <w:caps w:val="false"/>
          <w:smallCaps w:val="false"/>
          <w:sz w:val="20"/>
        </w:rPr>
        <w:t>third</w:t>
      </w:r>
      <w:r>
        <w:rPr>
          <w:rFonts w:ascii="Times New Roman" w:hAnsi="Times New Roman"/>
          <w:caps w:val="false"/>
          <w:smallCaps w:val="false"/>
          <w:sz w:val="20"/>
        </w:rPr>
        <w:t>-party research and development, regulatory and commercial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Corium Consulting Agreement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July 2020, </w:t>
      </w:r>
      <w:r>
        <w:rPr>
          <w:rFonts w:ascii="Times New Roman" w:hAnsi="Times New Roman"/>
          <w:caps w:val="false"/>
          <w:smallCaps w:val="false"/>
          <w:sz w:val="20"/>
        </w:rPr>
        <w:t>the Company entered into a consultation services arrangement (the “Corium Consulting Agreement”) with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GPC and was tasked by Commave to lead all commercialization activities for AZSTARYS under the AZSTARYS License Agreement, as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Under the Corium Consulting Agreement, the Company was entitled to receive payments from Corium of up to $15.6 million, $13.6 million of which was paid in quarterly installments through </w:t>
      </w:r>
      <w:r>
        <w:rPr>
          <w:rStyle w:val="Emphasis"/>
          <w:rFonts w:ascii="Times New Roman" w:hAnsi="Times New Roman"/>
          <w:caps w:val="false"/>
          <w:smallCaps w:val="false"/>
          <w:sz w:val="20"/>
        </w:rPr>
        <w:t xml:space="preserve"> March 31,</w:t>
      </w:r>
      <w:r>
        <w:rPr>
          <w:rFonts w:ascii="Times New Roman" w:hAnsi="Times New Roman"/>
          <w:caps w:val="false"/>
          <w:smallCaps w:val="false"/>
          <w:sz w:val="20"/>
        </w:rPr>
        <w:t>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remaining $2.0 million was conditioned upon the approval by the FDA of the New Drug Application for Corium's product candidate, ADLARITY. This $2.0 million was earned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Corium also agreed to be responsible for and reimburse the Company for all development, commercialization and regulatory expenses incurred as part of the performance of the Corium Consulting Services. The Corium Consulting Agreement is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as the transaction represents a contract with a customer where the participants function in a customer / vendor relationship and are </w:t>
      </w:r>
      <w:r>
        <w:rPr>
          <w:rStyle w:val="Emphasis"/>
          <w:rFonts w:ascii="Times New Roman" w:hAnsi="Times New Roman"/>
          <w:caps w:val="false"/>
          <w:smallCaps w:val="false"/>
          <w:sz w:val="20"/>
        </w:rPr>
        <w:t>not</w:t>
      </w:r>
      <w:r>
        <w:rPr>
          <w:rFonts w:ascii="Times New Roman" w:hAnsi="Times New Roman"/>
          <w:caps w:val="false"/>
          <w:smallCaps w:val="false"/>
          <w:sz w:val="20"/>
        </w:rPr>
        <w:t> exposed equally to the risks and rewards of the activities contemplated under the Corium Consulting Agreement. The Company identified the performance of consulting services, which includes the reimbursement to the Company of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as its only performance obligation at inception. The Company further determined that the transaction price, at inception, under the agreement was $13.6 million which is the fair value of the consulting services, including the reimbursement of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The Company concluded that the regulatory milestone contains a significant uncertainty associated with a future event. As such, this milestone is constrained at contract inception and is </w:t>
      </w:r>
      <w:r>
        <w:rPr>
          <w:rStyle w:val="Emphasis"/>
          <w:rFonts w:ascii="Times New Roman" w:hAnsi="Times New Roman"/>
          <w:caps w:val="false"/>
          <w:smallCaps w:val="false"/>
          <w:sz w:val="20"/>
        </w:rPr>
        <w:t>not</w:t>
      </w:r>
      <w:r>
        <w:rPr>
          <w:rFonts w:ascii="Times New Roman" w:hAnsi="Times New Roman"/>
          <w:caps w:val="false"/>
          <w:smallCaps w:val="false"/>
          <w:sz w:val="20"/>
        </w:rPr>
        <w:t> included in the transaction price as the Company could </w:t>
      </w:r>
      <w:r>
        <w:rPr>
          <w:rStyle w:val="Emphasis"/>
          <w:rFonts w:ascii="Times New Roman" w:hAnsi="Times New Roman"/>
          <w:caps w:val="false"/>
          <w:smallCaps w:val="false"/>
          <w:sz w:val="20"/>
        </w:rPr>
        <w:t>not</w:t>
      </w:r>
      <w:r>
        <w:rPr>
          <w:rFonts w:ascii="Times New Roman" w:hAnsi="Times New Roman"/>
          <w:caps w:val="false"/>
          <w:smallCaps w:val="false"/>
          <w:sz w:val="20"/>
        </w:rPr>
        <w:t> conclude that it is probable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occur surrounding these milestone payments.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determined that the performance of consulting services, including reimbursement of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is a performance obligation that is satisfied over time as the services are performed and the reimbursable costs are paid. As such, the revenue related to the performance obligation was recognized as the consulting services were performed and the services associated with the reimbursable </w:t>
      </w:r>
      <w:r>
        <w:rPr>
          <w:rStyle w:val="Emphasis"/>
          <w:rFonts w:ascii="Times New Roman" w:hAnsi="Times New Roman"/>
          <w:caps w:val="false"/>
          <w:smallCaps w:val="false"/>
          <w:sz w:val="20"/>
        </w:rPr>
        <w:t>third</w:t>
      </w:r>
      <w:r>
        <w:rPr>
          <w:rFonts w:ascii="Times New Roman" w:hAnsi="Times New Roman"/>
          <w:caps w:val="false"/>
          <w:smallCaps w:val="false"/>
          <w:sz w:val="20"/>
        </w:rPr>
        <w:t>-party pass-through costs were incurred and paid by the Company, in accordance with the practical expedient allowed under ASC </w:t>
      </w:r>
      <w:r>
        <w:rPr>
          <w:rStyle w:val="Emphasis"/>
          <w:rFonts w:ascii="Times New Roman" w:hAnsi="Times New Roman"/>
          <w:caps w:val="false"/>
          <w:smallCaps w:val="false"/>
          <w:sz w:val="20"/>
        </w:rPr>
        <w:t>606</w:t>
      </w:r>
      <w:r>
        <w:rPr>
          <w:rFonts w:ascii="Times New Roman" w:hAnsi="Times New Roman"/>
          <w:caps w:val="false"/>
          <w:smallCaps w:val="false"/>
          <w:sz w:val="20"/>
        </w:rPr>
        <w:t> regarding an entity’s right to consideration from a customer in an amount that corresponds directly to the value to the customer of the entity’s performance completed to date.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the Company recognized</w:t>
      </w:r>
      <w:r>
        <w:rPr>
          <w:rFonts w:ascii="Times New Roman" w:hAnsi="Times New Roman"/>
          <w:caps w:val="false"/>
          <w:smallCaps w:val="false"/>
          <w:sz w:val="20"/>
          <w:shd w:fill="FFFFFF" w:val="clear"/>
        </w:rPr>
        <w:t xml:space="preserve"> $0.2 mi</w:t>
      </w:r>
      <w:r>
        <w:rPr>
          <w:rFonts w:ascii="Times New Roman" w:hAnsi="Times New Roman"/>
          <w:caps w:val="false"/>
          <w:smallCaps w:val="false"/>
          <w:sz w:val="20"/>
        </w:rPr>
        <w:t xml:space="preserve">llion of revenue under the Corium Consulting Agreement.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2022, </w:t>
      </w:r>
      <w:r>
        <w:rPr>
          <w:rFonts w:ascii="Times New Roman" w:hAnsi="Times New Roman"/>
          <w:caps w:val="false"/>
          <w:smallCaps w:val="false"/>
          <w:sz w:val="20"/>
        </w:rPr>
        <w:t xml:space="preserve">the Company recognized revenue under the Corium Consulting Agreement of $3.9 million, which included the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million milestone payment discussed above. No revenue was recognized under the Corium Consulting Agreement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Company had no deferred revenue related to this agreement. The Corium Consulting Agreement expired on </w:t>
      </w:r>
      <w:r>
        <w:rPr>
          <w:rStyle w:val="Emphasis"/>
          <w:rFonts w:ascii="Times New Roman" w:hAnsi="Times New Roman"/>
          <w:caps w:val="false"/>
          <w:smallCaps w:val="false"/>
          <w:sz w:val="20"/>
        </w:rPr>
        <w:t>March 31, 2023.</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Assets and liabilities are translated into the reporting currency using the exchange rates in effect on the unaudited consolidated condensed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income/loss in the accompanying unaudited condensed consolidated statements of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Accounts and Other Receivables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Accounts and other receivables consist of receivables under the AZSTARYS License Agreement and Arimoclomol EAP, as well as receivables related to consulting arrangements, income tax receivables and other receivables due to the Company. Receivables under the AZSTARYS License Agreement are recorded for amounts due to the Company related to reimbursable </w:t>
      </w:r>
      <w:r>
        <w:rPr>
          <w:rStyle w:val="Emphasis"/>
          <w:rFonts w:ascii="Times New Roman;Times;serif" w:hAnsi="Times New Roman;Times;serif"/>
          <w:sz w:val="20"/>
        </w:rPr>
        <w:t>third</w:t>
      </w:r>
      <w:r>
        <w:rPr>
          <w:rFonts w:ascii="Times New Roman;Times;serif" w:hAnsi="Times New Roman;Times;serif"/>
          <w:sz w:val="20"/>
        </w:rPr>
        <w:t xml:space="preserve">-party costs and royalties on product sales. Receivables under the Arimoclomol EAP are recorded for product sales under the French nATU. These receivables, as well as the receivables related to consulting arrangements, are evaluated to determine if any reserve or allowance should be established at each reporting date. As of </w:t>
      </w:r>
      <w:r>
        <w:rPr>
          <w:rStyle w:val="Emphasis"/>
          <w:rFonts w:ascii="Times New Roman;Times;serif" w:hAnsi="Times New Roman;Times;serif"/>
          <w:sz w:val="20"/>
        </w:rPr>
        <w:t>June 30,</w:t>
      </w:r>
      <w:r>
        <w:rPr>
          <w:rFonts w:ascii="Times New Roman;Times;serif" w:hAnsi="Times New Roman;Times;serif"/>
          <w:sz w:val="20"/>
        </w:rPr>
        <w:t> </w:t>
      </w:r>
      <w:r>
        <w:rPr>
          <w:rStyle w:val="Emphasis"/>
          <w:rFonts w:ascii="Times New Roman;Times;serif" w:hAnsi="Times New Roman;Times;serif"/>
          <w:sz w:val="20"/>
        </w:rPr>
        <w:t>2023,</w:t>
      </w:r>
      <w:r>
        <w:rPr>
          <w:rFonts w:ascii="Times New Roman;Times;serif" w:hAnsi="Times New Roman;Times;serif"/>
          <w:sz w:val="20"/>
        </w:rPr>
        <w:t xml:space="preserve"> the Company had receivables related to the Arimoclomol EAP of </w:t>
      </w:r>
      <w:r>
        <w:rPr>
          <w:rFonts w:ascii="Times New Roman;Times;serif" w:hAnsi="Times New Roman;Times;serif"/>
          <w:sz w:val="20"/>
          <w:shd w:fill="FFFFFF" w:val="clear"/>
        </w:rPr>
        <w:t>$5.9 </w:t>
      </w:r>
      <w:r>
        <w:rPr>
          <w:rFonts w:ascii="Times New Roman;Times;serif" w:hAnsi="Times New Roman;Times;serif"/>
          <w:sz w:val="20"/>
        </w:rPr>
        <w:t xml:space="preserve">million, AZSTARYS License Agreement of </w:t>
      </w:r>
      <w:r>
        <w:rPr>
          <w:rFonts w:ascii="Times New Roman;Times;serif" w:hAnsi="Times New Roman;Times;serif"/>
          <w:sz w:val="20"/>
          <w:shd w:fill="FFFFFF" w:val="clear"/>
        </w:rPr>
        <w:t>$5.7 </w:t>
      </w:r>
      <w:r>
        <w:rPr>
          <w:rFonts w:ascii="Times New Roman;Times;serif" w:hAnsi="Times New Roman;Times;serif"/>
          <w:sz w:val="20"/>
        </w:rPr>
        <w:t xml:space="preserve">million, income tax receivables of </w:t>
      </w:r>
      <w:r>
        <w:rPr>
          <w:rFonts w:ascii="Times New Roman;Times;serif" w:hAnsi="Times New Roman;Times;serif"/>
          <w:sz w:val="20"/>
          <w:shd w:fill="FFFFFF" w:val="clear"/>
        </w:rPr>
        <w:t>$1.1 </w:t>
      </w:r>
      <w:r>
        <w:rPr>
          <w:rFonts w:ascii="Times New Roman;Times;serif" w:hAnsi="Times New Roman;Times;serif"/>
          <w:sz w:val="20"/>
        </w:rPr>
        <w:t>million, and other receivables of</w:t>
      </w:r>
      <w:r>
        <w:rPr>
          <w:rFonts w:ascii="Times New Roman;Times;serif" w:hAnsi="Times New Roman;Times;serif"/>
          <w:sz w:val="20"/>
          <w:shd w:fill="FFFFFF" w:val="clear"/>
        </w:rPr>
        <w:t xml:space="preserve"> $1.3 m</w:t>
      </w:r>
      <w:r>
        <w:rPr>
          <w:rFonts w:ascii="Times New Roman;Times;serif" w:hAnsi="Times New Roman;Times;serif"/>
          <w:sz w:val="20"/>
        </w:rPr>
        <w:t>illion. As of </w:t>
      </w:r>
      <w:r>
        <w:rPr>
          <w:rStyle w:val="Emphasis"/>
          <w:rFonts w:ascii="Times New Roman;Times;serif" w:hAnsi="Times New Roman;Times;serif"/>
          <w:sz w:val="20"/>
        </w:rPr>
        <w:t xml:space="preserve"> December 31, 2022, </w:t>
      </w:r>
      <w:r>
        <w:rPr>
          <w:rFonts w:ascii="Times New Roman;Times;serif" w:hAnsi="Times New Roman;Times;serif"/>
          <w:sz w:val="20"/>
        </w:rPr>
        <w:t xml:space="preserve">the Company had receivables related to the Arimoclomol EAP of $6.3 million, Corium Consulting Agreement of </w:t>
      </w:r>
      <w:r>
        <w:rPr>
          <w:rFonts w:ascii="Times New Roman;Times;serif" w:hAnsi="Times New Roman;Times;serif"/>
          <w:sz w:val="20"/>
          <w:shd w:fill="FFFFFF" w:val="clear"/>
        </w:rPr>
        <w:t>$0.2 m</w:t>
      </w:r>
      <w:r>
        <w:rPr>
          <w:rFonts w:ascii="Times New Roman;Times;serif" w:hAnsi="Times New Roman;Times;serif"/>
          <w:sz w:val="20"/>
        </w:rPr>
        <w:t>illion, AZSTARYS License Agreement of $0.5 million, income tax receivables of</w:t>
      </w:r>
      <w:r>
        <w:rPr>
          <w:rFonts w:ascii="Times New Roman;Times;serif" w:hAnsi="Times New Roman;Times;serif"/>
          <w:sz w:val="20"/>
          <w:shd w:fill="FFFFFF" w:val="clear"/>
        </w:rPr>
        <w:t xml:space="preserve"> $0.9 million and other receivables of $0.4 m</w:t>
      </w:r>
      <w:r>
        <w:rPr>
          <w:rFonts w:ascii="Times New Roman;Times;serif" w:hAnsi="Times New Roman;Times;serif"/>
          <w:sz w:val="20"/>
        </w:rPr>
        <w:t xml:space="preserve">illion. As of </w:t>
      </w:r>
      <w:r>
        <w:rPr>
          <w:rStyle w:val="Emphasis"/>
          <w:rFonts w:ascii="Times New Roman;Times;serif" w:hAnsi="Times New Roman;Times;serif"/>
          <w:sz w:val="20"/>
        </w:rPr>
        <w:t xml:space="preserve">June 30, 2023, </w:t>
      </w:r>
      <w:r>
        <w:rPr>
          <w:rFonts w:ascii="Times New Roman;Times;serif" w:hAnsi="Times New Roman;Times;serif"/>
          <w:sz w:val="20"/>
        </w:rPr>
        <w:t xml:space="preserve">and </w:t>
      </w:r>
      <w:r>
        <w:rPr>
          <w:rStyle w:val="Emphasis"/>
          <w:rFonts w:ascii="Times New Roman;Times;serif" w:hAnsi="Times New Roman;Times;serif"/>
          <w:sz w:val="20"/>
        </w:rPr>
        <w:t>December 31, 2022, </w:t>
      </w:r>
      <w:r>
        <w:rPr>
          <w:rFonts w:ascii="Times New Roman;Times;serif" w:hAnsi="Times New Roman;Times;serif"/>
          <w:sz w:val="20"/>
        </w:rPr>
        <w:t>no reserve or allowance for doubtful accounts had been established.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930" w:type="dxa"/>
        <w:jc w:val="left"/>
        <w:tblInd w:w="0" w:type="dxa"/>
        <w:tblLayout w:type="fixed"/>
        <w:tblCellMar>
          <w:top w:w="0" w:type="dxa"/>
          <w:left w:w="0" w:type="dxa"/>
          <w:bottom w:w="0" w:type="dxa"/>
          <w:right w:w="0" w:type="dxa"/>
        </w:tblCellMar>
      </w:tblPr>
      <w:tblGrid>
        <w:gridCol w:w="200"/>
        <w:gridCol w:w="1730"/>
      </w:tblGrid>
      <w:tr>
        <w:trPr/>
        <w:tc>
          <w:tcPr>
            <w:tcW w:w="2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w:t>
            </w:r>
          </w:p>
        </w:tc>
        <w:tc>
          <w:tcPr>
            <w:tcW w:w="1730" w:type="dxa"/>
            <w:tcBorders/>
            <w:vAlign w:val="center"/>
          </w:tcPr>
          <w:p>
            <w:pPr>
              <w:pStyle w:val="TableContents"/>
              <w:bidi w:val="0"/>
              <w:spacing w:before="0" w:after="283"/>
              <w:jc w:val="left"/>
              <w:rPr>
                <w:b/>
              </w:rPr>
            </w:pPr>
            <w:r>
              <w:rPr>
                <w:b/>
              </w:rPr>
              <w:t>Debt Obligations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and Ameris Bank, as lender, entered into a $20.0 million revolving loan agreement (the “Line of Credit”). Proceeds of the revolving facility provided by the Line of Credit are to be used for general corporate purposes. Loans under the Line of Credit bear interest at the Secured Overnight Financing Rate ("SOFR") plus 1.60%, with a SOFR floor of </w:t>
      </w:r>
      <w:r>
        <w:rPr>
          <w:rStyle w:val="Emphasis"/>
          <w:rFonts w:ascii="Times New Roman" w:hAnsi="Times New Roman"/>
          <w:caps w:val="false"/>
          <w:smallCaps w:val="false"/>
          <w:sz w:val="20"/>
        </w:rPr>
        <w:t>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revolving facility under the Line of Credit is secured by a perfected security interest in deposit accounts. The revolving facility under the Line of Credit is subject to customary affirmative and negative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latest maturity date of the loans under the Line of Credit was </w:t>
      </w:r>
      <w:r>
        <w:rPr>
          <w:rStyle w:val="Emphasis"/>
          <w:rFonts w:ascii="Times New Roman" w:hAnsi="Times New Roman"/>
          <w:caps w:val="false"/>
          <w:smallCaps w:val="false"/>
          <w:sz w:val="20"/>
        </w:rPr>
        <w:t xml:space="preserve"> May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Line of Credit contained customary events of default that could have led to an acceleration of the loans, including cross-default, bankruptcy and payment defaults. As of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the Company had drawn $12.8 million from the Line of Credit to finance the transactions under the Arimoclomol Purchase Agreement, and this amount was supported by a $12.8 million certificate of deposit which was shown as long-term investments - other in the unaudited condensed consolidated balance sheet as of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 xml:space="preserve">The remaining $7.2 million under the Line of Credit was in a separate interest-bearing certificate of deposit and is also recorded as long-term investments - other in the unaudited condensed consolidated balance sheet as of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These certificates of deposit were pledged as collateral against the Line of Credit and could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redeemed so long as the $20.0 million remained available under the Line of Credit. The total value of the certificates of deposit held with Ameris Bank must meet or exceed the amount available to borrow under the Line of Credit so long as the Line of Credit remains active. On </w:t>
      </w:r>
      <w:r>
        <w:rPr>
          <w:rStyle w:val="Emphasis"/>
          <w:rFonts w:ascii="Times New Roman" w:hAnsi="Times New Roman"/>
          <w:caps w:val="false"/>
          <w:smallCaps w:val="false"/>
          <w:sz w:val="20"/>
        </w:rPr>
        <w:t xml:space="preserve">January 31, 2023, </w:t>
      </w:r>
      <w:r>
        <w:rPr>
          <w:rFonts w:ascii="Times New Roman" w:hAnsi="Times New Roman"/>
          <w:caps w:val="false"/>
          <w:smallCaps w:val="false"/>
          <w:sz w:val="20"/>
        </w:rPr>
        <w:t xml:space="preserve">the Company repaid the $12.8 million outstanding under the Line of Credit in full and subsequently closed the Line of Credit. In conjunction with closing the Line of Credit, the maturity dates of the certificates of deposit were modified to </w:t>
      </w:r>
      <w:r>
        <w:rPr>
          <w:rStyle w:val="Emphasis"/>
          <w:rFonts w:ascii="Times New Roman" w:hAnsi="Times New Roman"/>
          <w:caps w:val="false"/>
          <w:smallCaps w:val="false"/>
          <w:sz w:val="20"/>
        </w:rPr>
        <w:t>May 27,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26, 2023, </w:t>
      </w:r>
      <w:r>
        <w:rPr>
          <w:rFonts w:ascii="Times New Roman" w:hAnsi="Times New Roman"/>
          <w:caps w:val="false"/>
          <w:smallCaps w:val="false"/>
          <w:sz w:val="20"/>
        </w:rPr>
        <w:t>the Company and Wells Fargo, as lender, entered into a revolving margin account agreement. The Company's investmen</w:t>
      </w:r>
      <w:r>
        <w:rPr>
          <w:rFonts w:ascii="Times New Roman" w:hAnsi="Times New Roman"/>
          <w:caps w:val="false"/>
          <w:smallCaps w:val="false"/>
          <w:sz w:val="20"/>
          <w:shd w:fill="FFFFFF" w:val="clear"/>
        </w:rPr>
        <w:t xml:space="preserve">ts are used as collateral for the loan and the amount the Company is able to borrow is limited to </w:t>
      </w:r>
      <w:r>
        <w:rPr>
          <w:rStyle w:val="Emphasis"/>
          <w:rFonts w:ascii="Times New Roman" w:hAnsi="Times New Roman"/>
          <w:caps w:val="false"/>
          <w:smallCaps w:val="false"/>
          <w:sz w:val="20"/>
          <w:shd w:fill="FFFFFF" w:val="clear"/>
        </w:rPr>
        <w:t>80</w:t>
      </w:r>
      <w:r>
        <w:rPr>
          <w:rFonts w:ascii="Times New Roman" w:hAnsi="Times New Roman"/>
          <w:caps w:val="false"/>
          <w:smallCaps w:val="false"/>
          <w:sz w:val="20"/>
          <w:shd w:fill="FFFFFF" w:val="clear"/>
        </w:rPr>
        <w:t>-</w:t>
      </w:r>
      <w:r>
        <w:rPr>
          <w:rStyle w:val="Emphasis"/>
          <w:rFonts w:ascii="Times New Roman" w:hAnsi="Times New Roman"/>
          <w:caps w:val="false"/>
          <w:smallCaps w:val="false"/>
          <w:sz w:val="20"/>
          <w:shd w:fill="FFFFFF" w:val="clear"/>
        </w:rPr>
        <w:t>90%</w:t>
      </w:r>
      <w:r>
        <w:rPr>
          <w:rFonts w:ascii="Times New Roman" w:hAnsi="Times New Roman"/>
          <w:caps w:val="false"/>
          <w:smallCaps w:val="false"/>
          <w:sz w:val="20"/>
          <w:shd w:fill="FFFFFF" w:val="clear"/>
        </w:rPr>
        <w:t xml:space="preserve"> of its outstanding investment balance held with Wells Fargo. The margin account bears interest at the Prime rate minus 225 basis-points. As of </w:t>
      </w:r>
      <w:r>
        <w:rPr>
          <w:rStyle w:val="Emphasis"/>
          <w:rFonts w:ascii="Times New Roman" w:hAnsi="Times New Roman"/>
          <w:caps w:val="false"/>
          <w:smallCaps w:val="false"/>
          <w:sz w:val="20"/>
          <w:shd w:fill="FFFFFF" w:val="clear"/>
        </w:rPr>
        <w:t>June 30,</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$12.7 millio</w:t>
      </w:r>
      <w:r>
        <w:rPr>
          <w:rFonts w:ascii="Times New Roman" w:hAnsi="Times New Roman"/>
          <w:caps w:val="false"/>
          <w:smallCaps w:val="false"/>
          <w:sz w:val="20"/>
        </w:rPr>
        <w:t>n was outstanding under the margin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640" w:type="dxa"/>
        <w:jc w:val="left"/>
        <w:tblInd w:w="0" w:type="dxa"/>
        <w:tblLayout w:type="fixed"/>
        <w:tblCellMar>
          <w:top w:w="0" w:type="dxa"/>
          <w:left w:w="0" w:type="dxa"/>
          <w:bottom w:w="0" w:type="dxa"/>
          <w:right w:w="0" w:type="dxa"/>
        </w:tblCellMar>
      </w:tblPr>
      <w:tblGrid>
        <w:gridCol w:w="260"/>
        <w:gridCol w:w="3380"/>
      </w:tblGrid>
      <w:tr>
        <w:trPr/>
        <w:tc>
          <w:tcPr>
            <w:tcW w:w="260" w:type="dxa"/>
            <w:tcBorders/>
            <w:vAlign w:val="center"/>
          </w:tcPr>
          <w:p>
            <w:pPr>
              <w:pStyle w:val="TableContents"/>
              <w:bidi w:val="0"/>
              <w:spacing w:before="0" w:after="283"/>
              <w:jc w:val="left"/>
              <w:rPr>
                <w:b/>
              </w:rPr>
            </w:pPr>
            <w:r>
              <w:rPr>
                <w:b/>
              </w:rPr>
              <w:t>D.</w:t>
            </w:r>
          </w:p>
        </w:tc>
        <w:tc>
          <w:tcPr>
            <w:tcW w:w="3380" w:type="dxa"/>
            <w:tcBorders/>
            <w:vAlign w:val="center"/>
          </w:tcPr>
          <w:p>
            <w:pPr>
              <w:pStyle w:val="TableContents"/>
              <w:bidi w:val="0"/>
              <w:spacing w:before="0" w:after="283"/>
              <w:jc w:val="left"/>
              <w:rPr>
                <w:b/>
              </w:rPr>
            </w:pPr>
            <w:r>
              <w:rPr>
                <w:b/>
              </w:rPr>
              <w:t>Commitments and Contingencies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From time to time, the Company is involved in various legal proceedings arising in the normal course of business. For some matters, a liability is </w:t>
      </w:r>
      <w:r>
        <w:rPr>
          <w:rStyle w:val="Emphasis"/>
          <w:rFonts w:ascii="Times New Roman;Times;serif" w:hAnsi="Times New Roman;Times;serif"/>
          <w:sz w:val="20"/>
        </w:rPr>
        <w:t>not</w:t>
      </w:r>
      <w:r>
        <w:rPr>
          <w:rFonts w:ascii="Times New Roman;Times;serif" w:hAnsi="Times New Roman;Times;serif"/>
          <w:sz w:val="20"/>
        </w:rPr>
        <w:t xml:space="preserve"> probable, or the amount cannot be reasonably estimated and, therefore, an accrual has </w:t>
      </w:r>
      <w:r>
        <w:rPr>
          <w:rStyle w:val="Emphasis"/>
          <w:rFonts w:ascii="Times New Roman;Times;serif" w:hAnsi="Times New Roman;Times;serif"/>
          <w:sz w:val="20"/>
        </w:rPr>
        <w:t>not</w:t>
      </w:r>
      <w:r>
        <w:rPr>
          <w:rFonts w:ascii="Times New Roman;Times;serif" w:hAnsi="Times New Roman;Times;serif"/>
          <w:sz w:val="20"/>
        </w:rPr>
        <w:t xml:space="preserve"> been made. However, for such matters when it is probable that the Company has incurred a liability and can reasonably estimate the amount, the Company accrues and discloses such estimates.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31, 2023, </w:t>
      </w:r>
      <w:r>
        <w:rPr>
          <w:rFonts w:ascii="Times New Roman" w:hAnsi="Times New Roman"/>
          <w:caps w:val="false"/>
          <w:smallCaps w:val="false"/>
          <w:sz w:val="20"/>
        </w:rPr>
        <w:t xml:space="preserve">the Company and KVK-Tech, Inc. ("KVK") terminated the Collaboration and License Agreement (the “Agreement”) that the parties entered into on </w:t>
      </w:r>
      <w:r>
        <w:rPr>
          <w:rStyle w:val="Emphasis"/>
          <w:rFonts w:ascii="Times New Roman" w:hAnsi="Times New Roman"/>
          <w:caps w:val="false"/>
          <w:smallCaps w:val="false"/>
          <w:sz w:val="20"/>
        </w:rPr>
        <w:t xml:space="preserve">October 25, 2018. </w:t>
      </w:r>
      <w:r>
        <w:rPr>
          <w:rFonts w:ascii="Times New Roman" w:hAnsi="Times New Roman"/>
          <w:caps w:val="false"/>
          <w:smallCaps w:val="false"/>
          <w:sz w:val="20"/>
        </w:rPr>
        <w:t xml:space="preserve">In conjunction with the termination of the Agreement, the Company agreed to pay a settlement to KVK of $0.9 million, which is included in research and development in the unaudited condensed consolidated statement of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is payable in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 no accruals have been made related to commitments and contingencies.</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335" w:type="dxa"/>
        <w:jc w:val="left"/>
        <w:tblInd w:w="0" w:type="dxa"/>
        <w:tblLayout w:type="fixed"/>
        <w:tblCellMar>
          <w:top w:w="0" w:type="dxa"/>
          <w:left w:w="0" w:type="dxa"/>
          <w:bottom w:w="0" w:type="dxa"/>
          <w:right w:w="0" w:type="dxa"/>
        </w:tblCellMar>
      </w:tblPr>
      <w:tblGrid>
        <w:gridCol w:w="245"/>
        <w:gridCol w:w="2090"/>
      </w:tblGrid>
      <w:tr>
        <w:trPr/>
        <w:tc>
          <w:tcPr>
            <w:tcW w:w="245" w:type="dxa"/>
            <w:tcBorders/>
            <w:vAlign w:val="center"/>
          </w:tcPr>
          <w:p>
            <w:pPr>
              <w:pStyle w:val="TableContents"/>
              <w:bidi w:val="0"/>
              <w:spacing w:before="0" w:after="283"/>
              <w:jc w:val="left"/>
              <w:rPr>
                <w:b/>
              </w:rPr>
            </w:pPr>
            <w:r>
              <w:rPr>
                <w:b/>
              </w:rPr>
              <w:t>E.</w:t>
            </w:r>
          </w:p>
        </w:tc>
        <w:tc>
          <w:tcPr>
            <w:tcW w:w="2090" w:type="dxa"/>
            <w:tcBorders/>
            <w:vAlign w:val="center"/>
          </w:tcPr>
          <w:p>
            <w:pPr>
              <w:pStyle w:val="TableContents"/>
              <w:bidi w:val="0"/>
              <w:spacing w:before="0" w:after="283"/>
              <w:jc w:val="left"/>
              <w:rPr>
                <w:b/>
              </w:rPr>
            </w:pPr>
            <w:r>
              <w:rPr>
                <w:b/>
              </w:rPr>
              <w:t>Stock and Warrants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Authorized, Issued, and Outstanding Common Shares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June 30,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the Company had authorized shares of common stock of 250,000,000 shares. Of the authorized share</w:t>
      </w:r>
      <w:r>
        <w:rPr>
          <w:rFonts w:ascii="Times New Roman;Times;serif" w:hAnsi="Times New Roman;Times;serif"/>
          <w:sz w:val="20"/>
          <w:shd w:fill="FFFFFF" w:val="clear"/>
        </w:rPr>
        <w:t xml:space="preserve">s, 35,503,697 and </w:t>
      </w:r>
      <w:r>
        <w:rPr>
          <w:rStyle w:val="Emphasis"/>
          <w:rFonts w:ascii="Times New Roman;Times;serif" w:hAnsi="Times New Roman;Times;serif"/>
          <w:sz w:val="20"/>
          <w:shd w:fill="FFFFFF" w:val="clear"/>
        </w:rPr>
        <w:t>35</w:t>
      </w:r>
      <w:r>
        <w:rPr>
          <w:rFonts w:ascii="Times New Roman;Times;serif" w:hAnsi="Times New Roman;Times;serif"/>
          <w:sz w:val="20"/>
        </w:rPr>
        <w:t xml:space="preserve">,450,257 shares of common stock were issued as of </w:t>
      </w:r>
      <w:r>
        <w:rPr>
          <w:rStyle w:val="Emphasis"/>
          <w:rFonts w:ascii="Times New Roman;Times;serif" w:hAnsi="Times New Roman;Times;serif"/>
          <w:sz w:val="20"/>
        </w:rPr>
        <w:t>June 30, 2023,</w:t>
      </w:r>
      <w:r>
        <w:rPr>
          <w:rFonts w:ascii="Times New Roman;Times;serif" w:hAnsi="Times New Roman;Times;serif"/>
          <w:sz w:val="20"/>
        </w:rPr>
        <w:t xml:space="preserve"> and </w:t>
      </w:r>
      <w:r>
        <w:rPr>
          <w:rStyle w:val="Emphasis"/>
          <w:rFonts w:ascii="Times New Roman;Times;serif" w:hAnsi="Times New Roman;Times;serif"/>
          <w:sz w:val="20"/>
        </w:rPr>
        <w:t xml:space="preserve">December 31, 2022, </w:t>
      </w:r>
      <w:r>
        <w:rPr>
          <w:rFonts w:ascii="Times New Roman;Times;serif" w:hAnsi="Times New Roman;Times;serif"/>
          <w:sz w:val="20"/>
        </w:rPr>
        <w:t>respectively, an</w:t>
      </w:r>
      <w:r>
        <w:rPr>
          <w:rFonts w:ascii="Times New Roman;Times;serif" w:hAnsi="Times New Roman;Times;serif"/>
          <w:sz w:val="20"/>
          <w:shd w:fill="FFFFFF" w:val="clear"/>
        </w:rPr>
        <w:t xml:space="preserve">d 33,928,005 and </w:t>
      </w:r>
      <w:r>
        <w:rPr>
          <w:rStyle w:val="Emphasis"/>
          <w:rFonts w:ascii="Times New Roman;Times;serif" w:hAnsi="Times New Roman;Times;serif"/>
          <w:sz w:val="20"/>
          <w:shd w:fill="FFFFFF" w:val="clear"/>
        </w:rPr>
        <w:t>3</w:t>
      </w:r>
      <w:r>
        <w:rPr>
          <w:rFonts w:ascii="Times New Roman;Times;serif" w:hAnsi="Times New Roman;Times;serif"/>
          <w:sz w:val="20"/>
        </w:rPr>
        <w:t xml:space="preserve">4,540,304 shares of common stock were outstanding as of </w:t>
      </w:r>
      <w:r>
        <w:rPr>
          <w:rStyle w:val="Emphasis"/>
          <w:rFonts w:ascii="Times New Roman;Times;serif" w:hAnsi="Times New Roman;Times;serif"/>
          <w:sz w:val="20"/>
        </w:rPr>
        <w:t>June 30,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respectively.</w:t>
      </w:r>
    </w:p>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Times New Roman;Times;serif" w:hAnsi="Times New Roman;Times;serif"/>
          <w:sz w:val="20"/>
        </w:rPr>
        <w:t>As of </w:t>
      </w:r>
      <w:r>
        <w:rPr>
          <w:rStyle w:val="Emphasis"/>
          <w:rFonts w:ascii="Times New Roman;Times;serif" w:hAnsi="Times New Roman;Times;serif"/>
          <w:sz w:val="20"/>
        </w:rPr>
        <w:t xml:space="preserve"> June 30, 2023</w:t>
      </w:r>
      <w:r>
        <w:rPr>
          <w:rFonts w:ascii="Times New Roman;Times;serif" w:hAnsi="Times New Roman;Times;serif"/>
          <w:sz w:val="20"/>
        </w:rPr>
        <w:t xml:space="preserve"> and </w:t>
      </w:r>
      <w:r>
        <w:rPr>
          <w:rStyle w:val="Emphasis"/>
          <w:rFonts w:ascii="Times New Roman;Times;serif" w:hAnsi="Times New Roman;Times;serif"/>
          <w:sz w:val="20"/>
        </w:rPr>
        <w:t>December 31, 2022</w:t>
      </w:r>
      <w:r>
        <w:rPr>
          <w:rFonts w:ascii="Times New Roman;Times;serif" w:hAnsi="Times New Roman;Times;serif"/>
          <w:sz w:val="20"/>
        </w:rPr>
        <w:t>, the Company had reserved authorized shares of common stock for future issuance as follows:</w:t>
      </w:r>
    </w:p>
    <w:p>
      <w:pPr>
        <w:pStyle w:val="TextBody"/>
        <w:bidi w:val="0"/>
        <w:spacing w:before="0" w:after="283"/>
        <w:jc w:val="left"/>
        <w:rPr/>
      </w:pPr>
      <w:r>
        <w:rPr/>
        <w:t> </w:t>
      </w:r>
    </w:p>
    <w:tbl>
      <w:tblPr>
        <w:tblW w:w="8143" w:type="dxa"/>
        <w:jc w:val="left"/>
        <w:tblInd w:w="0" w:type="dxa"/>
        <w:tblLayout w:type="fixed"/>
        <w:tblCellMar>
          <w:top w:w="0" w:type="dxa"/>
          <w:left w:w="0" w:type="dxa"/>
          <w:bottom w:w="0" w:type="dxa"/>
          <w:right w:w="0" w:type="dxa"/>
        </w:tblCellMar>
      </w:tblPr>
      <w:tblGrid>
        <w:gridCol w:w="5105"/>
        <w:gridCol w:w="60"/>
        <w:gridCol w:w="70"/>
        <w:gridCol w:w="1119"/>
        <w:gridCol w:w="60"/>
        <w:gridCol w:w="60"/>
        <w:gridCol w:w="95"/>
        <w:gridCol w:w="1514"/>
        <w:gridCol w:w="60"/>
      </w:tblGrid>
      <w:tr>
        <w:trPr/>
        <w:tc>
          <w:tcPr>
            <w:tcW w:w="5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June 30,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awards under equity incentive plans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7,027,739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2,456,407</w:t>
            </w:r>
          </w:p>
        </w:tc>
        <w:tc>
          <w:tcPr>
            <w:tcW w:w="6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common stock warrants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4,252,490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5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4,252,600</w:t>
            </w:r>
          </w:p>
        </w:tc>
        <w:tc>
          <w:tcPr>
            <w:tcW w:w="60"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Possible future issuances under equity incentive plans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5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4,421,508</w:t>
            </w:r>
          </w:p>
        </w:tc>
        <w:tc>
          <w:tcPr>
            <w:tcW w:w="60"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Possible future issuances under employee stock purchase plans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1,375,175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1,417,365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common shares reserved for future issuance</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15,387,192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12,547,880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Common Stock Activity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following table summarizes common stock activity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2023</w:t>
      </w:r>
      <w:r>
        <w:rPr>
          <w:rStyle w:val="Emphasis"/>
          <w:rFonts w:ascii="Times New Roman;Times;serif" w:hAnsi="Times New Roman;Times;serif"/>
          <w:i w:val="false"/>
          <w:caps w:val="false"/>
          <w:smallCaps w:val="false"/>
          <w:sz w:val="20"/>
        </w:rPr>
        <w:t>:</w:t>
      </w:r>
    </w:p>
    <w:p>
      <w:pPr>
        <w:pStyle w:val="TextBody"/>
        <w:bidi w:val="0"/>
        <w:spacing w:before="0" w:after="0"/>
        <w:ind w:left="0" w:right="0" w:hanging="0"/>
        <w:jc w:val="both"/>
        <w:rPr/>
      </w:pPr>
      <w:r>
        <w:rPr/>
        <w:t> </w:t>
      </w:r>
    </w:p>
    <w:tbl>
      <w:tblPr>
        <w:tblW w:w="8114" w:type="dxa"/>
        <w:jc w:val="left"/>
        <w:tblInd w:w="0" w:type="dxa"/>
        <w:tblLayout w:type="fixed"/>
        <w:tblCellMar>
          <w:top w:w="0" w:type="dxa"/>
          <w:left w:w="0" w:type="dxa"/>
          <w:bottom w:w="0" w:type="dxa"/>
          <w:right w:w="0" w:type="dxa"/>
        </w:tblCellMar>
      </w:tblPr>
      <w:tblGrid>
        <w:gridCol w:w="5885"/>
        <w:gridCol w:w="60"/>
        <w:gridCol w:w="124"/>
        <w:gridCol w:w="1965"/>
        <w:gridCol w:w="80"/>
      </w:tblGrid>
      <w:tr>
        <w:trPr/>
        <w:tc>
          <w:tcPr>
            <w:tcW w:w="5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Shares of Common Stock</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January 1, 2023</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1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34,540,304</w:t>
            </w:r>
          </w:p>
        </w:tc>
        <w:tc>
          <w:tcPr>
            <w:tcW w:w="80" w:type="dxa"/>
            <w:tcBorders/>
            <w:shd w:fill="CCEEFF" w:val="clear"/>
            <w:vAlign w:val="center"/>
          </w:tcPr>
          <w:p>
            <w:pPr>
              <w:pStyle w:val="TableContents"/>
              <w:bidi w:val="0"/>
              <w:spacing w:before="0" w:after="283"/>
              <w:jc w:val="left"/>
              <w:rPr/>
            </w:pPr>
            <w:r>
              <w:rPr/>
              <w:t> </w:t>
            </w:r>
          </w:p>
        </w:tc>
      </w:tr>
      <w:tr>
        <w:trPr/>
        <w:tc>
          <w:tcPr>
            <w:tcW w:w="5885" w:type="dxa"/>
            <w:tcBorders/>
            <w:shd w:fill="FFFFFF" w:val="clear"/>
            <w:vAlign w:val="center"/>
          </w:tcPr>
          <w:p>
            <w:pPr>
              <w:pStyle w:val="TableContents"/>
              <w:bidi w:val="0"/>
              <w:spacing w:before="0" w:after="0"/>
              <w:ind w:left="180" w:right="180" w:hanging="0"/>
              <w:jc w:val="left"/>
              <w:rPr>
                <w:rFonts w:ascii="Times New Roman;Times;serif" w:hAnsi="Times New Roman;Times;serif"/>
                <w:sz w:val="20"/>
              </w:rPr>
            </w:pPr>
            <w:r>
              <w:rPr>
                <w:rFonts w:ascii="Times New Roman;Times;serif" w:hAnsi="Times New Roman;Times;serif"/>
                <w:sz w:val="20"/>
              </w:rPr>
              <w:t>Common stock issued as compensation to third parties</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7,129</w:t>
            </w:r>
          </w:p>
        </w:tc>
        <w:tc>
          <w:tcPr>
            <w:tcW w:w="80" w:type="dxa"/>
            <w:tcBorders/>
            <w:shd w:fill="FFFFFF" w:val="clear"/>
            <w:vAlign w:val="center"/>
          </w:tcPr>
          <w:p>
            <w:pPr>
              <w:pStyle w:val="TableContents"/>
              <w:bidi w:val="0"/>
              <w:spacing w:before="0" w:after="283"/>
              <w:jc w:val="left"/>
              <w:rPr/>
            </w:pPr>
            <w:r>
              <w:rPr/>
              <w:t> </w:t>
            </w:r>
          </w:p>
        </w:tc>
      </w:tr>
      <w:tr>
        <w:trPr/>
        <w:tc>
          <w:tcPr>
            <w:tcW w:w="5885" w:type="dxa"/>
            <w:tcBorders/>
            <w:shd w:fill="CCEEFF" w:val="clear"/>
            <w:vAlign w:val="center"/>
          </w:tcPr>
          <w:p>
            <w:pPr>
              <w:pStyle w:val="TableContents"/>
              <w:bidi w:val="0"/>
              <w:spacing w:before="0" w:after="0"/>
              <w:ind w:left="180" w:right="180" w:hanging="0"/>
              <w:jc w:val="left"/>
              <w:rPr>
                <w:rFonts w:ascii="Times New Roman;Times;serif" w:hAnsi="Times New Roman;Times;serif"/>
                <w:sz w:val="20"/>
              </w:rPr>
            </w:pPr>
            <w:r>
              <w:rPr>
                <w:rFonts w:ascii="Times New Roman;Times;serif" w:hAnsi="Times New Roman;Times;serif"/>
                <w:sz w:val="20"/>
              </w:rPr>
              <w:t>Common stock repurchased as a result of the Stock Repurchase Plan</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9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(665,739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as a result of stock warrants exercised</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8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March 31, 2023</w:t>
            </w:r>
          </w:p>
        </w:tc>
        <w:tc>
          <w:tcPr>
            <w:tcW w:w="60" w:type="dxa"/>
            <w:tcBorders/>
            <w:shd w:fill="CCEE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33,881,804</w:t>
            </w:r>
          </w:p>
        </w:tc>
        <w:tc>
          <w:tcPr>
            <w:tcW w:w="8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jc w:val="left"/>
              <w:rPr/>
            </w:pPr>
            <w:r>
              <w:rPr/>
              <w:t> </w:t>
            </w:r>
          </w:p>
        </w:tc>
      </w:tr>
      <w:tr>
        <w:trPr/>
        <w:tc>
          <w:tcPr>
            <w:tcW w:w="5885" w:type="dxa"/>
            <w:tcBorders/>
            <w:shd w:fill="FFFFFF" w:val="clear"/>
            <w:vAlign w:val="center"/>
          </w:tcPr>
          <w:p>
            <w:pPr>
              <w:pStyle w:val="TableContents"/>
              <w:bidi w:val="0"/>
              <w:spacing w:before="0" w:after="0"/>
              <w:ind w:left="180" w:right="180" w:hanging="0"/>
              <w:jc w:val="left"/>
              <w:rPr>
                <w:rFonts w:ascii="Times New Roman;Times;serif" w:hAnsi="Times New Roman;Times;serif"/>
                <w:sz w:val="20"/>
              </w:rPr>
            </w:pPr>
            <w:r>
              <w:rPr>
                <w:rFonts w:ascii="Times New Roman;Times;serif" w:hAnsi="Times New Roman;Times;serif"/>
                <w:sz w:val="20"/>
              </w:rPr>
              <w:t>Common stock issued as a result of the Employee Stock Purchase Plan</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96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42,190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8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as compensation to third parties</w:t>
            </w:r>
          </w:p>
        </w:tc>
        <w:tc>
          <w:tcPr>
            <w:tcW w:w="60" w:type="dxa"/>
            <w:tcBorders/>
            <w:shd w:fill="CCEE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4,011</w:t>
            </w:r>
          </w:p>
        </w:tc>
        <w:tc>
          <w:tcPr>
            <w:tcW w:w="80" w:type="dxa"/>
            <w:tcBorders/>
            <w:shd w:fill="CCEEFF" w:val="clear"/>
            <w:vAlign w:val="center"/>
          </w:tcPr>
          <w:p>
            <w:pPr>
              <w:pStyle w:val="TableContents"/>
              <w:bidi w:val="0"/>
              <w:spacing w:before="0" w:after="0"/>
              <w:jc w:val="left"/>
              <w:rPr/>
            </w:pPr>
            <w:r>
              <w:rPr/>
              <w:t> </w:t>
            </w:r>
          </w:p>
        </w:tc>
      </w:tr>
      <w:tr>
        <w:trPr/>
        <w:tc>
          <w:tcPr>
            <w:tcW w:w="58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June 30, 2023</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33,928,005</w:t>
            </w:r>
          </w:p>
        </w:tc>
        <w:tc>
          <w:tcPr>
            <w:tcW w:w="80" w:type="dxa"/>
            <w:tcBorders>
              <w:top w:val="single" w:sz="2" w:space="0" w:color="000000"/>
              <w:bottom w:val="double" w:sz="6" w:space="0" w:color="000000"/>
            </w:tcBorders>
            <w:shd w:fill="FFFF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Authorized, Issued, and Outstanding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2022, </w:t>
      </w:r>
      <w:r>
        <w:rPr>
          <w:rFonts w:ascii="Times New Roman" w:hAnsi="Times New Roman"/>
          <w:caps w:val="false"/>
          <w:smallCaps w:val="false"/>
          <w:sz w:val="20"/>
        </w:rPr>
        <w:t xml:space="preserve">the Company had 10,000,000 shares of authorized preferred stock,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which were designated, issued, or outstanding.    </w:t>
      </w:r>
    </w:p>
    <w:p>
      <w:pPr>
        <w:pStyle w:val="TextBody"/>
        <w:bidi w:val="0"/>
        <w:spacing w:before="0" w:after="0"/>
        <w:ind w:left="0" w:right="0" w:hanging="0"/>
        <w:jc w:val="left"/>
        <w:rPr>
          <w:color w:val="000000"/>
        </w:rPr>
      </w:pPr>
      <w:r>
        <w:rPr>
          <w:color w:val="000000"/>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Warrants to Purchase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prior periods, the Company issued warrants to purchase common stock to various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of which 4,252,490 remain outstanding 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and 4,221,240 of these outstanding warrants are immediately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remaining 31,250 warrants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initially exercisable for any shares of common stock but become exercisable upon the achievement of each of </w:t>
      </w:r>
      <w:r>
        <w:rPr>
          <w:rStyle w:val="Emphasis"/>
          <w:rFonts w:ascii="Times New Roman" w:hAnsi="Times New Roman"/>
          <w:caps w:val="false"/>
          <w:smallCaps w:val="false"/>
          <w:sz w:val="20"/>
        </w:rPr>
        <w:t>four</w:t>
      </w:r>
      <w:r>
        <w:rPr>
          <w:rFonts w:ascii="Times New Roman" w:hAnsi="Times New Roman"/>
          <w:caps w:val="false"/>
          <w:smallCaps w:val="false"/>
          <w:sz w:val="20"/>
        </w:rPr>
        <w:t> specified milestones. The Company determined that these warrants qualify as a derivative under ASC </w:t>
      </w:r>
      <w:r>
        <w:rPr>
          <w:rStyle w:val="Emphasis"/>
          <w:rFonts w:ascii="Times New Roman" w:hAnsi="Times New Roman"/>
          <w:caps w:val="false"/>
          <w:smallCaps w:val="false"/>
          <w:sz w:val="20"/>
        </w:rPr>
        <w:t>815</w:t>
      </w:r>
      <w:r>
        <w:rPr>
          <w:rFonts w:ascii="Times New Roman" w:hAnsi="Times New Roman"/>
          <w:caps w:val="false"/>
          <w:smallCaps w:val="false"/>
          <w:sz w:val="20"/>
        </w:rPr>
        <w:t> and should be recorded as a liability and stated at fair value each reporting period. The Company calculates the fair value of the warrant using a probability-weighted Black-Scholes option pricing model. Changes in fair value resulting from changes in the inputs to the Black Scholes model are accounted for as changes in the fair value of the derivative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and are recorded as fair value adjustment related to derivative and warrant liability in the unaudited condensed consolidated statements of operations. As of 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the fair value of the liability associated with these warrants was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Of the outstanding and exercisable warrants, 120,192 qualify as participating securities under ASC Topic </w:t>
      </w:r>
      <w:r>
        <w:rPr>
          <w:rStyle w:val="Emphasis"/>
          <w:rFonts w:ascii="Times New Roman" w:hAnsi="Times New Roman"/>
          <w:caps w:val="false"/>
          <w:smallCaps w:val="false"/>
          <w:sz w:val="20"/>
        </w:rPr>
        <w:t>260,</w:t>
      </w:r>
      <w:r>
        <w:rPr>
          <w:rFonts w:ascii="Times New Roman" w:hAnsi="Times New Roman"/>
          <w:caps w:val="false"/>
          <w:smallCaps w:val="false"/>
          <w:sz w:val="20"/>
        </w:rPr>
        <w:t> </w:t>
      </w:r>
      <w:r>
        <w:rPr>
          <w:rFonts w:ascii="Times New Roman" w:hAnsi="Times New Roman"/>
          <w:i/>
          <w:caps w:val="false"/>
          <w:smallCaps w:val="false"/>
          <w:sz w:val="20"/>
        </w:rPr>
        <w:t>Earnings per</w:t>
      </w:r>
      <w:r>
        <w:rPr>
          <w:rFonts w:ascii="Times New Roman" w:hAnsi="Times New Roman"/>
          <w:caps w:val="false"/>
          <w:smallCaps w:val="false"/>
          <w:sz w:val="20"/>
        </w:rPr>
        <w:t> </w:t>
      </w:r>
      <w:r>
        <w:rPr>
          <w:rFonts w:ascii="Times New Roman" w:hAnsi="Times New Roman"/>
          <w:i/>
          <w:caps w:val="false"/>
          <w:smallCaps w:val="false"/>
          <w:sz w:val="20"/>
        </w:rPr>
        <w:t>Share</w:t>
      </w:r>
      <w:r>
        <w:rPr>
          <w:rFonts w:ascii="Times New Roman" w:hAnsi="Times New Roman"/>
          <w:caps w:val="false"/>
          <w:smallCaps w:val="false"/>
          <w:sz w:val="20"/>
        </w:rPr>
        <w:t xml:space="preserve">, and are treated as such in the net loss per share calculation (Note 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redeem these warrants for a cash amount equal to the Black-Scholes value of the portion of the warrants to be redeemed (the “Put Option”). The Company determined that these warrants and the Put Option should be recorded as a liability and stated at fair value at each reporting period. Changes to the fair value of the warrant liability are recorded through the unaudited condensed statements of operations as a fair value adjustment. As of 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the fair value of the liability associated with these warrants and the Put Option was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040" w:type="dxa"/>
        <w:jc w:val="left"/>
        <w:tblInd w:w="0" w:type="dxa"/>
        <w:tblLayout w:type="fixed"/>
        <w:tblCellMar>
          <w:top w:w="0" w:type="dxa"/>
          <w:left w:w="0" w:type="dxa"/>
          <w:bottom w:w="0" w:type="dxa"/>
          <w:right w:w="0" w:type="dxa"/>
        </w:tblCellMar>
      </w:tblPr>
      <w:tblGrid>
        <w:gridCol w:w="230"/>
        <w:gridCol w:w="2810"/>
      </w:tblGrid>
      <w:tr>
        <w:trPr/>
        <w:tc>
          <w:tcPr>
            <w:tcW w:w="230" w:type="dxa"/>
            <w:tcBorders/>
            <w:vAlign w:val="center"/>
          </w:tcPr>
          <w:p>
            <w:pPr>
              <w:pStyle w:val="TableContents"/>
              <w:bidi w:val="0"/>
              <w:spacing w:before="0" w:after="283"/>
              <w:jc w:val="left"/>
              <w:rPr>
                <w:b/>
              </w:rPr>
            </w:pPr>
            <w:r>
              <w:rPr>
                <w:b/>
              </w:rPr>
              <w:t>F.</w:t>
            </w:r>
          </w:p>
        </w:tc>
        <w:tc>
          <w:tcPr>
            <w:tcW w:w="2810" w:type="dxa"/>
            <w:tcBorders/>
            <w:vAlign w:val="center"/>
          </w:tcPr>
          <w:p>
            <w:pPr>
              <w:pStyle w:val="TableContents"/>
              <w:bidi w:val="0"/>
              <w:spacing w:before="0" w:after="283"/>
              <w:jc w:val="left"/>
              <w:rPr>
                <w:b/>
              </w:rPr>
            </w:pPr>
            <w:r>
              <w:rPr>
                <w:b/>
              </w:rPr>
              <w:t>Stock-Based Compensation</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maintains a stock-based compensation plan (the “Incentive Stock Plan”) that governs stock awards made to employees and directors prior to completion of the IPO.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November 2014, </w:t>
      </w:r>
      <w:r>
        <w:rPr>
          <w:rFonts w:ascii="Times New Roman" w:hAnsi="Times New Roman"/>
          <w:caps w:val="false"/>
          <w:smallCaps w:val="false"/>
          <w:sz w:val="20"/>
        </w:rPr>
        <w:t xml:space="preserve">the Board of Directors of the Company ("the Board"), and in </w:t>
      </w:r>
      <w:r>
        <w:rPr>
          <w:rStyle w:val="Emphasis"/>
          <w:rFonts w:ascii="Times New Roman" w:hAnsi="Times New Roman"/>
          <w:caps w:val="false"/>
          <w:smallCaps w:val="false"/>
          <w:sz w:val="20"/>
        </w:rPr>
        <w:t>April 2015, </w:t>
      </w:r>
      <w:r>
        <w:rPr>
          <w:rFonts w:ascii="Times New Roman" w:hAnsi="Times New Roman"/>
          <w:caps w:val="false"/>
          <w:smallCaps w:val="false"/>
          <w:sz w:val="20"/>
        </w:rPr>
        <w:t>the Company’s stockholders, approved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Equity Incentive Plan (the </w:t>
      </w:r>
      <w:r>
        <w:rPr>
          <w:rStyle w:val="Emphasis"/>
          <w:rFonts w:ascii="Times New Roman" w:hAnsi="Times New Roman"/>
          <w:caps w:val="false"/>
          <w:smallCaps w:val="false"/>
          <w:sz w:val="20"/>
        </w:rPr>
        <w:t>“2014</w:t>
      </w:r>
      <w:r>
        <w:rPr>
          <w:rFonts w:ascii="Times New Roman" w:hAnsi="Times New Roman"/>
          <w:caps w:val="false"/>
          <w:smallCaps w:val="false"/>
          <w:sz w:val="20"/>
        </w:rPr>
        <w:t> Plan”), which became effective in </w:t>
      </w:r>
      <w:r>
        <w:rPr>
          <w:rStyle w:val="Emphasis"/>
          <w:rFonts w:ascii="Times New Roman" w:hAnsi="Times New Roman"/>
          <w:caps w:val="false"/>
          <w:smallCaps w:val="false"/>
          <w:sz w:val="20"/>
        </w:rPr>
        <w:t xml:space="preserve"> April 2015. </w:t>
      </w:r>
      <w:r>
        <w:rPr>
          <w:rFonts w:ascii="Times New Roman" w:hAnsi="Times New Roman"/>
          <w:caps w:val="false"/>
          <w:smallCaps w:val="false"/>
          <w:sz w:val="20"/>
        </w:rPr>
        <w:t>The </w:t>
      </w:r>
      <w:r>
        <w:rPr>
          <w:rStyle w:val="Emphasis"/>
          <w:rFonts w:ascii="Times New Roman" w:hAnsi="Times New Roman"/>
          <w:caps w:val="false"/>
          <w:smallCaps w:val="false"/>
          <w:sz w:val="20"/>
        </w:rPr>
        <w:t>2014</w:t>
      </w:r>
      <w:r>
        <w:rPr>
          <w:rFonts w:ascii="Times New Roman" w:hAnsi="Times New Roman"/>
          <w:caps w:val="false"/>
          <w:smallCaps w:val="false"/>
          <w:sz w:val="20"/>
        </w:rPr>
        <w:t> Plan provides for the grant of stock options, other forms of equity compensation, and performance cash awards. In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the Company's stockholders approved an Amended and Restated </w:t>
      </w:r>
      <w:r>
        <w:rPr>
          <w:rStyle w:val="Emphasis"/>
          <w:rFonts w:ascii="Times New Roman" w:hAnsi="Times New Roman"/>
          <w:caps w:val="false"/>
          <w:smallCaps w:val="false"/>
          <w:sz w:val="20"/>
        </w:rPr>
        <w:t>2014</w:t>
      </w:r>
      <w:r>
        <w:rPr>
          <w:rFonts w:ascii="Times New Roman" w:hAnsi="Times New Roman"/>
          <w:caps w:val="false"/>
          <w:smallCaps w:val="false"/>
          <w:sz w:val="20"/>
        </w:rPr>
        <w:t> Equity Incentive Plan (the "A&amp;R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following its adoption by the Board in </w:t>
      </w:r>
      <w:r>
        <w:rPr>
          <w:rStyle w:val="Emphasis"/>
          <w:rFonts w:ascii="Times New Roman" w:hAnsi="Times New Roman"/>
          <w:caps w:val="false"/>
          <w:smallCaps w:val="false"/>
          <w:sz w:val="20"/>
        </w:rPr>
        <w:t>April 2021, </w:t>
      </w:r>
      <w:r>
        <w:rPr>
          <w:rFonts w:ascii="Times New Roman" w:hAnsi="Times New Roman"/>
          <w:caps w:val="false"/>
          <w:smallCaps w:val="false"/>
          <w:sz w:val="20"/>
        </w:rPr>
        <w:t>which among other things added 4,900,000 shares to the maximum number of shares of common stock to be issued under the plan and extended the annual automatic increases (discussed further below) until </w:t>
      </w:r>
      <w:r>
        <w:rPr>
          <w:rStyle w:val="Emphasis"/>
          <w:rFonts w:ascii="Times New Roman" w:hAnsi="Times New Roman"/>
          <w:caps w:val="false"/>
          <w:smallCaps w:val="false"/>
          <w:sz w:val="20"/>
        </w:rPr>
        <w:t xml:space="preserve"> January 1, 2031 </w:t>
      </w:r>
      <w:r>
        <w:rPr>
          <w:rFonts w:ascii="Times New Roman" w:hAnsi="Times New Roman"/>
          <w:caps w:val="false"/>
          <w:smallCaps w:val="false"/>
          <w:sz w:val="20"/>
        </w:rPr>
        <w:t xml:space="preserve">and eliminated individual grant limits that applied under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to awards that were intended to comply with the exemption for "performance-based compensation" under Code Section </w:t>
      </w:r>
      <w:r>
        <w:rPr>
          <w:rStyle w:val="Emphasis"/>
          <w:rFonts w:ascii="Times New Roman" w:hAnsi="Times New Roman"/>
          <w:caps w:val="false"/>
          <w:smallCaps w:val="false"/>
          <w:sz w:val="20"/>
        </w:rPr>
        <w:t>162</w:t>
      </w:r>
      <w:r>
        <w:rPr>
          <w:rFonts w:ascii="Times New Roman" w:hAnsi="Times New Roman"/>
          <w:caps w:val="false"/>
          <w:smallCaps w:val="false"/>
          <w:sz w:val="20"/>
        </w:rPr>
        <w:t>(m). The maximum number of shares of common stock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issued under the A&amp;R </w:t>
      </w:r>
      <w:r>
        <w:rPr>
          <w:rStyle w:val="Emphasis"/>
          <w:rFonts w:ascii="Times New Roman" w:hAnsi="Times New Roman"/>
          <w:caps w:val="false"/>
          <w:smallCaps w:val="false"/>
          <w:sz w:val="20"/>
        </w:rPr>
        <w:t>2014</w:t>
      </w:r>
      <w:r>
        <w:rPr>
          <w:rFonts w:ascii="Times New Roman" w:hAnsi="Times New Roman"/>
          <w:caps w:val="false"/>
          <w:smallCaps w:val="false"/>
          <w:sz w:val="20"/>
        </w:rPr>
        <w:t> Plan</w:t>
      </w:r>
      <w:r>
        <w:rPr>
          <w:rFonts w:ascii="Times New Roman" w:hAnsi="Times New Roman"/>
          <w:caps w:val="false"/>
          <w:smallCaps w:val="false"/>
          <w:sz w:val="20"/>
          <w:shd w:fill="FFFFFF" w:val="clear"/>
        </w:rPr>
        <w:t xml:space="preserve"> is 8,271,497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number of shares of common stock reserved for issuance under the A&amp;R </w:t>
      </w:r>
      <w:r>
        <w:rPr>
          <w:rStyle w:val="Emphasis"/>
          <w:rFonts w:ascii="Times New Roman" w:hAnsi="Times New Roman"/>
          <w:caps w:val="false"/>
          <w:smallCaps w:val="false"/>
          <w:sz w:val="20"/>
        </w:rPr>
        <w:t>2014</w:t>
      </w:r>
      <w:r>
        <w:rPr>
          <w:rFonts w:ascii="Times New Roman" w:hAnsi="Times New Roman"/>
          <w:caps w:val="false"/>
          <w:smallCaps w:val="false"/>
          <w:sz w:val="20"/>
        </w:rPr>
        <w:t> Plan will automatically increase on </w:t>
      </w:r>
      <w:r>
        <w:rPr>
          <w:rStyle w:val="Emphasis"/>
          <w:rFonts w:ascii="Times New Roman" w:hAnsi="Times New Roman"/>
          <w:caps w:val="false"/>
          <w:smallCaps w:val="false"/>
          <w:sz w:val="20"/>
        </w:rPr>
        <w:t xml:space="preserve"> January 1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January 1, 2016, </w:t>
      </w:r>
      <w:r>
        <w:rPr>
          <w:rFonts w:ascii="Times New Roman" w:hAnsi="Times New Roman"/>
          <w:caps w:val="false"/>
          <w:smallCaps w:val="false"/>
          <w:sz w:val="20"/>
        </w:rPr>
        <w:t>and ending on and including </w:t>
      </w:r>
      <w:r>
        <w:rPr>
          <w:rStyle w:val="Emphasis"/>
          <w:rFonts w:ascii="Times New Roman" w:hAnsi="Times New Roman"/>
          <w:caps w:val="false"/>
          <w:smallCaps w:val="false"/>
          <w:sz w:val="20"/>
        </w:rPr>
        <w:t xml:space="preserve"> January 1, 2031, </w:t>
      </w:r>
      <w:r>
        <w:rPr>
          <w:rFonts w:ascii="Times New Roman" w:hAnsi="Times New Roman"/>
          <w:caps w:val="false"/>
          <w:smallCaps w:val="false"/>
          <w:sz w:val="20"/>
        </w:rPr>
        <w:t xml:space="preserve">by 4% of the total number of shares of the Company’s capital stock outstanding on </w:t>
      </w:r>
      <w:r>
        <w:rPr>
          <w:rStyle w:val="Emphasis"/>
          <w:rFonts w:ascii="Times New Roman" w:hAnsi="Times New Roman"/>
          <w:caps w:val="false"/>
          <w:smallCaps w:val="false"/>
          <w:sz w:val="20"/>
        </w:rPr>
        <w:t>December 31 </w:t>
      </w:r>
      <w:r>
        <w:rPr>
          <w:rFonts w:ascii="Times New Roman" w:hAnsi="Times New Roman"/>
          <w:caps w:val="false"/>
          <w:smallCaps w:val="false"/>
          <w:sz w:val="20"/>
        </w:rPr>
        <w:t>of the preceding calendar year, or a lesser number of shares determined by the Board. Pursuant to the terms of the </w:t>
      </w:r>
      <w:r>
        <w:rPr>
          <w:rStyle w:val="Emphasis"/>
          <w:rFonts w:ascii="Times New Roman" w:hAnsi="Times New Roman"/>
          <w:caps w:val="false"/>
          <w:smallCaps w:val="false"/>
          <w:sz w:val="20"/>
        </w:rPr>
        <w:t>2014</w:t>
      </w:r>
      <w:r>
        <w:rPr>
          <w:rFonts w:ascii="Times New Roman" w:hAnsi="Times New Roman"/>
          <w:caps w:val="false"/>
          <w:smallCaps w:val="false"/>
          <w:sz w:val="20"/>
        </w:rPr>
        <w:t> Plan, on </w:t>
      </w:r>
      <w:r>
        <w:rPr>
          <w:rStyle w:val="Emphasis"/>
          <w:rFonts w:ascii="Times New Roman" w:hAnsi="Times New Roman"/>
          <w:caps w:val="false"/>
          <w:smallCaps w:val="false"/>
          <w:sz w:val="20"/>
        </w:rPr>
        <w:t xml:space="preserve"> January 1, 2023, </w:t>
      </w:r>
      <w:r>
        <w:rPr>
          <w:rFonts w:ascii="Times New Roman" w:hAnsi="Times New Roman"/>
          <w:caps w:val="false"/>
          <w:smallCaps w:val="false"/>
          <w:sz w:val="20"/>
        </w:rPr>
        <w:t>the common stock reserved for issuance under the </w:t>
      </w:r>
      <w:r>
        <w:rPr>
          <w:rStyle w:val="Emphasis"/>
          <w:rFonts w:ascii="Times New Roman" w:hAnsi="Times New Roman"/>
          <w:caps w:val="false"/>
          <w:smallCaps w:val="false"/>
          <w:sz w:val="20"/>
        </w:rPr>
        <w:t>2014</w:t>
      </w:r>
      <w:r>
        <w:rPr>
          <w:rFonts w:ascii="Times New Roman" w:hAnsi="Times New Roman"/>
          <w:caps w:val="false"/>
          <w:smallCaps w:val="false"/>
          <w:sz w:val="20"/>
        </w:rPr>
        <w:t> Plan automatically increased by 1,381,612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no stock options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 xml:space="preserve">the Company's stockholders approved an Employee Stock Purchase Plan (the "ESPP"), following its adoption by the Board in </w:t>
      </w:r>
      <w:r>
        <w:rPr>
          <w:rStyle w:val="Emphasis"/>
          <w:rFonts w:ascii="Times New Roman" w:hAnsi="Times New Roman"/>
          <w:caps w:val="false"/>
          <w:smallCaps w:val="false"/>
          <w:sz w:val="20"/>
        </w:rPr>
        <w:t xml:space="preserve">April 2021. </w:t>
      </w:r>
      <w:r>
        <w:rPr>
          <w:rFonts w:ascii="Times New Roman" w:hAnsi="Times New Roman"/>
          <w:caps w:val="false"/>
          <w:smallCaps w:val="false"/>
          <w:sz w:val="20"/>
        </w:rPr>
        <w:t>The maximum number of shares of common stock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be issued under the ESPP is 1,500,000.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offering period under the ESPP began on </w:t>
      </w:r>
      <w:r>
        <w:rPr>
          <w:rStyle w:val="Emphasis"/>
          <w:rFonts w:ascii="Times New Roman" w:hAnsi="Times New Roman"/>
          <w:caps w:val="false"/>
          <w:smallCaps w:val="false"/>
          <w:sz w:val="20"/>
        </w:rPr>
        <w:t xml:space="preserve">October 1, 2021, </w:t>
      </w:r>
      <w:r>
        <w:rPr>
          <w:rFonts w:ascii="Times New Roman" w:hAnsi="Times New Roman"/>
          <w:caps w:val="false"/>
          <w:smallCaps w:val="false"/>
          <w:sz w:val="20"/>
        </w:rPr>
        <w:t xml:space="preserve">and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purchase date occurred on </w:t>
      </w:r>
      <w:r>
        <w:rPr>
          <w:rStyle w:val="Emphasis"/>
          <w:rFonts w:ascii="Times New Roman" w:hAnsi="Times New Roman"/>
          <w:caps w:val="false"/>
          <w:smallCaps w:val="false"/>
          <w:sz w:val="20"/>
        </w:rPr>
        <w:t xml:space="preserve">May 31, 2022.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2023,</w:t>
      </w:r>
      <w:r>
        <w:rPr>
          <w:rFonts w:ascii="Times New Roman" w:hAnsi="Times New Roman"/>
          <w:caps w:val="false"/>
          <w:smallCaps w:val="false"/>
          <w:sz w:val="20"/>
          <w:shd w:fill="FFFFFF" w:val="clear"/>
        </w:rPr>
        <w:t> 124,825 shar</w:t>
      </w:r>
      <w:r>
        <w:rPr>
          <w:rFonts w:ascii="Times New Roman" w:hAnsi="Times New Roman"/>
          <w:caps w:val="false"/>
          <w:smallCaps w:val="false"/>
          <w:sz w:val="20"/>
        </w:rPr>
        <w:t>es have been issued under the ESPP.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the Board approved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Employment Inducement Award Plan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The maximum number of shares of common stock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issued under the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is 1,500,000.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the Board approved the Ninth Amended and Restated Non-Employee Director Compensation Policy (the “Non-Employee Director Compensation Policy”). The equity compensation made pursuant to the Non-Employee Director Compensation Policy will be granted under the A&amp;R </w:t>
      </w:r>
      <w:r>
        <w:rPr>
          <w:rStyle w:val="Emphasis"/>
          <w:rFonts w:ascii="Times New Roman" w:hAnsi="Times New Roman"/>
          <w:caps w:val="false"/>
          <w:smallCaps w:val="false"/>
          <w:sz w:val="20"/>
        </w:rPr>
        <w:t>2014</w:t>
      </w:r>
      <w:r>
        <w:rPr>
          <w:rFonts w:ascii="Times New Roman" w:hAnsi="Times New Roman"/>
          <w:caps w:val="false"/>
          <w:smallCaps w:val="false"/>
          <w:sz w:val="20"/>
        </w:rPr>
        <w:t> Plan.</w:t>
      </w:r>
    </w:p>
    <w:p>
      <w:pPr>
        <w:pStyle w:val="TextBody"/>
        <w:bidi w:val="0"/>
        <w:spacing w:before="0" w:after="0"/>
        <w:ind w:left="180" w:right="18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Stock-based compensation expense recorded under the Incentive Stock Plan, A&amp;R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ESPP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Plan is included in the following line items in the accompanying unaudited condensed consolidated statements of operations (in thousands):</w:t>
      </w:r>
    </w:p>
    <w:p>
      <w:pPr>
        <w:pStyle w:val="TextBody"/>
        <w:bidi w:val="0"/>
        <w:spacing w:before="0" w:after="0"/>
        <w:ind w:left="0" w:right="0" w:hanging="0"/>
        <w:jc w:val="both"/>
        <w:rPr>
          <w:caps w:val="false"/>
          <w:smallCaps w:val="false"/>
        </w:rPr>
      </w:pPr>
      <w:r>
        <w:rPr>
          <w:caps w:val="false"/>
          <w:smallCaps w:val="false"/>
        </w:rPr>
        <w:t> </w:t>
      </w:r>
    </w:p>
    <w:tbl>
      <w:tblPr>
        <w:tblW w:w="8246" w:type="dxa"/>
        <w:jc w:val="left"/>
        <w:tblInd w:w="0" w:type="dxa"/>
        <w:tblLayout w:type="fixed"/>
        <w:tblCellMar>
          <w:top w:w="0" w:type="dxa"/>
          <w:left w:w="0" w:type="dxa"/>
          <w:bottom w:w="0" w:type="dxa"/>
          <w:right w:w="0" w:type="dxa"/>
        </w:tblCellMar>
      </w:tblPr>
      <w:tblGrid>
        <w:gridCol w:w="3350"/>
        <w:gridCol w:w="60"/>
        <w:gridCol w:w="227"/>
        <w:gridCol w:w="881"/>
        <w:gridCol w:w="109"/>
        <w:gridCol w:w="109"/>
        <w:gridCol w:w="227"/>
        <w:gridCol w:w="881"/>
        <w:gridCol w:w="60"/>
        <w:gridCol w:w="60"/>
        <w:gridCol w:w="207"/>
        <w:gridCol w:w="805"/>
        <w:gridCol w:w="99"/>
        <w:gridCol w:w="99"/>
        <w:gridCol w:w="207"/>
        <w:gridCol w:w="805"/>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1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731</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1,303</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733</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FFFFFF" w:val="cle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372</w:t>
            </w:r>
          </w:p>
        </w:tc>
        <w:tc>
          <w:tcPr>
            <w:tcW w:w="1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9" w:type="dxa"/>
            <w:tcBorders/>
            <w:shd w:fill="FFFFFF" w:val="clear"/>
            <w:vAlign w:val="center"/>
          </w:tcPr>
          <w:p>
            <w:pPr>
              <w:pStyle w:val="TableContents"/>
              <w:bidi w:val="0"/>
              <w:spacing w:before="0" w:after="0"/>
              <w:ind w:left="0" w:right="0" w:hanging="0"/>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391</w:t>
            </w:r>
          </w:p>
        </w:tc>
        <w:tc>
          <w:tcPr>
            <w:tcW w:w="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1,695</w:t>
            </w:r>
          </w:p>
        </w:tc>
        <w:tc>
          <w:tcPr>
            <w:tcW w:w="6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1,103</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1,694</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xml:space="preserve">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There was no stock-based compensation expense related to performance-based awards recognized during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2023. </w:t>
      </w:r>
      <w:r>
        <w:rPr>
          <w:rFonts w:ascii="Times New Roman" w:hAnsi="Times New Roman"/>
          <w:caps w:val="false"/>
          <w:smallCaps w:val="false"/>
          <w:sz w:val="20"/>
          <w:shd w:fill="FFFFFF" w:val="clear"/>
        </w:rPr>
        <w:t xml:space="preserve">There was $0.4 million of stock-based compensation expense related to performance-based awards recognized during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shd w:fill="FFFFFF" w:val="clear"/>
        </w:rPr>
        <w:t xml:space="preserve">As a result of the Mickle Transition Agreement and the Pascoe Transition Agreement, as further discussed in Note J, certain stock options were modified, resulting in a net decrease in stock-based compensation expense of $0.2 million and $1.2 million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2023, </w:t>
      </w:r>
      <w:r>
        <w:rPr>
          <w:rFonts w:ascii="Times New Roman" w:hAnsi="Times New Roman"/>
          <w:caps w:val="false"/>
          <w:smallCaps w:val="false"/>
          <w:sz w:val="20"/>
          <w:shd w:fill="FFFFFF" w:val="clear"/>
        </w:rPr>
        <w:t>respectively. The effects of these modifications are reflected in the table above within selling, general and administrative expenses. </w:t>
      </w:r>
    </w:p>
    <w:p>
      <w:pPr>
        <w:pStyle w:val="TextBody"/>
        <w:shd w:fill="FFFFFF" w:val="clear"/>
        <w:bidi w:val="0"/>
        <w:spacing w:before="0" w:after="0"/>
        <w:ind w:left="0" w:right="0" w:hanging="0"/>
        <w:jc w:val="both"/>
        <w:rPr>
          <w:color w:val="000000"/>
        </w:rPr>
      </w:pPr>
      <w:r>
        <w:rPr>
          <w:color w:val="000000"/>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925" w:type="dxa"/>
        <w:jc w:val="left"/>
        <w:tblInd w:w="0" w:type="dxa"/>
        <w:tblLayout w:type="fixed"/>
        <w:tblCellMar>
          <w:top w:w="0" w:type="dxa"/>
          <w:left w:w="0" w:type="dxa"/>
          <w:bottom w:w="0" w:type="dxa"/>
          <w:right w:w="0" w:type="dxa"/>
        </w:tblCellMar>
      </w:tblPr>
      <w:tblGrid>
        <w:gridCol w:w="260"/>
        <w:gridCol w:w="3665"/>
      </w:tblGrid>
      <w:tr>
        <w:trPr/>
        <w:tc>
          <w:tcPr>
            <w:tcW w:w="260" w:type="dxa"/>
            <w:tcBorders/>
            <w:vAlign w:val="center"/>
          </w:tcPr>
          <w:p>
            <w:pPr>
              <w:pStyle w:val="TableContents"/>
              <w:bidi w:val="0"/>
              <w:spacing w:before="0" w:after="283"/>
              <w:jc w:val="left"/>
              <w:rPr>
                <w:b/>
              </w:rPr>
            </w:pPr>
            <w:r>
              <w:rPr>
                <w:b/>
              </w:rPr>
              <w:t>G.</w:t>
            </w:r>
          </w:p>
        </w:tc>
        <w:tc>
          <w:tcPr>
            <w:tcW w:w="3665" w:type="dxa"/>
            <w:tcBorders/>
            <w:vAlign w:val="center"/>
          </w:tcPr>
          <w:p>
            <w:pPr>
              <w:pStyle w:val="TableContents"/>
              <w:bidi w:val="0"/>
              <w:spacing w:before="0" w:after="283"/>
              <w:jc w:val="left"/>
              <w:rPr>
                <w:b/>
              </w:rPr>
            </w:pPr>
            <w:r>
              <w:rPr>
                <w:b/>
              </w:rPr>
              <w:t>Fair Value of Financial Instruments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uses a </w:t>
      </w:r>
      <w:r>
        <w:rPr>
          <w:rStyle w:val="Emphasis"/>
          <w:rFonts w:ascii="Times New Roman;Times;serif" w:hAnsi="Times New Roman;Times;serif"/>
          <w:sz w:val="20"/>
        </w:rPr>
        <w:t>three</w:t>
      </w:r>
      <w:r>
        <w:rPr>
          <w:rFonts w:ascii="Times New Roman;Times;serif" w:hAnsi="Times New Roman;Times;serif"/>
          <w:sz w:val="20"/>
        </w:rPr>
        <w:t xml:space="preserv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w:t>
      </w:r>
      <w:r>
        <w:rPr>
          <w:rStyle w:val="Emphasis"/>
          <w:rFonts w:ascii="Times New Roman;Times;serif" w:hAnsi="Times New Roman;Times;serif"/>
          <w:sz w:val="20"/>
        </w:rPr>
        <w:t>three</w:t>
      </w:r>
      <w:r>
        <w:rPr>
          <w:rFonts w:ascii="Times New Roman;Times;serif" w:hAnsi="Times New Roman;Times;serif"/>
          <w:sz w:val="20"/>
        </w:rPr>
        <w:t xml:space="preserve"> tiers are defined as follows:</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1—Observable</w:t>
            </w:r>
            <w:r>
              <w:rPr>
                <w:rFonts w:ascii="Times New Roman;Times;serif" w:hAnsi="Times New Roman;Times;serif"/>
                <w:sz w:val="20"/>
              </w:rPr>
              <w:t xml:space="preserve"> inputs that reflect quoted market prices (unadjusted) for identical assets or liabilities in active markets; </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2—Observable</w:t>
            </w:r>
            <w:r>
              <w:rPr>
                <w:rFonts w:ascii="Times New Roman;Times;serif" w:hAnsi="Times New Roman;Times;serif"/>
                <w:sz w:val="20"/>
              </w:rPr>
              <w:t xml:space="preserve"> inputs other than quoted prices in active markets that are observable either directly or indirectly in the marketplace for identical or similar assets and liabilities; and</w:t>
            </w:r>
          </w:p>
        </w:tc>
      </w:tr>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Level </w:t>
            </w:r>
            <w:r>
              <w:rPr>
                <w:rStyle w:val="Emphasis"/>
                <w:rFonts w:ascii="Times New Roman;Times;serif" w:hAnsi="Times New Roman;Times;serif"/>
                <w:sz w:val="20"/>
              </w:rPr>
              <w:t>3—Unobservable</w:t>
            </w:r>
            <w:r>
              <w:rPr>
                <w:rFonts w:ascii="Times New Roman;Times;serif" w:hAnsi="Times New Roman;Times;serif"/>
                <w:sz w:val="20"/>
              </w:rPr>
              <w:t xml:space="preserve"> inputs that are supported by little or </w:t>
            </w:r>
            <w:r>
              <w:rPr>
                <w:rStyle w:val="Emphasis"/>
                <w:rFonts w:ascii="Times New Roman;Times;serif" w:hAnsi="Times New Roman;Times;serif"/>
                <w:sz w:val="20"/>
              </w:rPr>
              <w:t>no</w:t>
            </w:r>
            <w:r>
              <w:rPr>
                <w:rFonts w:ascii="Times New Roman;Times;serif" w:hAnsi="Times New Roman;Times;serif"/>
                <w:sz w:val="20"/>
              </w:rPr>
              <w:t xml:space="preserve"> market data, which require the Company to develop its own assumptions.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carrying amounts of certain financial instruments, including cash and cash equivalents, investments and accounts payable and accrued expenses, approximate their respective fair values due to the short-term nature of such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Assets and Liabilities Measured at Fair Value on a Recurring Basis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2022 (</w:t>
      </w:r>
      <w:r>
        <w:rPr>
          <w:rFonts w:ascii="Times New Roman" w:hAnsi="Times New Roman"/>
          <w:caps w:val="false"/>
          <w:smallCaps w:val="false"/>
          <w:sz w:val="20"/>
        </w:rPr>
        <w:t>in thousands):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633"/>
        <w:gridCol w:w="60"/>
        <w:gridCol w:w="215"/>
        <w:gridCol w:w="1018"/>
        <w:gridCol w:w="60"/>
        <w:gridCol w:w="60"/>
        <w:gridCol w:w="371"/>
        <w:gridCol w:w="1763"/>
        <w:gridCol w:w="60"/>
        <w:gridCol w:w="60"/>
        <w:gridCol w:w="374"/>
        <w:gridCol w:w="1461"/>
        <w:gridCol w:w="60"/>
        <w:gridCol w:w="60"/>
        <w:gridCol w:w="610"/>
        <w:gridCol w:w="1274"/>
        <w:gridCol w:w="66"/>
      </w:tblGrid>
      <w:tr>
        <w:trPr/>
        <w:tc>
          <w:tcPr>
            <w:tcW w:w="26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3"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Balance as of June 30,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Quoted Prices in Active Markets for Identical Assets (Level 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Other Observable Inputs (Level 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Significant Unobservable Inputs (Level 3)</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1" w:type="dxa"/>
            <w:tcBorders/>
            <w:shd w:fill="CCEEFF" w:val="clear"/>
            <w:vAlign w:val="center"/>
          </w:tcPr>
          <w:p>
            <w:pPr>
              <w:pStyle w:val="TableContents"/>
              <w:bidi w:val="0"/>
              <w:spacing w:before="0" w:after="283"/>
              <w:jc w:val="left"/>
              <w:rPr/>
            </w:pPr>
            <w:r>
              <w:rPr/>
              <w:t> </w:t>
            </w:r>
          </w:p>
        </w:tc>
        <w:tc>
          <w:tcPr>
            <w:tcW w:w="17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4"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r>
      <w:tr>
        <w:trPr/>
        <w:tc>
          <w:tcPr>
            <w:tcW w:w="2633"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U.S. government-sponsored agency securities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63" w:type="dxa"/>
            <w:tcBorders/>
            <w:shd w:fill="FFFFFF" w:val="cle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4"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ind w:left="0" w:right="0" w:hanging="0"/>
              <w:jc w:val="left"/>
              <w:rPr/>
            </w:pPr>
            <w:r>
              <w:rPr/>
              <w:t> </w:t>
            </w:r>
          </w:p>
        </w:tc>
      </w:tr>
      <w:tr>
        <w:trPr/>
        <w:tc>
          <w:tcPr>
            <w:tcW w:w="26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7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6" w:type="dxa"/>
            <w:tcBorders/>
            <w:shd w:fill="CCEEFF" w:val="clear"/>
            <w:vAlign w:val="center"/>
          </w:tcPr>
          <w:p>
            <w:pPr>
              <w:pStyle w:val="TableContents"/>
              <w:bidi w:val="0"/>
              <w:spacing w:before="0" w:after="0"/>
              <w:jc w:val="left"/>
              <w:rPr/>
            </w:pPr>
            <w:r>
              <w:rPr/>
              <w:t> </w:t>
            </w:r>
          </w:p>
        </w:tc>
      </w:tr>
      <w:tr>
        <w:trPr/>
        <w:tc>
          <w:tcPr>
            <w:tcW w:w="2633"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20,696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78"/>
        <w:gridCol w:w="60"/>
        <w:gridCol w:w="125"/>
        <w:gridCol w:w="1376"/>
        <w:gridCol w:w="60"/>
        <w:gridCol w:w="60"/>
        <w:gridCol w:w="125"/>
        <w:gridCol w:w="1957"/>
        <w:gridCol w:w="60"/>
        <w:gridCol w:w="60"/>
        <w:gridCol w:w="125"/>
        <w:gridCol w:w="1721"/>
        <w:gridCol w:w="60"/>
        <w:gridCol w:w="60"/>
        <w:gridCol w:w="125"/>
        <w:gridCol w:w="1790"/>
        <w:gridCol w:w="63"/>
      </w:tblGrid>
      <w:tr>
        <w:trPr/>
        <w:tc>
          <w:tcPr>
            <w:tcW w:w="23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376"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Balance as of December 31, 2022</w:t>
            </w:r>
          </w:p>
        </w:tc>
        <w:tc>
          <w:tcPr>
            <w:tcW w:w="6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center"/>
              <w:rPr/>
            </w:pPr>
            <w:r>
              <w:rPr/>
              <w:t> </w:t>
            </w:r>
          </w:p>
        </w:tc>
        <w:tc>
          <w:tcPr>
            <w:tcW w:w="125" w:type="dxa"/>
            <w:tcBorders/>
            <w:shd w:fill="FFFFFF" w:val="clear"/>
            <w:vAlign w:val="center"/>
          </w:tcPr>
          <w:p>
            <w:pPr>
              <w:pStyle w:val="TableContents"/>
              <w:bidi w:val="0"/>
              <w:spacing w:before="0" w:after="0"/>
              <w:ind w:left="0" w:right="0" w:hanging="0"/>
              <w:jc w:val="center"/>
              <w:rPr/>
            </w:pPr>
            <w:r>
              <w:rPr/>
              <w:t> </w:t>
            </w:r>
          </w:p>
        </w:tc>
        <w:tc>
          <w:tcPr>
            <w:tcW w:w="1957"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Quoted Prices in Active Markets for Identical Assets (Level 1)</w:t>
            </w:r>
          </w:p>
        </w:tc>
        <w:tc>
          <w:tcPr>
            <w:tcW w:w="6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center"/>
              <w:rPr/>
            </w:pPr>
            <w:r>
              <w:rPr/>
              <w:t> </w:t>
            </w:r>
          </w:p>
        </w:tc>
        <w:tc>
          <w:tcPr>
            <w:tcW w:w="125" w:type="dxa"/>
            <w:tcBorders/>
            <w:shd w:fill="FFFFFF" w:val="clear"/>
            <w:vAlign w:val="center"/>
          </w:tcPr>
          <w:p>
            <w:pPr>
              <w:pStyle w:val="TableContents"/>
              <w:bidi w:val="0"/>
              <w:spacing w:before="0" w:after="0"/>
              <w:ind w:left="0" w:right="0" w:hanging="0"/>
              <w:jc w:val="center"/>
              <w:rPr/>
            </w:pPr>
            <w:r>
              <w:rPr/>
              <w:t> </w:t>
            </w:r>
          </w:p>
        </w:tc>
        <w:tc>
          <w:tcPr>
            <w:tcW w:w="1721"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Significant Other Observable Inputs (Level 2)</w:t>
            </w:r>
          </w:p>
        </w:tc>
        <w:tc>
          <w:tcPr>
            <w:tcW w:w="6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center"/>
              <w:rPr/>
            </w:pPr>
            <w:r>
              <w:rPr/>
              <w:t> </w:t>
            </w:r>
          </w:p>
        </w:tc>
        <w:tc>
          <w:tcPr>
            <w:tcW w:w="125" w:type="dxa"/>
            <w:tcBorders/>
            <w:shd w:fill="FFFFFF" w:val="clear"/>
            <w:vAlign w:val="center"/>
          </w:tcPr>
          <w:p>
            <w:pPr>
              <w:pStyle w:val="TableContents"/>
              <w:bidi w:val="0"/>
              <w:spacing w:before="0" w:after="0"/>
              <w:ind w:left="0" w:right="0" w:hanging="0"/>
              <w:jc w:val="center"/>
              <w:rPr/>
            </w:pPr>
            <w:r>
              <w:rPr/>
              <w:t> </w:t>
            </w:r>
          </w:p>
        </w:tc>
        <w:tc>
          <w:tcPr>
            <w:tcW w:w="1790" w:type="dxa"/>
            <w:tcBorders/>
            <w:shd w:fill="FFFFFF" w:val="clear"/>
            <w:vAlign w:val="center"/>
          </w:tcPr>
          <w:p>
            <w:pPr>
              <w:pStyle w:val="TableContents"/>
              <w:bidi w:val="0"/>
              <w:spacing w:before="0" w:after="0"/>
              <w:jc w:val="center"/>
              <w:rPr/>
            </w:pPr>
            <w:r>
              <w:rPr>
                <w:rStyle w:val="Emphasis"/>
                <w:rFonts w:ascii="Times New Roman;Times;serif" w:hAnsi="Times New Roman;Times;serif"/>
                <w:b/>
                <w:sz w:val="20"/>
              </w:rPr>
              <w:t>Significant Unobservable Inputs (Level 3)</w:t>
            </w:r>
          </w:p>
        </w:tc>
        <w:tc>
          <w:tcPr>
            <w:tcW w:w="63" w:type="dxa"/>
            <w:tcBorders/>
            <w:shd w:fill="FFFFFF" w:val="clear"/>
            <w:vAlign w:val="center"/>
          </w:tcPr>
          <w:p>
            <w:pPr>
              <w:pStyle w:val="TableContents"/>
              <w:bidi w:val="0"/>
              <w:spacing w:before="0" w:after="283"/>
              <w:jc w:val="left"/>
              <w:rPr/>
            </w:pPr>
            <w:r>
              <w:rPr/>
              <w:t> </w:t>
            </w:r>
          </w:p>
        </w:tc>
      </w:tr>
      <w:tr>
        <w:trPr/>
        <w:tc>
          <w:tcPr>
            <w:tcW w:w="23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9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2378"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U.S. government-sponsored agency securities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5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90"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r>
      <w:tr>
        <w:trPr/>
        <w:tc>
          <w:tcPr>
            <w:tcW w:w="2378"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378"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245" w:type="dxa"/>
        <w:jc w:val="left"/>
        <w:tblInd w:w="0" w:type="dxa"/>
        <w:tblLayout w:type="fixed"/>
        <w:tblCellMar>
          <w:top w:w="0" w:type="dxa"/>
          <w:left w:w="0" w:type="dxa"/>
          <w:bottom w:w="0" w:type="dxa"/>
          <w:right w:w="0" w:type="dxa"/>
        </w:tblCellMar>
      </w:tblPr>
      <w:tblGrid>
        <w:gridCol w:w="260"/>
        <w:gridCol w:w="1985"/>
      </w:tblGrid>
      <w:tr>
        <w:trPr/>
        <w:tc>
          <w:tcPr>
            <w:tcW w:w="260" w:type="dxa"/>
            <w:tcBorders/>
            <w:vAlign w:val="center"/>
          </w:tcPr>
          <w:p>
            <w:pPr>
              <w:pStyle w:val="TableContents"/>
              <w:bidi w:val="0"/>
              <w:spacing w:before="0" w:after="283"/>
              <w:jc w:val="left"/>
              <w:rPr>
                <w:b/>
              </w:rPr>
            </w:pPr>
            <w:r>
              <w:rPr>
                <w:b/>
              </w:rPr>
              <w:t>H.</w:t>
            </w:r>
          </w:p>
        </w:tc>
        <w:tc>
          <w:tcPr>
            <w:tcW w:w="1985" w:type="dxa"/>
            <w:tcBorders/>
            <w:vAlign w:val="center"/>
          </w:tcPr>
          <w:p>
            <w:pPr>
              <w:pStyle w:val="TableContents"/>
              <w:bidi w:val="0"/>
              <w:spacing w:before="0" w:after="283"/>
              <w:jc w:val="left"/>
              <w:rPr>
                <w:b/>
              </w:rPr>
            </w:pPr>
            <w:r>
              <w:rPr>
                <w:b/>
              </w:rPr>
              <w:t>Net Loss Per Share</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For all periods presented herein,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to compute net loss per share of common stock, even though it had issued securities, other than common stock, that contractually entitled the holders to participate in dividends and earnings, because these holders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obligated to participate in a loss.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requires earnings for the period to be allocated between common stock and participating securities based upon their respective rights to receive distributed and undistributed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Under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for periods with net income, basic net income per share of common stock is computed by dividing the undistributed net income by the weighted average number of shares of common stock outstanding during the period. Undistributed net income is computed by subtracting from net income the portion of current period earnings that participating securities would have been entitled to receive pursuant to their dividend rights had all of the period’s earnings been distributed and subtracting the actual or deemed dividends declared. </w:t>
      </w:r>
      <w:r>
        <w:rPr>
          <w:rStyle w:val="Emphasis"/>
          <w:rFonts w:ascii="Times New Roman" w:hAnsi="Times New Roman"/>
          <w:caps w:val="false"/>
          <w:smallCaps w:val="false"/>
          <w:sz w:val="20"/>
        </w:rPr>
        <w:t>No</w:t>
      </w:r>
      <w:r>
        <w:rPr>
          <w:rFonts w:ascii="Times New Roman" w:hAnsi="Times New Roman"/>
          <w:caps w:val="false"/>
          <w:smallCaps w:val="false"/>
          <w:sz w:val="20"/>
        </w:rPr>
        <w:t> such adjustment to earnings is made during periods with a net loss as the holders of the participating securities have </w:t>
      </w:r>
      <w:r>
        <w:rPr>
          <w:rStyle w:val="Emphasis"/>
          <w:rFonts w:ascii="Times New Roman" w:hAnsi="Times New Roman"/>
          <w:caps w:val="false"/>
          <w:smallCaps w:val="false"/>
          <w:sz w:val="20"/>
        </w:rPr>
        <w:t>no</w:t>
      </w:r>
      <w:r>
        <w:rPr>
          <w:rFonts w:ascii="Times New Roman" w:hAnsi="Times New Roman"/>
          <w:caps w:val="false"/>
          <w:smallCaps w:val="false"/>
          <w:sz w:val="20"/>
        </w:rPr>
        <w:t> obligation to fund losses. Diluted net income per share of common stock is computed under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by using the weighted average number of shares of common stock outstanding plus the potential dilutive effects of stock options, warrants and other outstanding convertible securities. In addition to analyzing under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the Company analyzes the potential dilutive effect of stock options and warrants, under the treasury-stock method and other outstanding convertible securities under the if-converted method when calculating diluted income (loss) per share of common stock, in which it is assumed that the stock options, warrants and other outstanding convertible securities convert into common stock at the beginning of the period or date of issuance, if the stock option, warrant or other outstanding convertible security was issued during the period. The Company reports the more dilutive of the approaches (</w:t>
      </w:r>
      <w:r>
        <w:rPr>
          <w:rStyle w:val="Emphasis"/>
          <w:rFonts w:ascii="Times New Roman" w:hAnsi="Times New Roman"/>
          <w:caps w:val="false"/>
          <w:smallCaps w:val="false"/>
          <w:sz w:val="20"/>
        </w:rPr>
        <w:t>two</w:t>
      </w:r>
      <w:r>
        <w:rPr>
          <w:rFonts w:ascii="Times New Roman" w:hAnsi="Times New Roman"/>
          <w:caps w:val="false"/>
          <w:smallCaps w:val="false"/>
          <w:sz w:val="20"/>
        </w:rPr>
        <w:t>-class or treasury-stock/if-converted) as its diluted net income (loss) of common stock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noted above, for all periods presented herein,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utilize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approach as the Company was in a net loss position and the holders of the participating securities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obligation to fund losses. The Company did analyze diluted net loss per share of common stock under the treasury-stock/if-converted method and noted that all outstanding stock options and warrants were anti-dilutive for the periods presented. For all periods presented, basic net loss per share of common stock was the same as diluted net loss per share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securities, presented on a common stock equivalent basis, have been excluded from the calculation of weighted average number of shares of common stock outstanding because their effect is anti-dilutive: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73"/>
        <w:gridCol w:w="60"/>
        <w:gridCol w:w="66"/>
        <w:gridCol w:w="1052"/>
        <w:gridCol w:w="66"/>
        <w:gridCol w:w="66"/>
        <w:gridCol w:w="66"/>
        <w:gridCol w:w="936"/>
        <w:gridCol w:w="60"/>
        <w:gridCol w:w="60"/>
        <w:gridCol w:w="62"/>
        <w:gridCol w:w="998"/>
        <w:gridCol w:w="62"/>
        <w:gridCol w:w="62"/>
        <w:gridCol w:w="62"/>
        <w:gridCol w:w="888"/>
        <w:gridCol w:w="66"/>
      </w:tblGrid>
      <w:tr>
        <w:trPr/>
        <w:tc>
          <w:tcPr>
            <w:tcW w:w="55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0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7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Awards under equity incentive plans</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7,027,739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93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2,529,569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7,027,739</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2,529,569</w:t>
            </w:r>
          </w:p>
        </w:tc>
        <w:tc>
          <w:tcPr>
            <w:tcW w:w="66" w:type="dxa"/>
            <w:tcBorders/>
            <w:shd w:fill="CCEEFF" w:val="clear"/>
            <w:vAlign w:val="center"/>
          </w:tcPr>
          <w:p>
            <w:pPr>
              <w:pStyle w:val="TableContents"/>
              <w:bidi w:val="0"/>
              <w:spacing w:before="0" w:after="283"/>
              <w:ind w:left="0" w:right="0" w:hanging="0"/>
              <w:jc w:val="left"/>
              <w:rPr/>
            </w:pPr>
            <w:r>
              <w:rPr/>
              <w:t> </w:t>
            </w:r>
          </w:p>
        </w:tc>
      </w:tr>
      <w:tr>
        <w:trPr/>
        <w:tc>
          <w:tcPr>
            <w:tcW w:w="557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warrants</w:t>
            </w:r>
          </w:p>
        </w:tc>
        <w:tc>
          <w:tcPr>
            <w:tcW w:w="60" w:type="dxa"/>
            <w:tcBorders/>
            <w:shd w:fill="FFFFFF" w:val="clear"/>
            <w:vAlign w:val="center"/>
          </w:tcPr>
          <w:p>
            <w:pPr>
              <w:pStyle w:val="TableContents"/>
              <w:bidi w:val="0"/>
              <w:spacing w:before="0" w:after="0"/>
              <w:ind w:left="0" w:right="0" w:hanging="0"/>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4,252,490</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4,252,600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4,252,490</w:t>
            </w:r>
          </w:p>
        </w:tc>
        <w:tc>
          <w:tcPr>
            <w:tcW w:w="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4,252,600</w:t>
            </w:r>
          </w:p>
        </w:tc>
        <w:tc>
          <w:tcPr>
            <w:tcW w:w="66"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557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excluded from the calculation of weighted average number of shares of common stock outstanding</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11,280,229</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6,782,169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11,280,229</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6,782,169</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A reconciliation from net loss to basic and diluted net loss per share of common stock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2023, </w:t>
      </w:r>
      <w:r>
        <w:rPr>
          <w:rFonts w:ascii="Times New Roman;Times;serif" w:hAnsi="Times New Roman;Times;serif"/>
          <w:sz w:val="20"/>
        </w:rPr>
        <w:t>and </w:t>
      </w:r>
      <w:r>
        <w:rPr>
          <w:rStyle w:val="Emphasis"/>
          <w:rFonts w:ascii="Times New Roman;Times;serif" w:hAnsi="Times New Roman;Times;serif"/>
          <w:sz w:val="20"/>
        </w:rPr>
        <w:t>2022,</w:t>
      </w:r>
      <w:r>
        <w:rPr>
          <w:rFonts w:ascii="Times New Roman;Times;serif" w:hAnsi="Times New Roman;Times;serif"/>
          <w:sz w:val="20"/>
        </w:rPr>
        <w:t xml:space="preserve"> is as follows (in thousands):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565"/>
        <w:gridCol w:w="60"/>
        <w:gridCol w:w="172"/>
        <w:gridCol w:w="816"/>
        <w:gridCol w:w="110"/>
        <w:gridCol w:w="82"/>
        <w:gridCol w:w="172"/>
        <w:gridCol w:w="900"/>
        <w:gridCol w:w="80"/>
        <w:gridCol w:w="60"/>
        <w:gridCol w:w="155"/>
        <w:gridCol w:w="809"/>
        <w:gridCol w:w="99"/>
        <w:gridCol w:w="74"/>
        <w:gridCol w:w="155"/>
        <w:gridCol w:w="809"/>
        <w:gridCol w:w="87"/>
      </w:tblGrid>
      <w:tr>
        <w:trPr/>
        <w:tc>
          <w:tcPr>
            <w:tcW w:w="5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0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Basic and diluted net loss per share of common stock:</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5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55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 basic and diluted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(5,084</w:t>
            </w:r>
          </w:p>
        </w:tc>
        <w:tc>
          <w:tcPr>
            <w:tcW w:w="11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0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(24,042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(16,851</w:t>
            </w:r>
          </w:p>
        </w:tc>
        <w:tc>
          <w:tcPr>
            <w:tcW w:w="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(25,906</w:t>
            </w:r>
          </w:p>
        </w:tc>
        <w:tc>
          <w:tcPr>
            <w:tcW w:w="8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5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number of shares of common stock outstanding, basic and diluted</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33,898</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34,447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34,181</w:t>
            </w:r>
          </w:p>
        </w:tc>
        <w:tc>
          <w:tcPr>
            <w:tcW w:w="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34,477</w:t>
            </w:r>
          </w:p>
        </w:tc>
        <w:tc>
          <w:tcPr>
            <w:tcW w:w="87"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55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and diluted net loss per share of common stock</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(0.15</w:t>
            </w:r>
          </w:p>
        </w:tc>
        <w:tc>
          <w:tcPr>
            <w:tcW w:w="110" w:type="dxa"/>
            <w:tcBorders>
              <w:bottom w:val="double" w:sz="6" w:space="0" w:color="000000"/>
            </w:tcBorders>
            <w:shd w:fill="CCEEFF" w:val="clear"/>
            <w:tcMar>
              <w:bottom w:w="45"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(0.70</w:t>
            </w:r>
          </w:p>
        </w:tc>
        <w:tc>
          <w:tcPr>
            <w:tcW w:w="80" w:type="dxa"/>
            <w:tcBorders>
              <w:bottom w:val="double" w:sz="6" w:space="0" w:color="000000"/>
            </w:tcBorders>
            <w:shd w:fill="CCEEFF" w:val="clear"/>
            <w:tcMar>
              <w:bottom w:w="45"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(0.49</w:t>
            </w:r>
          </w:p>
        </w:tc>
        <w:tc>
          <w:tcPr>
            <w:tcW w:w="99" w:type="dxa"/>
            <w:tcBorders>
              <w:bottom w:val="double" w:sz="6" w:space="0" w:color="000000"/>
            </w:tcBorders>
            <w:shd w:fill="CCEEFF" w:val="clear"/>
            <w:tcMar>
              <w:bottom w:w="45"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(0.75</w:t>
            </w:r>
          </w:p>
        </w:tc>
        <w:tc>
          <w:tcPr>
            <w:tcW w:w="87" w:type="dxa"/>
            <w:tcBorders>
              <w:bottom w:val="double" w:sz="6" w:space="0" w:color="000000"/>
            </w:tcBorders>
            <w:shd w:fill="CCEEFF" w:val="clear"/>
            <w:tcMar>
              <w:bottom w:w="45"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865" w:type="dxa"/>
        <w:jc w:val="left"/>
        <w:tblInd w:w="0" w:type="dxa"/>
        <w:tblLayout w:type="fixed"/>
        <w:tblCellMar>
          <w:top w:w="0" w:type="dxa"/>
          <w:left w:w="0" w:type="dxa"/>
          <w:bottom w:w="0" w:type="dxa"/>
          <w:right w:w="0" w:type="dxa"/>
        </w:tblCellMar>
      </w:tblPr>
      <w:tblGrid>
        <w:gridCol w:w="170"/>
        <w:gridCol w:w="695"/>
      </w:tblGrid>
      <w:tr>
        <w:trPr/>
        <w:tc>
          <w:tcPr>
            <w:tcW w:w="170" w:type="dxa"/>
            <w:tcBorders/>
            <w:vAlign w:val="center"/>
          </w:tcPr>
          <w:p>
            <w:pPr>
              <w:pStyle w:val="TableContents"/>
              <w:bidi w:val="0"/>
              <w:spacing w:before="0" w:after="283"/>
              <w:jc w:val="left"/>
              <w:rPr>
                <w:b/>
              </w:rPr>
            </w:pPr>
            <w:r>
              <w:rPr>
                <w:b/>
              </w:rPr>
              <w:t>I.</w:t>
            </w:r>
          </w:p>
        </w:tc>
        <w:tc>
          <w:tcPr>
            <w:tcW w:w="695" w:type="dxa"/>
            <w:tcBorders/>
            <w:vAlign w:val="center"/>
          </w:tcPr>
          <w:p>
            <w:pPr>
              <w:pStyle w:val="TableContents"/>
              <w:bidi w:val="0"/>
              <w:spacing w:before="0" w:after="283"/>
              <w:jc w:val="left"/>
              <w:rPr>
                <w:b/>
              </w:rPr>
            </w:pPr>
            <w:r>
              <w:rPr>
                <w:b/>
              </w:rPr>
              <w:t>Leases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has operating and finance leases for office space, laboratory facilities and various laboratory equipment, furniture and office equipment and leasehold improvements. The Company determines if an arrangement is a lease at contract inception. Lease assets and lease liabilities are recognized based on the present value of lease payments over the lease term at the commencement date. The Company does </w:t>
      </w:r>
      <w:r>
        <w:rPr>
          <w:rStyle w:val="Emphasis"/>
          <w:rFonts w:ascii="Times New Roman;Times;serif" w:hAnsi="Times New Roman;Times;serif"/>
          <w:sz w:val="20"/>
        </w:rPr>
        <w:t>not</w:t>
      </w:r>
      <w:r>
        <w:rPr>
          <w:rFonts w:ascii="Times New Roman;Times;serif" w:hAnsi="Times New Roman;Times;serif"/>
          <w:sz w:val="20"/>
        </w:rPr>
        <w:t xml:space="preserve"> separate lease and non-lease components. Leases with a term of </w:t>
      </w:r>
      <w:r>
        <w:rPr>
          <w:rStyle w:val="Emphasis"/>
          <w:rFonts w:ascii="Times New Roman;Times;serif" w:hAnsi="Times New Roman;Times;serif"/>
          <w:sz w:val="20"/>
        </w:rPr>
        <w:t>12</w:t>
      </w:r>
      <w:r>
        <w:rPr>
          <w:rFonts w:ascii="Times New Roman;Times;serif" w:hAnsi="Times New Roman;Times;serif"/>
          <w:sz w:val="20"/>
        </w:rPr>
        <w:t xml:space="preserve"> months or less at commencement are </w:t>
      </w:r>
      <w:r>
        <w:rPr>
          <w:rStyle w:val="Emphasis"/>
          <w:rFonts w:ascii="Times New Roman;Times;serif" w:hAnsi="Times New Roman;Times;serif"/>
          <w:sz w:val="20"/>
        </w:rPr>
        <w:t>not</w:t>
      </w:r>
      <w:r>
        <w:rPr>
          <w:rFonts w:ascii="Times New Roman;Times;serif" w:hAnsi="Times New Roman;Times;serif"/>
          <w:sz w:val="20"/>
        </w:rPr>
        <w:t xml:space="preserve"> recorded on the unaudited condensed consolidated balance sheets. Lease expense for these arrangements is recognized on a straight-line bases over the lease term. The Company's leases have remaining lease terms of less than 1 year to approximately 3 years, some of which include options to extend the leases for up to 5 years, and some which include options to terminate the leases within 1 year.</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Effective </w:t>
      </w:r>
      <w:r>
        <w:rPr>
          <w:rStyle w:val="Emphasis"/>
          <w:rFonts w:ascii="Times New Roman;Times;serif" w:hAnsi="Times New Roman;Times;serif"/>
          <w:sz w:val="20"/>
        </w:rPr>
        <w:t xml:space="preserve"> June 1, 2021, </w:t>
      </w:r>
      <w:r>
        <w:rPr>
          <w:rFonts w:ascii="Times New Roman;Times;serif" w:hAnsi="Times New Roman;Times;serif"/>
          <w:sz w:val="20"/>
        </w:rPr>
        <w:t>the Company agreed to sublease office space in Florida, comprised of </w:t>
      </w:r>
      <w:r>
        <w:rPr>
          <w:rStyle w:val="Emphasis"/>
          <w:rFonts w:ascii="Times New Roman;Times;serif" w:hAnsi="Times New Roman;Times;serif"/>
          <w:sz w:val="20"/>
        </w:rPr>
        <w:t>one</w:t>
      </w:r>
      <w:r>
        <w:rPr>
          <w:rFonts w:ascii="Times New Roman;Times;serif" w:hAnsi="Times New Roman;Times;serif"/>
          <w:sz w:val="20"/>
        </w:rPr>
        <w:t> of the </w:t>
      </w:r>
      <w:r>
        <w:rPr>
          <w:rStyle w:val="Emphasis"/>
          <w:rFonts w:ascii="Times New Roman;Times;serif" w:hAnsi="Times New Roman;Times;serif"/>
          <w:sz w:val="20"/>
        </w:rPr>
        <w:t>two</w:t>
      </w:r>
      <w:r>
        <w:rPr>
          <w:rFonts w:ascii="Times New Roman;Times;serif" w:hAnsi="Times New Roman;Times;serif"/>
          <w:sz w:val="20"/>
        </w:rPr>
        <w:t> contiguous suites, under a non-cancelable operating lease, which expires in </w:t>
      </w:r>
      <w:r>
        <w:rPr>
          <w:rStyle w:val="Emphasis"/>
          <w:rFonts w:ascii="Times New Roman;Times;serif" w:hAnsi="Times New Roman;Times;serif"/>
          <w:sz w:val="20"/>
        </w:rPr>
        <w:t xml:space="preserve"> February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lease expense were as follows (in thousands): </w:t>
      </w:r>
    </w:p>
    <w:p>
      <w:pPr>
        <w:pStyle w:val="TextBody"/>
        <w:bidi w:val="0"/>
        <w:spacing w:before="0" w:after="0"/>
        <w:ind w:left="0" w:right="0" w:hanging="0"/>
        <w:jc w:val="both"/>
        <w:rPr/>
      </w:pPr>
      <w:r>
        <w:rPr/>
        <w:t> </w:t>
      </w:r>
    </w:p>
    <w:tbl>
      <w:tblPr>
        <w:tblW w:w="7924" w:type="dxa"/>
        <w:jc w:val="left"/>
        <w:tblInd w:w="0" w:type="dxa"/>
        <w:tblLayout w:type="fixed"/>
        <w:tblCellMar>
          <w:top w:w="0" w:type="dxa"/>
          <w:left w:w="0" w:type="dxa"/>
          <w:bottom w:w="0" w:type="dxa"/>
          <w:right w:w="0" w:type="dxa"/>
        </w:tblCellMar>
      </w:tblPr>
      <w:tblGrid>
        <w:gridCol w:w="2990"/>
        <w:gridCol w:w="60"/>
        <w:gridCol w:w="287"/>
        <w:gridCol w:w="769"/>
        <w:gridCol w:w="183"/>
        <w:gridCol w:w="137"/>
        <w:gridCol w:w="287"/>
        <w:gridCol w:w="769"/>
        <w:gridCol w:w="80"/>
        <w:gridCol w:w="60"/>
        <w:gridCol w:w="262"/>
        <w:gridCol w:w="703"/>
        <w:gridCol w:w="167"/>
        <w:gridCol w:w="125"/>
        <w:gridCol w:w="262"/>
        <w:gridCol w:w="703"/>
        <w:gridCol w:w="80"/>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 cost: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Amortization of right-of-use assets</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w:t>
            </w:r>
          </w:p>
        </w:tc>
        <w:tc>
          <w:tcPr>
            <w:tcW w:w="18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w:t>
            </w:r>
          </w:p>
        </w:tc>
        <w:tc>
          <w:tcPr>
            <w:tcW w:w="167"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Interest on lease liabilities</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w:t>
            </w:r>
          </w:p>
        </w:tc>
        <w:tc>
          <w:tcPr>
            <w:tcW w:w="16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finance lease cost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18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167"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7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cost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114</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227</w:t>
            </w:r>
          </w:p>
        </w:tc>
        <w:tc>
          <w:tcPr>
            <w:tcW w:w="16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190</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55</w:t>
            </w:r>
          </w:p>
        </w:tc>
        <w:tc>
          <w:tcPr>
            <w:tcW w:w="18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w:t>
            </w:r>
          </w:p>
        </w:tc>
        <w:tc>
          <w:tcPr>
            <w:tcW w:w="167"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Variable lease cost</w:t>
            </w:r>
          </w:p>
        </w:tc>
        <w:tc>
          <w:tcPr>
            <w:tcW w:w="60"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w:t>
            </w:r>
          </w:p>
        </w:tc>
        <w:tc>
          <w:tcPr>
            <w:tcW w:w="18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287" w:type="dxa"/>
            <w:tcBorders/>
            <w:shd w:fill="CCEEFF" w:val="clear"/>
            <w:vAlign w:val="center"/>
          </w:tcPr>
          <w:p>
            <w:pPr>
              <w:pStyle w:val="TableContents"/>
              <w:bidi w:val="0"/>
              <w:spacing w:before="0" w:after="283"/>
              <w:jc w:val="left"/>
              <w:rPr/>
            </w:pPr>
            <w:r>
              <w:rPr/>
              <w:t> </w:t>
            </w:r>
          </w:p>
        </w:tc>
        <w:tc>
          <w:tcPr>
            <w:tcW w:w="76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w:t>
            </w:r>
          </w:p>
        </w:tc>
        <w:tc>
          <w:tcPr>
            <w:tcW w:w="16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sublease income</w:t>
            </w:r>
          </w:p>
        </w:tc>
        <w:tc>
          <w:tcPr>
            <w:tcW w:w="60" w:type="dxa"/>
            <w:tcBorders/>
            <w:shd w:fill="FFFFFF" w:val="clear"/>
            <w:vAlign w:val="center"/>
          </w:tcPr>
          <w:p>
            <w:pPr>
              <w:pStyle w:val="TableContents"/>
              <w:bidi w:val="0"/>
              <w:spacing w:before="0" w:after="0"/>
              <w:ind w:left="0" w:right="0" w:hanging="0"/>
              <w:jc w:val="left"/>
              <w:rPr/>
            </w:pPr>
            <w:r>
              <w:rPr/>
              <w:t> </w:t>
            </w:r>
          </w:p>
        </w:tc>
        <w:tc>
          <w:tcPr>
            <w:tcW w:w="2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7" w:type="dxa"/>
            <w:tcBorders/>
            <w:shd w:fill="FFFFFF" w:val="clear"/>
            <w:vAlign w:val="center"/>
          </w:tcPr>
          <w:p>
            <w:pPr>
              <w:pStyle w:val="TableContents"/>
              <w:bidi w:val="0"/>
              <w:spacing w:before="0" w:after="0"/>
              <w:ind w:left="0" w:right="0" w:hanging="0"/>
              <w:jc w:val="left"/>
              <w:rPr/>
            </w:pPr>
            <w:r>
              <w:rPr/>
              <w:t> </w:t>
            </w:r>
          </w:p>
        </w:tc>
        <w:tc>
          <w:tcPr>
            <w:tcW w:w="2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5" w:type="dxa"/>
            <w:tcBorders/>
            <w:shd w:fill="FFFFFF" w:val="clear"/>
            <w:vAlign w:val="center"/>
          </w:tcPr>
          <w:p>
            <w:pPr>
              <w:pStyle w:val="TableContents"/>
              <w:bidi w:val="0"/>
              <w:spacing w:before="0" w:after="0"/>
              <w:ind w:left="0" w:right="0" w:hanging="0"/>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349</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Supplemental cash flow information related to leases was as follows (in thousands):</w:t>
      </w:r>
    </w:p>
    <w:p>
      <w:pPr>
        <w:pStyle w:val="TextBody"/>
        <w:bidi w:val="0"/>
        <w:spacing w:before="0" w:after="0"/>
        <w:ind w:left="150" w:right="150" w:hanging="0"/>
        <w:jc w:val="left"/>
        <w:rPr/>
      </w:pPr>
      <w:r>
        <w:rPr/>
        <w:t> </w:t>
      </w:r>
    </w:p>
    <w:tbl>
      <w:tblPr>
        <w:tblW w:w="8107" w:type="dxa"/>
        <w:jc w:val="left"/>
        <w:tblInd w:w="0" w:type="dxa"/>
        <w:tblLayout w:type="fixed"/>
        <w:tblCellMar>
          <w:top w:w="0" w:type="dxa"/>
          <w:left w:w="0" w:type="dxa"/>
          <w:bottom w:w="0" w:type="dxa"/>
          <w:right w:w="0" w:type="dxa"/>
        </w:tblCellMar>
      </w:tblPr>
      <w:tblGrid>
        <w:gridCol w:w="5765"/>
        <w:gridCol w:w="60"/>
        <w:gridCol w:w="267"/>
        <w:gridCol w:w="716"/>
        <w:gridCol w:w="128"/>
        <w:gridCol w:w="128"/>
        <w:gridCol w:w="267"/>
        <w:gridCol w:w="716"/>
        <w:gridCol w:w="60"/>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2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9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cash flows from finance leases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6" w:type="dxa"/>
            <w:tcBorders/>
            <w:shd w:fill="FFFFFF" w:val="cle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Financing cash flows from finance leases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cash flows from operating leases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284</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241</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cash flows from short-term leases</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110</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102</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cash flows from variable lease costs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7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 obtained in exchange for lease liabilities: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6" w:type="dxa"/>
            <w:tcBorders/>
            <w:shd w:fill="CCEEFF" w:val="clear"/>
            <w:vAlign w:val="center"/>
          </w:tcPr>
          <w:p>
            <w:pPr>
              <w:pStyle w:val="TableContents"/>
              <w:bidi w:val="0"/>
              <w:spacing w:before="0" w:after="283"/>
              <w:ind w:left="0" w:right="0" w:hanging="0"/>
              <w:jc w:val="righ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pPr>
            <w:r>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7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Supplemental balance sheet information related to leases was as follows (in thousands, except weighted average remaining lease term and weighted average discount rate):</w:t>
      </w:r>
    </w:p>
    <w:p>
      <w:pPr>
        <w:pStyle w:val="TextBody"/>
        <w:bidi w:val="0"/>
        <w:spacing w:before="0" w:after="0"/>
        <w:ind w:left="150" w:right="150" w:hanging="0"/>
        <w:jc w:val="left"/>
        <w:rPr/>
      </w:pPr>
      <w:r>
        <w:rPr/>
        <w:t> </w:t>
      </w:r>
    </w:p>
    <w:tbl>
      <w:tblPr>
        <w:tblW w:w="6308" w:type="dxa"/>
        <w:jc w:val="left"/>
        <w:tblInd w:w="0" w:type="dxa"/>
        <w:tblLayout w:type="fixed"/>
        <w:tblCellMar>
          <w:top w:w="0" w:type="dxa"/>
          <w:left w:w="0" w:type="dxa"/>
          <w:bottom w:w="0" w:type="dxa"/>
          <w:right w:w="0" w:type="dxa"/>
        </w:tblCellMar>
      </w:tblPr>
      <w:tblGrid>
        <w:gridCol w:w="3950"/>
        <w:gridCol w:w="60"/>
        <w:gridCol w:w="126"/>
        <w:gridCol w:w="598"/>
        <w:gridCol w:w="185"/>
        <w:gridCol w:w="60"/>
        <w:gridCol w:w="234"/>
        <w:gridCol w:w="910"/>
        <w:gridCol w:w="18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at cost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1,031</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accumulated 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(844</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w:t>
            </w:r>
          </w:p>
        </w:tc>
        <w:tc>
          <w:tcPr>
            <w:tcW w:w="185"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finance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right-of-use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803</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988</w:t>
            </w:r>
          </w:p>
        </w:tc>
        <w:tc>
          <w:tcPr>
            <w:tcW w:w="18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lease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803</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988</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480</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 liabilities, less current portion</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627</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843</w:t>
            </w:r>
          </w:p>
        </w:tc>
        <w:tc>
          <w:tcPr>
            <w:tcW w:w="185"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39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1,083</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1,323</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 Average Remaining Lease Term</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Finance leases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 year</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 year</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 years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 years</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9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Finance leases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9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Maturities of lease liabilities were as follows (in thousands):</w:t>
      </w:r>
    </w:p>
    <w:p>
      <w:pPr>
        <w:pStyle w:val="TextBody"/>
        <w:bidi w:val="0"/>
        <w:spacing w:before="0" w:after="0"/>
        <w:ind w:left="0" w:right="0" w:hanging="0"/>
        <w:jc w:val="both"/>
        <w:rPr/>
      </w:pPr>
      <w:r>
        <w:rPr/>
        <w:t> </w:t>
      </w:r>
    </w:p>
    <w:tbl>
      <w:tblPr>
        <w:tblW w:w="6215" w:type="dxa"/>
        <w:jc w:val="left"/>
        <w:tblInd w:w="0" w:type="dxa"/>
        <w:tblLayout w:type="fixed"/>
        <w:tblCellMar>
          <w:top w:w="0" w:type="dxa"/>
          <w:left w:w="0" w:type="dxa"/>
          <w:bottom w:w="0" w:type="dxa"/>
          <w:right w:w="0" w:type="dxa"/>
        </w:tblCellMar>
      </w:tblPr>
      <w:tblGrid>
        <w:gridCol w:w="4385"/>
        <w:gridCol w:w="60"/>
        <w:gridCol w:w="230"/>
        <w:gridCol w:w="480"/>
        <w:gridCol w:w="60"/>
        <w:gridCol w:w="60"/>
        <w:gridCol w:w="176"/>
        <w:gridCol w:w="684"/>
        <w:gridCol w:w="80"/>
      </w:tblGrid>
      <w:tr>
        <w:trPr/>
        <w:tc>
          <w:tcPr>
            <w:tcW w:w="4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Finance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 Ending December 31,</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Leases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Leases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(excluding the six months ended June 30, 2023)</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w:t>
            </w:r>
          </w:p>
        </w:tc>
        <w:tc>
          <w:tcPr>
            <w:tcW w:w="8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488</w:t>
            </w:r>
          </w:p>
        </w:tc>
        <w:tc>
          <w:tcPr>
            <w:tcW w:w="8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389</w:t>
            </w:r>
          </w:p>
        </w:tc>
        <w:tc>
          <w:tcPr>
            <w:tcW w:w="8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43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lease payments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c>
          <w:tcPr>
            <w:tcW w:w="4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future 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80" w:type="dxa"/>
            <w:tcBorders>
              <w:bottom w:val="single" w:sz="2" w:space="0" w:color="000000"/>
            </w:tcBorders>
            <w:shd w:fill="CCEEFF" w:val="clear"/>
            <w:tcMar>
              <w:bottom w:w="28" w:type="dxa"/>
            </w:tcM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43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050" w:type="dxa"/>
        <w:jc w:val="left"/>
        <w:tblInd w:w="0" w:type="dxa"/>
        <w:tblLayout w:type="fixed"/>
        <w:tblCellMar>
          <w:top w:w="0" w:type="dxa"/>
          <w:left w:w="0" w:type="dxa"/>
          <w:bottom w:w="0" w:type="dxa"/>
          <w:right w:w="0" w:type="dxa"/>
        </w:tblCellMar>
      </w:tblPr>
      <w:tblGrid>
        <w:gridCol w:w="200"/>
        <w:gridCol w:w="1850"/>
      </w:tblGrid>
      <w:tr>
        <w:trPr/>
        <w:tc>
          <w:tcPr>
            <w:tcW w:w="200" w:type="dxa"/>
            <w:tcBorders/>
            <w:vAlign w:val="center"/>
          </w:tcPr>
          <w:p>
            <w:pPr>
              <w:pStyle w:val="TableContents"/>
              <w:bidi w:val="0"/>
              <w:spacing w:before="0" w:after="283"/>
              <w:jc w:val="left"/>
              <w:rPr>
                <w:b/>
              </w:rPr>
            </w:pPr>
            <w:r>
              <w:rPr>
                <w:b/>
              </w:rPr>
              <w:t>J.</w:t>
            </w:r>
          </w:p>
        </w:tc>
        <w:tc>
          <w:tcPr>
            <w:tcW w:w="1850" w:type="dxa"/>
            <w:tcBorders/>
            <w:vAlign w:val="center"/>
          </w:tcPr>
          <w:p>
            <w:pPr>
              <w:pStyle w:val="TableContents"/>
              <w:bidi w:val="0"/>
              <w:spacing w:before="0" w:after="283"/>
              <w:jc w:val="left"/>
              <w:rPr>
                <w:b/>
              </w:rPr>
            </w:pPr>
            <w:r>
              <w:rPr>
                <w:b/>
              </w:rPr>
              <w:t>Significant Events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the Board appointed Richard W. Pascoe to serve as the Company’s Chief Executive Officer, effective immediately. Concurrently with his appointment as Chief Executive Officer, Mr. Pascoe stepped down as the Company’s Executive Chairman. Mr. Pascoe continued to serve as a member of the Board until the date of the Company's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Annual Meeting of Stockholders (the "Annual Meeting"), which was held on </w:t>
      </w:r>
      <w:r>
        <w:rPr>
          <w:rStyle w:val="Emphasis"/>
          <w:rFonts w:ascii="Times New Roman" w:hAnsi="Times New Roman"/>
          <w:caps w:val="false"/>
          <w:smallCaps w:val="false"/>
          <w:sz w:val="20"/>
        </w:rPr>
        <w:t xml:space="preserve">April 25, 2023. </w:t>
      </w:r>
      <w:r>
        <w:rPr>
          <w:rFonts w:ascii="Times New Roman" w:hAnsi="Times New Roman"/>
          <w:caps w:val="false"/>
          <w:smallCaps w:val="false"/>
          <w:sz w:val="20"/>
        </w:rPr>
        <w:t xml:space="preserve">Mr. Pascoe was designated as the Company’s principal executive officer, succeeding Travis C. Mickle, Ph.D., the Company’s President and former Chief Executive Officer, in such role.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Dr. Mickle resigned from his role (i) as Chief Executive Officer, effective immediately, and (ii) as President and as a member of the Board, in each case, effective as of the date of the Annual Meeting. Additionally,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the Board appointed Matthew R. Plooster, a member of the Board, as the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Mr. Pascoe’s appointment as the Company’s Chief Executive Officer, the Company and Mr. Pascoe entered into an amendment to the employment agreement, dated </w:t>
      </w:r>
      <w:r>
        <w:rPr>
          <w:rStyle w:val="Emphasis"/>
          <w:rFonts w:ascii="Times New Roman" w:hAnsi="Times New Roman"/>
          <w:caps w:val="false"/>
          <w:smallCaps w:val="false"/>
          <w:sz w:val="20"/>
        </w:rPr>
        <w:t xml:space="preserve">November 5, 2021, </w:t>
      </w:r>
      <w:r>
        <w:rPr>
          <w:rFonts w:ascii="Times New Roman" w:hAnsi="Times New Roman"/>
          <w:caps w:val="false"/>
          <w:smallCaps w:val="false"/>
          <w:sz w:val="20"/>
        </w:rPr>
        <w:t xml:space="preserve">by and between the Company and Mr. Pascoe (the “Amendment”). Pursuant to the Amendment, Mr. Pascoe became entitled to receive an option under the A&amp;R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to purchase 700,000 shares of the Company’s common stock at an exercise price equal to the closing price of the Company’s common stock on </w:t>
      </w:r>
      <w:r>
        <w:rPr>
          <w:rStyle w:val="Emphasis"/>
          <w:rFonts w:ascii="Times New Roman" w:hAnsi="Times New Roman"/>
          <w:caps w:val="false"/>
          <w:smallCaps w:val="false"/>
          <w:sz w:val="20"/>
        </w:rPr>
        <w:t xml:space="preserve">January 9, 2023. </w:t>
      </w:r>
      <w:r>
        <w:rPr>
          <w:rFonts w:ascii="Times New Roman" w:hAnsi="Times New Roman"/>
          <w:caps w:val="false"/>
          <w:smallCaps w:val="false"/>
          <w:sz w:val="20"/>
        </w:rPr>
        <w:t xml:space="preserve">The option will vest in four equal annual installments, with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such installment occurring on </w:t>
      </w:r>
      <w:r>
        <w:rPr>
          <w:rStyle w:val="Emphasis"/>
          <w:rFonts w:ascii="Times New Roman" w:hAnsi="Times New Roman"/>
          <w:caps w:val="false"/>
          <w:smallCaps w:val="false"/>
          <w:sz w:val="20"/>
        </w:rPr>
        <w:t>January 6, 2024 (</w:t>
      </w:r>
      <w:r>
        <w:rPr>
          <w:rFonts w:ascii="Times New Roman" w:hAnsi="Times New Roman"/>
          <w:caps w:val="false"/>
          <w:smallCaps w:val="false"/>
          <w:sz w:val="20"/>
        </w:rPr>
        <w:t>subject to Mr. Pascoe’s continued service to the Company through the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pPr>
      <w:r>
        <w:rPr>
          <w:rFonts w:ascii="Times New Roman" w:hAnsi="Times New Roman"/>
          <w:sz w:val="20"/>
        </w:rPr>
        <w:t xml:space="preserve">In connection with the management transition, the Company entered into (i) a transition agreement with Dr. Mickle (the “Mickle Transition Agreement”) and (ii) a consulting agreement with Dr. Mickle (the “Consulting Agreement”). Pursuant to the terms of the Mickle Transition Agreement, subject to his timely delivering a release of claims in the Company’s favor, Dr. Mickle will receive severance payments and benefits consisting of (i) continued payment of his base salary for 18 months following the date on which Dr. Mickle’s employment with the Company ends (the “Separation Date”), (ii) up to 18 months of continued medical, dental and vision coverage pursuant to COBRA and (iii) a </w:t>
      </w:r>
      <w:r>
        <w:rPr>
          <w:rStyle w:val="Emphasis"/>
          <w:rFonts w:ascii="Times New Roman" w:hAnsi="Times New Roman"/>
          <w:sz w:val="20"/>
        </w:rPr>
        <w:t>one</w:t>
      </w:r>
      <w:r>
        <w:rPr>
          <w:rFonts w:ascii="Times New Roman" w:hAnsi="Times New Roman"/>
          <w:sz w:val="20"/>
        </w:rPr>
        <w:t xml:space="preserve">-time, lump sum bonus payment equal to a pro rata amount of his annual performance-based target bonus for the year in which the Separation Date occurs. In addition, immediately prior to the Separation Date, all outstanding options to purchase the Company’s common stock held by Dr. Mickle will be vested in full, and such accelerated vested options </w:t>
      </w:r>
      <w:r>
        <w:rPr>
          <w:rStyle w:val="Emphasis"/>
          <w:rFonts w:ascii="Times New Roman" w:hAnsi="Times New Roman"/>
          <w:sz w:val="20"/>
        </w:rPr>
        <w:t xml:space="preserve">may </w:t>
      </w:r>
      <w:r>
        <w:rPr>
          <w:rFonts w:ascii="Times New Roman" w:hAnsi="Times New Roman"/>
          <w:sz w:val="20"/>
        </w:rPr>
        <w:t xml:space="preserve">be exercised through the later of (i) the </w:t>
      </w:r>
      <w:r>
        <w:rPr>
          <w:rStyle w:val="Emphasis"/>
          <w:rFonts w:ascii="Times New Roman" w:hAnsi="Times New Roman"/>
          <w:sz w:val="20"/>
        </w:rPr>
        <w:t>18</w:t>
      </w:r>
      <w:r>
        <w:rPr>
          <w:rFonts w:ascii="Times New Roman" w:hAnsi="Times New Roman"/>
          <w:sz w:val="20"/>
        </w:rPr>
        <w:t xml:space="preserve">-month anniversary of the date of the Transition Agreement and (ii) the date of the termination of the Consulting Agreement. Pursuant to the terms of the Consulting Agreement, Dr. Mickle has agreed to provide consulting services until the </w:t>
      </w:r>
      <w:r>
        <w:rPr>
          <w:rStyle w:val="Emphasis"/>
          <w:rFonts w:ascii="Times New Roman" w:hAnsi="Times New Roman"/>
          <w:sz w:val="20"/>
        </w:rPr>
        <w:t>first</w:t>
      </w:r>
      <w:r>
        <w:rPr>
          <w:rFonts w:ascii="Times New Roman" w:hAnsi="Times New Roman"/>
          <w:sz w:val="20"/>
        </w:rPr>
        <w:t xml:space="preserve"> anniversary of the Company’s </w:t>
      </w:r>
      <w:r>
        <w:rPr>
          <w:rStyle w:val="Emphasis"/>
          <w:rFonts w:ascii="Times New Roman" w:hAnsi="Times New Roman"/>
          <w:sz w:val="20"/>
        </w:rPr>
        <w:t>2023</w:t>
      </w:r>
      <w:r>
        <w:rPr>
          <w:rFonts w:ascii="Times New Roman" w:hAnsi="Times New Roman"/>
          <w:sz w:val="20"/>
        </w:rPr>
        <w:t xml:space="preserve"> Annual Meeting of Stockholders, which was held on </w:t>
      </w:r>
      <w:r>
        <w:rPr>
          <w:rStyle w:val="Emphasis"/>
          <w:rFonts w:ascii="Times New Roman" w:hAnsi="Times New Roman"/>
          <w:sz w:val="20"/>
        </w:rPr>
        <w:t xml:space="preserve">April 25, 2023. </w:t>
      </w:r>
      <w:r>
        <w:rPr>
          <w:rFonts w:ascii="Times New Roman" w:hAnsi="Times New Roman"/>
          <w:sz w:val="20"/>
        </w:rPr>
        <w:t xml:space="preserve">In exchange for such services, Dr. Mickle will receive consulting fees of $40,000 per month. In addition, Dr. Mickle was granted, under the A&amp;R </w:t>
      </w:r>
      <w:r>
        <w:rPr>
          <w:rStyle w:val="Emphasis"/>
          <w:rFonts w:ascii="Times New Roman" w:hAnsi="Times New Roman"/>
          <w:sz w:val="20"/>
        </w:rPr>
        <w:t>2014</w:t>
      </w:r>
      <w:r>
        <w:rPr>
          <w:rFonts w:ascii="Times New Roman" w:hAnsi="Times New Roman"/>
          <w:sz w:val="20"/>
        </w:rPr>
        <w:t xml:space="preserve"> Plan, 547,945 performance-based restricted stock units, which will vest in full upon the timely achievement of a clinical and development milestone, subject to forfeiture upon certain disqualifying events. The severance benefits consisted of personnel and other related charges of approximately $1.0 million and stock compensation expense of approximately $0.4 million related to the acceleration of vesting on unvested shares subject to certain stock options and the extension of the exercise period for certain stock options. These severance benefits are presented in selling, general and administrative expenses in the unaudited condensed consolidated statement of operations for </w:t>
      </w:r>
      <w:r>
        <w:rPr>
          <w:sz w:val="20"/>
        </w:rPr>
        <w:t xml:space="preserve"> the </w:t>
      </w:r>
      <w:r>
        <w:rPr>
          <w:rStyle w:val="Emphasis"/>
          <w:sz w:val="20"/>
        </w:rPr>
        <w:t>six</w:t>
      </w:r>
      <w:r>
        <w:rPr>
          <w:sz w:val="20"/>
        </w:rPr>
        <w:t xml:space="preserve"> months ended </w:t>
      </w:r>
      <w:r>
        <w:rPr>
          <w:rStyle w:val="Emphasis"/>
          <w:sz w:val="20"/>
        </w:rPr>
        <w:t>June 30, 2023. No</w:t>
      </w:r>
      <w:r>
        <w:rPr>
          <w:sz w:val="20"/>
        </w:rPr>
        <w:t xml:space="preserve"> severance expense was recognized for the </w:t>
      </w:r>
      <w:r>
        <w:rPr>
          <w:rStyle w:val="Emphasis"/>
          <w:sz w:val="20"/>
        </w:rPr>
        <w:t>three</w:t>
      </w:r>
      <w:r>
        <w:rPr>
          <w:sz w:val="20"/>
        </w:rPr>
        <w:t xml:space="preserve"> months ended </w:t>
      </w:r>
      <w:r>
        <w:rPr>
          <w:rStyle w:val="Emphasis"/>
          <w:sz w:val="20"/>
        </w:rPr>
        <w:t xml:space="preserve">June 30, 2023, </w:t>
      </w:r>
      <w:r>
        <w:rPr>
          <w:sz w:val="20"/>
        </w:rPr>
        <w:t xml:space="preserve">related to the Mickle Transition Agreement. As of </w:t>
      </w:r>
      <w:r>
        <w:rPr>
          <w:rStyle w:val="Emphasis"/>
          <w:sz w:val="20"/>
        </w:rPr>
        <w:t xml:space="preserve">June 30, 2023, </w:t>
      </w:r>
      <w:r>
        <w:rPr>
          <w:sz w:val="20"/>
        </w:rPr>
        <w:t xml:space="preserve">the Company had accrued severance expense recorded within accounts payable and accrued expenses  of approximately  </w:t>
      </w:r>
      <w:r>
        <w:rPr>
          <w:rFonts w:ascii="Times New Roman" w:hAnsi="Times New Roman"/>
          <w:sz w:val="20"/>
          <w:shd w:fill="FFFFFF" w:val="clear"/>
        </w:rPr>
        <w:t>$1.0 million in connection with the Mickle Transition Agreement. </w:t>
      </w:r>
      <w:r>
        <w:rPr>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At the Annual Meeting, each of John B. Bode, Douglas W. Calder, and Corey Watton was elected as a director of the Company and each of Richard W. Pascoe, Christopher A. Posner, and David S. Tierney ceased serving on the Company's Board of Directors. After the Annual Meeting, the Company's Board of Directors accepted the resignation of Richard W. Pascoe from his role as Chief Executive Officer on </w:t>
      </w:r>
      <w:r>
        <w:rPr>
          <w:rStyle w:val="Emphasis"/>
          <w:rFonts w:ascii="Times New Roman;Times;serif" w:hAnsi="Times New Roman;Times;serif"/>
          <w:sz w:val="20"/>
        </w:rPr>
        <w:t xml:space="preserve">May 5, 2023, </w:t>
      </w:r>
      <w:r>
        <w:rPr>
          <w:rFonts w:ascii="Times New Roman;Times;serif" w:hAnsi="Times New Roman;Times;serif"/>
          <w:sz w:val="20"/>
        </w:rPr>
        <w:t xml:space="preserve">effective </w:t>
      </w:r>
      <w:r>
        <w:rPr>
          <w:rStyle w:val="Emphasis"/>
          <w:rFonts w:ascii="Times New Roman;Times;serif" w:hAnsi="Times New Roman;Times;serif"/>
          <w:sz w:val="20"/>
        </w:rPr>
        <w:t xml:space="preserve">June 1, 2023, </w:t>
      </w:r>
      <w:r>
        <w:rPr>
          <w:rFonts w:ascii="Times New Roman;Times;serif" w:hAnsi="Times New Roman;Times;serif"/>
          <w:sz w:val="20"/>
        </w:rPr>
        <w:t xml:space="preserve">and appointed Tamara A. Favorito as the Chair of the Board of Directors. In connection with Mr. Pascoe’s resignation, the Company entered into a transition agreement with Mr. Pascoe (the “Pascoe Transition Agreement”). Pursuant to the terms of the Pascoe Transition Agreement, Mr. Pascoe will receive severance payments and benefits consisting of (i) continued payment of his base salary for </w:t>
      </w:r>
      <w:r>
        <w:rPr>
          <w:rStyle w:val="Emphasis"/>
          <w:rFonts w:ascii="Times New Roman;Times;serif" w:hAnsi="Times New Roman;Times;serif"/>
          <w:sz w:val="20"/>
        </w:rPr>
        <w:t>12</w:t>
      </w:r>
      <w:r>
        <w:rPr>
          <w:rFonts w:ascii="Times New Roman;Times;serif" w:hAnsi="Times New Roman;Times;serif"/>
          <w:sz w:val="20"/>
        </w:rPr>
        <w:t xml:space="preserve"> months following the date on which Mr. Pascoe’s employment with the Company ends (the “Separation Date”), (ii) up to </w:t>
      </w:r>
      <w:r>
        <w:rPr>
          <w:rStyle w:val="Emphasis"/>
          <w:rFonts w:ascii="Times New Roman;Times;serif" w:hAnsi="Times New Roman;Times;serif"/>
          <w:sz w:val="20"/>
        </w:rPr>
        <w:t>12</w:t>
      </w:r>
      <w:r>
        <w:rPr>
          <w:rFonts w:ascii="Times New Roman;Times;serif" w:hAnsi="Times New Roman;Times;serif"/>
          <w:sz w:val="20"/>
        </w:rPr>
        <w:t xml:space="preserve"> months of continued medical, dental and vision coverage pursuant to COBRA, (iii) an amount equal to Mr. Pascoe’s target annual bonus, pro-rated through the Separation Date and (iv) accelerated vesting of his outstanding equity awards. In addition, the exercise period of vested options to purchase the Company’s common stock held by Mr. Pascoe will be extended through the </w:t>
      </w:r>
      <w:r>
        <w:rPr>
          <w:rStyle w:val="Emphasis"/>
          <w:rFonts w:ascii="Times New Roman;Times;serif" w:hAnsi="Times New Roman;Times;serif"/>
          <w:sz w:val="20"/>
        </w:rPr>
        <w:t>nine</w:t>
      </w:r>
      <w:r>
        <w:rPr>
          <w:rFonts w:ascii="Times New Roman;Times;serif" w:hAnsi="Times New Roman;Times;serif"/>
          <w:sz w:val="20"/>
        </w:rPr>
        <w:t>-month anniversary of the Separation Date. </w:t>
      </w:r>
      <w:r>
        <w:rPr>
          <w:rFonts w:ascii="Times New Roman" w:hAnsi="Times New Roman"/>
          <w:sz w:val="20"/>
          <w:shd w:fill="FFFFFF" w:val="clear"/>
        </w:rPr>
        <w:t xml:space="preserve">The severance benefits consisted of personnel and other related charges of approximately $0.8 million and stock compensation expense of approximately $1.0 million related to the acceleration of vesting on unvested shares subject to certain stock options and the extension of the exercise period for certain stock options. These severance benefits are presented in selling, general and administrative expenses in the unaudited condensed consolidated statement of operations for the </w:t>
      </w:r>
      <w:r>
        <w:rPr>
          <w:rStyle w:val="Emphasis"/>
          <w:rFonts w:ascii="Times New Roman" w:hAnsi="Times New Roman"/>
          <w:sz w:val="20"/>
          <w:shd w:fill="FFFFFF" w:val="clear"/>
        </w:rPr>
        <w:t>three</w:t>
      </w:r>
      <w:r>
        <w:rPr>
          <w:rFonts w:ascii="Times New Roman" w:hAnsi="Times New Roman"/>
          <w:sz w:val="20"/>
          <w:shd w:fill="FFFFFF" w:val="clear"/>
        </w:rPr>
        <w:t xml:space="preserve"> and </w:t>
      </w:r>
      <w:r>
        <w:rPr>
          <w:rStyle w:val="Emphasis"/>
          <w:rFonts w:ascii="Times New Roman" w:hAnsi="Times New Roman"/>
          <w:sz w:val="20"/>
          <w:shd w:fill="FFFFFF" w:val="clear"/>
        </w:rPr>
        <w:t>six</w:t>
      </w:r>
      <w:r>
        <w:rPr>
          <w:rFonts w:ascii="Times New Roman" w:hAnsi="Times New Roman"/>
          <w:sz w:val="20"/>
          <w:shd w:fill="FFFFFF" w:val="clear"/>
        </w:rPr>
        <w:t xml:space="preserve"> months ended </w:t>
      </w:r>
      <w:r>
        <w:rPr>
          <w:rStyle w:val="Emphasis"/>
          <w:rFonts w:ascii="Times New Roman" w:hAnsi="Times New Roman"/>
          <w:sz w:val="20"/>
          <w:shd w:fill="FFFFFF" w:val="clear"/>
        </w:rPr>
        <w:t>June 30, 2023. </w:t>
      </w:r>
      <w:r>
        <w:rPr>
          <w:rFonts w:ascii="Times New Roman" w:hAnsi="Times New Roman"/>
          <w:sz w:val="20"/>
          <w:shd w:fill="FFFFFF" w:val="clear"/>
        </w:rPr>
        <w:t xml:space="preserve">As of </w:t>
      </w:r>
      <w:r>
        <w:rPr>
          <w:rStyle w:val="Emphasis"/>
          <w:rFonts w:ascii="Times New Roman" w:hAnsi="Times New Roman"/>
          <w:sz w:val="20"/>
          <w:shd w:fill="FFFFFF" w:val="clear"/>
        </w:rPr>
        <w:t xml:space="preserve">June 30, 2023, </w:t>
      </w:r>
      <w:r>
        <w:rPr>
          <w:rFonts w:ascii="Times New Roman" w:hAnsi="Times New Roman"/>
          <w:sz w:val="20"/>
          <w:shd w:fill="FFFFFF" w:val="clear"/>
        </w:rPr>
        <w:t>the Company had accrued severance expense recorded within accounts payable and accrued expenses of approximately $0.8 million in connection with the Pascoe Transition Agreement.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addition, on </w:t>
      </w:r>
      <w:r>
        <w:rPr>
          <w:rStyle w:val="Emphasis"/>
          <w:rFonts w:ascii="Times New Roman;Times;serif" w:hAnsi="Times New Roman;Times;serif"/>
          <w:sz w:val="20"/>
        </w:rPr>
        <w:t xml:space="preserve">May 3, 2023, </w:t>
      </w:r>
      <w:r>
        <w:rPr>
          <w:rFonts w:ascii="Times New Roman;Times;serif" w:hAnsi="Times New Roman;Times;serif"/>
          <w:sz w:val="20"/>
        </w:rPr>
        <w:t>Matthew R. Plooster and Joseph B. Saluri indicated to the Board of Directors that they do </w:t>
      </w:r>
      <w:r>
        <w:rPr>
          <w:rStyle w:val="Emphasis"/>
          <w:rFonts w:ascii="Times New Roman;Times;serif" w:hAnsi="Times New Roman;Times;serif"/>
          <w:sz w:val="20"/>
        </w:rPr>
        <w:t>not</w:t>
      </w:r>
      <w:r>
        <w:rPr>
          <w:rFonts w:ascii="Times New Roman;Times;serif" w:hAnsi="Times New Roman;Times;serif"/>
          <w:sz w:val="20"/>
        </w:rPr>
        <w:t xml:space="preserve"> intend to stand for re-election at the Company's </w:t>
      </w:r>
      <w:r>
        <w:rPr>
          <w:rStyle w:val="Emphasis"/>
          <w:rFonts w:ascii="Times New Roman;Times;serif" w:hAnsi="Times New Roman;Times;serif"/>
          <w:sz w:val="20"/>
        </w:rPr>
        <w:t>2024</w:t>
      </w:r>
      <w:r>
        <w:rPr>
          <w:rFonts w:ascii="Times New Roman;Times;serif" w:hAnsi="Times New Roman;Times;serif"/>
          <w:sz w:val="20"/>
        </w:rPr>
        <w:t xml:space="preserve"> Annual Meeting of Stockholders, and that they intend to step down from the Board of Directors as soon as replacements are found. In </w:t>
      </w:r>
      <w:r>
        <w:rPr>
          <w:rStyle w:val="Emphasis"/>
          <w:rFonts w:ascii="Times New Roman;Times;serif" w:hAnsi="Times New Roman;Times;serif"/>
          <w:sz w:val="20"/>
        </w:rPr>
        <w:t xml:space="preserve">May 2023, </w:t>
      </w:r>
      <w:r>
        <w:rPr>
          <w:rFonts w:ascii="Times New Roman;Times;serif" w:hAnsi="Times New Roman;Times;serif"/>
          <w:sz w:val="20"/>
        </w:rPr>
        <w:t xml:space="preserve">the Board of Directors appointed Christal M. M. Mickle, Co-Founder and Chief Development Officer, to serve as interim President and Chief Executive Officer effective on </w:t>
      </w:r>
      <w:r>
        <w:rPr>
          <w:rStyle w:val="Emphasis"/>
          <w:rFonts w:ascii="Times New Roman;Times;serif" w:hAnsi="Times New Roman;Times;serif"/>
          <w:sz w:val="20"/>
        </w:rPr>
        <w:t xml:space="preserve">June 1, 2023.  </w:t>
      </w:r>
      <w:r>
        <w:rPr>
          <w:rFonts w:ascii="Times New Roman;Times;serif" w:hAnsi="Times New Roman;Times;serif"/>
          <w:sz w:val="20"/>
        </w:rPr>
        <w:t xml:space="preserve">On </w:t>
      </w:r>
      <w:r>
        <w:rPr>
          <w:rStyle w:val="Emphasis"/>
          <w:rFonts w:ascii="Times New Roman;Times;serif" w:hAnsi="Times New Roman;Times;serif"/>
          <w:sz w:val="20"/>
        </w:rPr>
        <w:t xml:space="preserve">August 7, 2023, </w:t>
      </w:r>
      <w:r>
        <w:rPr>
          <w:rFonts w:ascii="Times New Roman;Times;serif" w:hAnsi="Times New Roman;Times;serif"/>
          <w:sz w:val="20"/>
        </w:rPr>
        <w:t xml:space="preserve">the Board of Directors appointed Thomas Anderson as a Class III director, with a term expiring at the Company's annual meeting of stockholders to be held in </w:t>
      </w:r>
      <w:r>
        <w:rPr>
          <w:rStyle w:val="Emphasis"/>
          <w:rFonts w:ascii="Times New Roman;Times;serif" w:hAnsi="Times New Roman;Times;serif"/>
          <w:sz w:val="20"/>
        </w:rPr>
        <w:t>2024</w:t>
      </w:r>
      <w:r>
        <w:rPr>
          <w:rFonts w:ascii="Times New Roman;Times;serif" w:hAnsi="Times New Roman;Times;serif"/>
          <w:sz w:val="20"/>
        </w:rPr>
        <w:t xml:space="preserve"> or until his earlier death, resignation, or removal. On </w:t>
      </w:r>
      <w:r>
        <w:rPr>
          <w:rStyle w:val="Emphasis"/>
          <w:rFonts w:ascii="Times New Roman;Times;serif" w:hAnsi="Times New Roman;Times;serif"/>
          <w:sz w:val="20"/>
        </w:rPr>
        <w:t xml:space="preserve">August 7, 2023, </w:t>
      </w:r>
      <w:r>
        <w:rPr>
          <w:rFonts w:ascii="Times New Roman;Times;serif" w:hAnsi="Times New Roman;Times;serif"/>
          <w:sz w:val="20"/>
        </w:rPr>
        <w:t>Mr. Plooster resigned from the Board of Directors effective immediately after Mr. Anderson's appointment. The Board is currently conducting a search to identify a new Chief Executive Officer, as well as a new Board member to replace Mr. Saluri.</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215" w:type="dxa"/>
        <w:jc w:val="left"/>
        <w:tblInd w:w="0" w:type="dxa"/>
        <w:tblLayout w:type="fixed"/>
        <w:tblCellMar>
          <w:top w:w="0" w:type="dxa"/>
          <w:left w:w="0" w:type="dxa"/>
          <w:bottom w:w="0" w:type="dxa"/>
          <w:right w:w="0" w:type="dxa"/>
        </w:tblCellMar>
      </w:tblPr>
      <w:tblGrid>
        <w:gridCol w:w="260"/>
        <w:gridCol w:w="1955"/>
      </w:tblGrid>
      <w:tr>
        <w:trPr/>
        <w:tc>
          <w:tcPr>
            <w:tcW w:w="260" w:type="dxa"/>
            <w:tcBorders/>
            <w:vAlign w:val="center"/>
          </w:tcPr>
          <w:p>
            <w:pPr>
              <w:pStyle w:val="TableContents"/>
              <w:bidi w:val="0"/>
              <w:spacing w:before="0" w:after="283"/>
              <w:jc w:val="left"/>
              <w:rPr>
                <w:b/>
              </w:rPr>
            </w:pPr>
            <w:r>
              <w:rPr>
                <w:b/>
              </w:rPr>
              <w:t>K.</w:t>
            </w:r>
          </w:p>
        </w:tc>
        <w:tc>
          <w:tcPr>
            <w:tcW w:w="1955" w:type="dxa"/>
            <w:tcBorders/>
            <w:vAlign w:val="center"/>
          </w:tcPr>
          <w:p>
            <w:pPr>
              <w:pStyle w:val="TableContents"/>
              <w:bidi w:val="0"/>
              <w:spacing w:before="0" w:after="283"/>
              <w:jc w:val="left"/>
              <w:rPr>
                <w:b/>
              </w:rPr>
            </w:pPr>
            <w:r>
              <w:rPr>
                <w:b/>
              </w:rPr>
              <w:t>Subsequent Events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shd w:fill="FFFFFF" w:val="clear"/>
        </w:rPr>
        <w:t xml:space="preserve">The Company evaluated events and transactions occurring subsequent to </w:t>
      </w:r>
      <w:r>
        <w:rPr>
          <w:rStyle w:val="Emphasis"/>
          <w:rFonts w:ascii="Times New Roman;Times;serif" w:hAnsi="Times New Roman;Times;serif"/>
          <w:sz w:val="20"/>
          <w:shd w:fill="FFFFFF" w:val="clear"/>
        </w:rPr>
        <w:t>June 30, 2023, </w:t>
      </w:r>
      <w:r>
        <w:rPr>
          <w:rFonts w:ascii="Times New Roman;Times;serif" w:hAnsi="Times New Roman;Times;serif"/>
          <w:sz w:val="20"/>
          <w:shd w:fill="FFFFFF" w:val="clear"/>
        </w:rPr>
        <w:t xml:space="preserve">through </w:t>
      </w:r>
      <w:r>
        <w:rPr>
          <w:rStyle w:val="Emphasis"/>
          <w:rFonts w:ascii="Times New Roman;Times;serif" w:hAnsi="Times New Roman;Times;serif"/>
          <w:sz w:val="20"/>
          <w:shd w:fill="FFFFFF" w:val="clear"/>
        </w:rPr>
        <w:t xml:space="preserve">August 14, 2023, </w:t>
      </w:r>
      <w:r>
        <w:rPr>
          <w:rFonts w:ascii="Times New Roman;Times;serif" w:hAnsi="Times New Roman;Times;serif"/>
          <w:sz w:val="20"/>
          <w:shd w:fill="FFFFFF" w:val="clear"/>
        </w:rPr>
        <w:t xml:space="preserve">the date the accompanying unaudited condensed consolidated financial statements were issued. During this period, other than the appointment of Mr. Anderson as a Class III director and the resignation of Mr. Plooster from the Board of Directors on </w:t>
      </w:r>
      <w:r>
        <w:rPr>
          <w:rStyle w:val="Emphasis"/>
          <w:rFonts w:ascii="Times New Roman;Times;serif" w:hAnsi="Times New Roman;Times;serif"/>
          <w:sz w:val="20"/>
          <w:shd w:fill="FFFFFF" w:val="clear"/>
        </w:rPr>
        <w:t xml:space="preserve">August 7, 2023, </w:t>
      </w:r>
      <w:r>
        <w:rPr>
          <w:rFonts w:ascii="Times New Roman;Times;serif" w:hAnsi="Times New Roman;Times;serif"/>
          <w:sz w:val="20"/>
          <w:shd w:fill="FFFFFF" w:val="clear"/>
        </w:rPr>
        <w:t xml:space="preserve">as disclosed in Note J, there were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subsequent events that required recognition in the accompanying unaudited condensed consolidated financial statements, nor were there any additional non-recognized subsequent events that required disclosure.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28"/>
        <w:gridCol w:w="9477"/>
      </w:tblGrid>
      <w:tr>
        <w:trPr/>
        <w:tc>
          <w:tcPr>
            <w:tcW w:w="728"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9" w:name="item2"/>
            <w:bookmarkEnd w:id="9"/>
            <w:r>
              <w:rPr>
                <w:rFonts w:ascii="Times New Roman;Times;serif" w:hAnsi="Times New Roman;Times;serif"/>
                <w:b/>
                <w:caps/>
                <w:sz w:val="20"/>
              </w:rPr>
              <w:t>Item 2.</w:t>
            </w:r>
          </w:p>
        </w:tc>
        <w:tc>
          <w:tcPr>
            <w:tcW w:w="9477"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 xml:space="preserve">Management's Discussion and Analysis of Financial Condition and Results of Operations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Part II, Item 1A. "Risk Factors" of this Quarterly Report on Form 10-Q and Part I, Item 1A. “Risk Factors” of our Annual Report on Form 10-K for the fiscal year ended December 31, 2022, filed with the SEC on March 7, 2023, our actual results could differ materially from the results described in or implied by the forward-looking statements contained in the following discussion and analysis.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rare disease company melding science, data and patient need to create transformational therapies for diseases with limited or no treatment options. With unique, data-driven clinical, regulatory, and commercialization strategies, we are overcoming complex drug development challenges to bring much needed therapies to patients. We have a diverse portfolio of products and product candidates, which includes a combination of both a clinical stage pipeline and commercial stage assets. The Company’s pipeline includes arimoclomol, an orally-delivered, first in-class investigational product candidate being developed for Niemann-Pick disease Type C, or NPC, which has been granted orphan drug designation, Fast-Track designation, Breakthrough Therapy designation and rare pediatric disease designation for the treatment of NPC by the U.S. Food and Drug Administration, or FDA, and orphan medicinal product designation for the treatment of NPC by the European Medicines Agency, or EMA. KP1077 is our lead clinical development product candidate which is being developed as a treatment for idiopathic hypersomnia, or IH, a rare neurological sleep disorder, and narcolepsy. KP1077 is comprised solely of serdexmethylphenidate, or SDX, our proprietary prodrug of d-methylphenidate, or d-MPH. The FDA has granted KP1077 orphan drug designation for the treatment of IH, and the U.S. Drug Enforcement Agency, or DEA, has classified SDX as a Schedule IV controlled substance based on evidence suggesting SDX has a lower potential for abuse when compared to d-MPH, a Schedule II controlled substance.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specialized expertise and a track record of success in advancing promising therapies that face complex clinical and regulatory challenges with an approach that balances science and data with patient need. The FDA has approved AZSTARYS®, a once-daily treatment for attention deficit hyperactivity disorder, or ADHD, in patients age six years and older containing our prodrug, SDX, and d-MPH. In September 2019, we entered into a collaboration and license agreement, or the AZSTARYS License Agreement, with Commave Therapeutics S.A. (formerly known as Boston Pharmaceutical S.A.), or Commave, an affiliate of Gurnet Point Capital, L.P. Under the AZSTARYS License Agreement, we granted to Commave an exclusive, worldwide license, to develop, manufacture, and commercialize AZSTARYS and any of our product candidates containing SDX and used to treat ADHD or any other CNS disease. Commave has tasked Corium, Inc., or Corium, an affiliate of Gurnet Point Capital, L.P., to lead all commercialization activities for AZSTARYS in the U.S. under the AZSTARYS License Agreement. Corium commercially launched AZSTARYS in the U.S. during the third quarter of 2021. In December 2021, Commave sublicensed commercialization rights for AZSTARYS in greater China to Shanghai Ark Biopharmaceutical Ltd. Year-to-date net sales of AZSTARYS surpassed $25 million, triggering the first net sales milestone payment of $5 million, which was earned and recognized in revenue in the second quarter of 2023, and received after quarter-end. Net sales trend supports the potential to earn a second net sales milestone during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has also approved APADAZ®, an immediate-release combination product containing benzhydrocodone, our prodrug of hydrocodone, and acetaminophen, for the short-term (no more than 14 days) management of acute pain severe enough to require opioid analgesic and for which alternative treatments are inadequate. In October 2018, we entered into a collaboration and license agreement, or the APADAZ License Agreement, with KVK-Tech, Inc., or KVK, under which we granted to KVK the exclusive license to manufacture and commercialize APADAZ in the U.S. On May 31, 2023, the Company and KVK terminated the APADAZ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mission is to deliver life-changing treatments to people with rare conditions, their families, and caregivers who desperately need better options. This mission guides our efforts to expand our pipeline through both internal development and through our business development activities to collaborate, partner, and potentially acquire additional assets. We intend to target assets that will allow us to leverage the expertise and infrastructure that we have successfully built in order to mitigate risk and enhance our probability of success. In addition, we are considering external opportunities within neurology and neurodegenerative diseases, psychiatric disorders, and other rare diseases, along with adjacent or related therapeutic categories. We are seeking assets that are undergoing Phase 2 clinical trials or Phase 3 clinical trials, subject to our specific evaluation criteria, that we can in-license or acquire. If we are successful, expanding our development pipeline could be accretive to our value proposition by potentially adding new clinical data catalysts and have the potential to create incremental long-term value for stockholders. In addition, we believe that a multi-channel development program with several product candidates addressing various rare disease indications will diversify risk and potentially create an impactful portfolio of commercial-stage products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example, in May 2022, we, through our newly formed wholly-owned subsidiary, Zevra Denmark A/S (formerly known as KemPharm Denmark A/S prior to February 21, 2023, or Zevra DK), entered into an Asset Purchase Agreement, or the Arimoclomol Purchase Agreement, with Orphazyme A/S </w:t>
      </w:r>
      <w:r>
        <w:rPr>
          <w:rFonts w:ascii="Times New Roman" w:hAnsi="Times New Roman"/>
          <w:caps w:val="false"/>
          <w:smallCaps w:val="false"/>
          <w:sz w:val="20"/>
          <w:shd w:fill="FFFFFF" w:val="clear"/>
        </w:rPr>
        <w:t>in restructuring,</w:t>
      </w:r>
      <w:r>
        <w:rPr>
          <w:rFonts w:ascii="Times New Roman" w:hAnsi="Times New Roman"/>
          <w:caps w:val="false"/>
          <w:smallCaps w:val="false"/>
          <w:sz w:val="20"/>
        </w:rPr>
        <w:t xml:space="preserve"> a Danish public limited liability company, or Orphazyme. The transactions agreed to under the Arimoclomol Purchase Agreement closed on May 31, 2022. Under the terms of the Arimoclomol Purchase Agreement, Zevra DK purchased all of the assets and operations of Orphazyme related to arimoclomol and settled all of Orphazyme’s actual outstanding liabilities to its creditors with a cash payment of $12.8 million. In addition, Zevra DK agreed to assume an estimated reserve liability of $5.2 million related to revenue generated from Orphazyme’s Early Access Program in France, or the Arimoclomol EAP.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most advanced product candidate, arimoclomol, is being developed for the treatment of NPC, a lysosomal storage disorder, or LSD. NPC is a rare neurodegenerative disease characterized by an inability of the body to transport cholesterol and lipids inside of cells. Symptoms of NPC include a progressive impairment of mobility, cognition, speech, and swallowing, often culminating in premature death. The incidence of NPC is estimated to be one in 100,000 live births. We estimate that approximately 1,500 individuals have been diagnosed, of which approximately 300 are in the United States and approximately 1,200 are in Europe. However, diagnostic challenges may affect the number of potential patients, and we believe that the availability of treatment options could increase awareness of the disease and assist in identifying more cases. Therapies to treat NPC are desperately needed, and for this reason, arimoclomol is currently being made available to NPC patients in the United States, France, Germany, and other European Union countries under various early access programs, or EAPs.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16, 2020, the previous sponsor of the arimoclomol program, Orphazyme, submitted a new drug application, or NDA, seeking approval for arimoclomol to treat NPC. In June 2021, the FDA issued a complete response letter, or CRL, which means the FDA determined that it could not approve the NDA in its present form. Our aim is to prepare and resubmit an NDA that presents meaningful evidence of safety and efficacy of arimoclomol for its intended use. To that end, we are continuing to work diligently to characterize the substantial data generated since the CRL, including the recently completed four-year open-label safety trial which was recently presented at the 19th World</w:t>
      </w:r>
      <w:r>
        <w:rPr>
          <w:rFonts w:ascii="Times New Roman" w:hAnsi="Times New Roman"/>
          <w:i/>
          <w:caps w:val="false"/>
          <w:smallCaps w:val="false"/>
          <w:sz w:val="20"/>
        </w:rPr>
        <w:t>Symposium</w:t>
      </w:r>
      <w:r>
        <w:rPr>
          <w:rFonts w:ascii="Times New Roman" w:hAnsi="Times New Roman"/>
          <w:smallCaps/>
          <w:position w:val="-2"/>
          <w:sz w:val="16"/>
          <w:sz w:val="20"/>
        </w:rPr>
        <w:t>TM</w:t>
      </w:r>
      <w:r>
        <w:rPr>
          <w:rFonts w:ascii="Times New Roman" w:hAnsi="Times New Roman"/>
          <w:caps w:val="false"/>
          <w:smallCaps w:val="false"/>
          <w:sz w:val="20"/>
        </w:rPr>
        <w:t xml:space="preserve"> in February 2023. Results from this analysis, based on up to four years of continuous treatment, suggest that arimoclomol may reduce the long-term progression of NPC. Upon fulfilling the randomized double-blinded portion of the phase 2/3 clinical trial, both placebo- and arimoclomol-treated patients were given the option to continue into the four-year (48 month) open-label-extension, or OLE, phase of the study with arimoclomol treatment provided in addition to their current standard of care. Progression of NPC disease through the DB and OLE phases was assessed utilizing the five-domain NPC Clinical Severity Scale (5DNPCCSS) and compared with an estimated progression calculated from the combination of untreated patients from the NPC-001 observational trial and placebo patients from the NPC-002 Phase 2/3 trial. We are also investigating correlations between relevant 5DNPCCSS domains and corresponding Scale for the Assessment and Rating of Ataxia, or SARA, test items to potentially provide further supportive evidence for 5DNPCCSS validity as a tool for evaluating NPC progression. The SARA test evaluates impairment related to cerebellar ataxia, which was a secondary endpoint in the Phase 2/3 clinical trial of arimoclomol in NPC (NPC progression based on the 5DNPCCSS was the primary endpoint). Based on a comparative analysis of both measurements, it was determined that individual 5DNPCCSS domains and relevant performance-based SARA test items showed strong associations and alignment between the two instruments for all analysis methods used. These results provide further support that the evaluated 5DNPCCSS domains are appropriately standardized to allow for reliable and reproducible scoring of disease severity in NPC. In preparation of the arimoclomol NDA, we completed a productive and collaborative pre-submission meeting with the FDA in August 2023, receiving important information that will be used to finalize the NDA for resubmission. We plan to include these data as part of the updated NDA package for arimoclomol, which is anticipated to be submitted in the fourth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intend to advance our pipeline of prodrug product candidates for the treatment of IH and other CNS/rare diseases, and we reported top-line data from a Phase 1 proof-of-concept study of SDX in the fourth quarter of 2021 and final data for the Phase 1 proof-of-concept study of SDX in the first quarter of 2022. The proof-of-concept study was a dose-escalation study to evaluate the pharmacokinetics, pharmacodynamic stimulant effects, and safety of single oral doses of SDX in subjects with a history of high-dose stimulant use. In the trial, 240 mg and 360 mg doses of SDX were observed to be well-tolerated and produced d-MPH exposure that appeared to increase proportionally with dose. Mean d-MPH plasma concentrations showed a gradual increase after SDX administration, reaching a broad peak from eight to twelve hours post-dose, followed by a shallow decline thereafter. Increased wakefulness, alertness, hypervigilance, and insomnia effects were reported by study participants, which we believe suggests that SDX produced targeted pharmacodynamic effects that have the potential to benefit patients with IH and other sleep disorders. On November 18, 2022, we announced that the FDA has granted the Orphan Drug Designation to SDX for the treatment of IH.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2022, we announced that we have selected KP1077 for the treatment of IH and narcolepsy as our lead clinical development candidate. KP1077 utilizes SDX, our prodrug of d-MPH, as its active pharmaceutical ingredient. During the first quarter of 2022, we initiated a Phase 1 clinical trial comparing the cardiovascular safety of SDX to immediate-release and long-acting formulations of RITALIN®, a commonly prescribed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 Based on the data, we have identified initial dosing strengths for the planned Phase 2 clinical trial of KP1077 which we believe have the potential to be well-tolerated while providing higher overall exposures to d-MPH compared to other methylphenidate products that are often used off-label as a treatment for IH. In addition, on December 21, 2022, we announced the initiation of a Phase 2 clinical trial evaluating KP1077. The Phase 2 clinical trial is actively enrolling 48 adult patients at more than 30 sites in the U.S. Part 1 of the trial will consist of a five-week open-label titration phase during which patients will be optimized to one of four doses of SDX (80, 160, 240, or 320 mg/day). Part 2 of the trial will entail a two-week randomized, double-blind, withdrawal phase, during which two-thirds of the trial participants will continue to receive their optimized dose while the remaining one-third will receive placebo. Participants will be further assigned into two evenly divided cohorts. The first cohort will receive a single daily dose just before bedtime, and the second cohort will receive half the daily dose shortly after awakening and half the daily dose prior to bed</w:t>
      </w:r>
      <w:r>
        <w:rPr>
          <w:rFonts w:ascii="Times New Roman" w:hAnsi="Times New Roman"/>
          <w:caps w:val="false"/>
          <w:smallCaps w:val="false"/>
          <w:sz w:val="20"/>
          <w:shd w:fill="FFFFFF" w:val="clear"/>
        </w:rPr>
        <w:t>time. In June 2023, we presented the Phase 2 clinical trial design evaluating KP1077 as a treatment for IH at a medical conference. Interim Phase 2 data for the open-label titration phase of the trial are expected by the end of the third quarter of 2023. Topline Phase 2 data in IH is expected to be reported in the first half of 2024 based on the pace of enrollment. In the second quarter of 2023, we initiated a Phase 1 clinical trial in narcolepsy, which is currently enrolling. </w:t>
      </w:r>
      <w:r>
        <w:rPr>
          <w:rFonts w:ascii="Times New Roman" w:hAnsi="Times New Roman"/>
          <w:caps w:val="false"/>
          <w:smallCaps w:val="false"/>
          <w:sz w:val="20"/>
        </w:rPr>
        <w:t>By leveraging the data from the IH program and the existing data set generated as part of the AZSTARYS development program for serdexmethylphenidate (SDX), the sole active pharmaceutical ingredient in KP1077, Zevra can potentially initiate a pivotal Phase 3 trial in narcolepsy sometime next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sz w:val="20"/>
        </w:rPr>
      </w:pPr>
      <w:r>
        <w:rPr>
          <w:sz w:val="20"/>
        </w:rPr>
        <w:t xml:space="preserve">In May 2021, we announced that SDX, our proprietary prodrug of d-MPH and the primary active pharmaceutical ingredient, or API, in AZSTARYS, was classified as a Schedule IV controlled substance by the DEA. AZSTARYS is classified as a Schedule II controlled substance as its formulation includes a 70:30 mixture of SDX (Schedule IV) and d-MPH (Schedule II), respectively.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Product Candidates and Approved Products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employed our proprietary LAT platform technology to create a portfolio of approved products that we believe will offer, and product candidates that we believe have the potential to offer, significant improvements over currently available FDA-approved drugs.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selection of our product candidates and approved products are summarized in the table below:</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Selected Zevra Partnered and Other Development Assets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3208"/>
        <w:gridCol w:w="80"/>
        <w:gridCol w:w="1743"/>
        <w:gridCol w:w="80"/>
        <w:gridCol w:w="1970"/>
        <w:gridCol w:w="80"/>
        <w:gridCol w:w="3044"/>
      </w:tblGrid>
      <w:tr>
        <w:trPr/>
        <w:tc>
          <w:tcPr>
            <w:tcW w:w="3208" w:type="dxa"/>
            <w:tcBorders>
              <w:bottom w:val="single" w:sz="2" w:space="0" w:color="000000"/>
            </w:tcBorders>
            <w:shd w:fill="FFFFFF" w:val="clear"/>
            <w:vAlign w:val="center"/>
          </w:tcPr>
          <w:p>
            <w:pPr>
              <w:pStyle w:val="TableContents"/>
              <w:bidi w:val="0"/>
              <w:spacing w:before="0" w:after="0"/>
              <w:ind w:left="180" w:right="0" w:hanging="0"/>
              <w:jc w:val="left"/>
              <w:rPr>
                <w:rFonts w:ascii="Times New Roman;Times;serif" w:hAnsi="Times New Roman;Times;serif"/>
                <w:b/>
                <w:sz w:val="20"/>
              </w:rPr>
            </w:pPr>
            <w:r>
              <w:rPr>
                <w:rFonts w:ascii="Times New Roman;Times;serif" w:hAnsi="Times New Roman;Times;serif"/>
                <w:b/>
                <w:sz w:val="20"/>
              </w:rPr>
              <w:t>Parent Drug (Effect Profile) - Indication</w:t>
            </w:r>
          </w:p>
        </w:tc>
        <w:tc>
          <w:tcPr>
            <w:tcW w:w="80" w:type="dxa"/>
            <w:tcBorders/>
            <w:shd w:fill="FFFFFF" w:val="clear"/>
            <w:tcMar>
              <w:bottom w:w="0" w:type="dxa"/>
            </w:tcMar>
            <w:vAlign w:val="center"/>
          </w:tcPr>
          <w:p>
            <w:pPr>
              <w:pStyle w:val="TableContents"/>
              <w:bidi w:val="0"/>
              <w:spacing w:before="0" w:after="283"/>
              <w:jc w:val="left"/>
              <w:rPr/>
            </w:pPr>
            <w:r>
              <w:rPr/>
              <w:t> </w:t>
            </w:r>
          </w:p>
        </w:tc>
        <w:tc>
          <w:tcPr>
            <w:tcW w:w="1743"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Product Candidate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7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Development Status</w:t>
            </w:r>
          </w:p>
        </w:tc>
        <w:tc>
          <w:tcPr>
            <w:tcW w:w="80" w:type="dxa"/>
            <w:tcBorders/>
            <w:shd w:fill="FFFFFF" w:val="clear"/>
            <w:tcMar>
              <w:bottom w:w="0" w:type="dxa"/>
            </w:tcMar>
            <w:vAlign w:val="center"/>
          </w:tcPr>
          <w:p>
            <w:pPr>
              <w:pStyle w:val="TableContents"/>
              <w:bidi w:val="0"/>
              <w:spacing w:before="0" w:after="283"/>
              <w:jc w:val="left"/>
              <w:rPr/>
            </w:pPr>
            <w:r>
              <w:rPr/>
              <w:t> </w:t>
            </w:r>
          </w:p>
        </w:tc>
        <w:tc>
          <w:tcPr>
            <w:tcW w:w="3044"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Next Milestone(s)</w:t>
            </w:r>
          </w:p>
        </w:tc>
      </w:tr>
      <w:tr>
        <w:trPr/>
        <w:tc>
          <w:tcPr>
            <w:tcW w:w="320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Arimoclomol (ER) - NPC</w:t>
            </w:r>
          </w:p>
        </w:tc>
        <w:tc>
          <w:tcPr>
            <w:tcW w:w="80" w:type="dxa"/>
            <w:tcBorders/>
            <w:shd w:fill="CCEEFF" w:val="clear"/>
            <w:tcMar>
              <w:bottom w:w="0" w:type="dxa"/>
            </w:tcMar>
            <w:vAlign w:val="center"/>
          </w:tcPr>
          <w:p>
            <w:pPr>
              <w:pStyle w:val="TableContents"/>
              <w:bidi w:val="0"/>
              <w:spacing w:before="0" w:after="283"/>
              <w:jc w:val="left"/>
              <w:rPr/>
            </w:pPr>
            <w:r>
              <w:rPr/>
              <w:t> </w:t>
            </w:r>
          </w:p>
        </w:tc>
        <w:tc>
          <w:tcPr>
            <w:tcW w:w="17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Arimoclomol</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NDA Preparation</w:t>
            </w:r>
          </w:p>
        </w:tc>
        <w:tc>
          <w:tcPr>
            <w:tcW w:w="80" w:type="dxa"/>
            <w:tcBorders/>
            <w:shd w:fill="CCEEFF" w:val="clear"/>
            <w:tcMar>
              <w:bottom w:w="0" w:type="dxa"/>
            </w:tcMar>
            <w:vAlign w:val="center"/>
          </w:tcPr>
          <w:p>
            <w:pPr>
              <w:pStyle w:val="TableContents"/>
              <w:bidi w:val="0"/>
              <w:spacing w:before="0" w:after="283"/>
              <w:jc w:val="left"/>
              <w:rPr/>
            </w:pPr>
            <w:r>
              <w:rPr/>
              <w:t> </w:t>
            </w:r>
          </w:p>
        </w:tc>
        <w:tc>
          <w:tcPr>
            <w:tcW w:w="3044"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NDA expected to be resubmitted in Q4 2023</w:t>
            </w:r>
          </w:p>
        </w:tc>
      </w:tr>
      <w:tr>
        <w:trPr/>
        <w:tc>
          <w:tcPr>
            <w:tcW w:w="320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Methylphenidate (ER) - IH</w:t>
            </w:r>
          </w:p>
        </w:tc>
        <w:tc>
          <w:tcPr>
            <w:tcW w:w="80" w:type="dxa"/>
            <w:tcBorders/>
            <w:shd w:fill="FFFFFF" w:val="clear"/>
            <w:tcMar>
              <w:bottom w:w="0" w:type="dxa"/>
            </w:tcMar>
            <w:vAlign w:val="center"/>
          </w:tcPr>
          <w:p>
            <w:pPr>
              <w:pStyle w:val="TableContents"/>
              <w:bidi w:val="0"/>
              <w:spacing w:before="0" w:after="283"/>
              <w:jc w:val="left"/>
              <w:rPr/>
            </w:pPr>
            <w:r>
              <w:rPr/>
              <w:t> </w:t>
            </w:r>
          </w:p>
        </w:tc>
        <w:tc>
          <w:tcPr>
            <w:tcW w:w="17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KP1077IH*</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Clinical - Phase 2</w:t>
            </w:r>
          </w:p>
        </w:tc>
        <w:tc>
          <w:tcPr>
            <w:tcW w:w="80" w:type="dxa"/>
            <w:tcBorders/>
            <w:shd w:fill="FFFFFF" w:val="clear"/>
            <w:tcMar>
              <w:bottom w:w="0" w:type="dxa"/>
            </w:tcMar>
            <w:vAlign w:val="center"/>
          </w:tcPr>
          <w:p>
            <w:pPr>
              <w:pStyle w:val="TableContents"/>
              <w:bidi w:val="0"/>
              <w:spacing w:before="0" w:after="283"/>
              <w:jc w:val="left"/>
              <w:rPr/>
            </w:pPr>
            <w:r>
              <w:rPr/>
              <w:t> </w:t>
            </w:r>
          </w:p>
        </w:tc>
        <w:tc>
          <w:tcPr>
            <w:tcW w:w="3044"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Interim Phase 2 data - expected by end of Q3 2023</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Top-line Phase 2 data - expected first half of 2024</w:t>
            </w:r>
          </w:p>
        </w:tc>
      </w:tr>
      <w:tr>
        <w:trPr/>
        <w:tc>
          <w:tcPr>
            <w:tcW w:w="320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Methylphenidate (ER) - Narcolepsy Types I and II</w:t>
            </w:r>
          </w:p>
        </w:tc>
        <w:tc>
          <w:tcPr>
            <w:tcW w:w="80" w:type="dxa"/>
            <w:tcBorders/>
            <w:shd w:fill="CCEEFF" w:val="clear"/>
            <w:tcMar>
              <w:bottom w:w="0" w:type="dxa"/>
            </w:tcMar>
            <w:vAlign w:val="center"/>
          </w:tcPr>
          <w:p>
            <w:pPr>
              <w:pStyle w:val="TableContents"/>
              <w:bidi w:val="0"/>
              <w:spacing w:before="0" w:after="0"/>
              <w:jc w:val="left"/>
              <w:rPr/>
            </w:pPr>
            <w:r>
              <w:rPr/>
              <w:t> </w:t>
            </w:r>
          </w:p>
        </w:tc>
        <w:tc>
          <w:tcPr>
            <w:tcW w:w="1743"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KP1077N*</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197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Clinical - Phase 1/2</w:t>
            </w:r>
          </w:p>
        </w:tc>
        <w:tc>
          <w:tcPr>
            <w:tcW w:w="80" w:type="dxa"/>
            <w:tcBorders/>
            <w:shd w:fill="CCEEFF" w:val="clear"/>
            <w:tcMar>
              <w:bottom w:w="0" w:type="dxa"/>
            </w:tcMar>
            <w:vAlign w:val="center"/>
          </w:tcPr>
          <w:p>
            <w:pPr>
              <w:pStyle w:val="TableContents"/>
              <w:bidi w:val="0"/>
              <w:spacing w:before="0" w:after="0"/>
              <w:ind w:left="0" w:right="0" w:hanging="0"/>
              <w:jc w:val="left"/>
              <w:rPr/>
            </w:pPr>
            <w:r>
              <w:rPr/>
              <w:t> </w:t>
            </w:r>
          </w:p>
        </w:tc>
        <w:tc>
          <w:tcPr>
            <w:tcW w:w="3044" w:type="dxa"/>
            <w:tcBorders/>
            <w:shd w:fill="CCEE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Phase 1 Trial - initiated during Q2 2023</w:t>
            </w:r>
          </w:p>
        </w:tc>
      </w:tr>
      <w:tr>
        <w:trPr/>
        <w:tc>
          <w:tcPr>
            <w:tcW w:w="320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Methylphenidate (ER) - ADHD</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1743"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AZSTARYS</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19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FDA Approved/Partnered</w:t>
            </w:r>
          </w:p>
        </w:tc>
        <w:tc>
          <w:tcPr>
            <w:tcW w:w="80" w:type="dxa"/>
            <w:tcBorders/>
            <w:shd w:fill="FFFFFF" w:val="clear"/>
            <w:tcMar>
              <w:bottom w:w="0" w:type="dxa"/>
            </w:tcMar>
            <w:vAlign w:val="center"/>
          </w:tcPr>
          <w:p>
            <w:pPr>
              <w:pStyle w:val="TableContents"/>
              <w:bidi w:val="0"/>
              <w:spacing w:before="0" w:after="0"/>
              <w:ind w:left="0" w:right="0" w:hanging="0"/>
              <w:jc w:val="left"/>
              <w:rPr/>
            </w:pPr>
            <w:r>
              <w:rPr/>
              <w:t> </w:t>
            </w:r>
          </w:p>
        </w:tc>
        <w:tc>
          <w:tcPr>
            <w:tcW w:w="3044" w:type="dxa"/>
            <w:tcBorders/>
            <w:shd w:fill="FFFFFF" w:val="clear"/>
            <w:tcMar>
              <w:bottom w:w="0" w:type="dxa"/>
            </w:tcM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Tracking TRx's</w:t>
            </w:r>
          </w:p>
        </w:tc>
      </w:tr>
      <w:tr>
        <w:trPr/>
        <w:tc>
          <w:tcPr>
            <w:tcW w:w="3208"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743" w:type="dxa"/>
            <w:tcBorders/>
            <w:shd w:fill="CCEEFF" w:val="clear"/>
            <w:tcMar>
              <w:bottom w:w="0" w:type="dxa"/>
            </w:tcMar>
            <w:vAlign w:val="center"/>
          </w:tcPr>
          <w:p>
            <w:pPr>
              <w:pStyle w:val="TableContents"/>
              <w:bidi w:val="0"/>
              <w:spacing w:before="0" w:after="283"/>
              <w:jc w:val="center"/>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97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3044"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0205" w:type="dxa"/>
            <w:gridSpan w:val="7"/>
            <w:tcBorders/>
            <w:shd w:fill="FFFFFF" w:val="clear"/>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This product candidate is subject to a right of first negotiation upon completion of a Phase 1 proof-of-concept study in favor of Commave under the terms of the AZSTARYS License Agreement, but is not currently licensed to Commave, thereunder.</w:t>
            </w:r>
          </w:p>
        </w:tc>
      </w:tr>
      <w:tr>
        <w:trPr/>
        <w:tc>
          <w:tcPr>
            <w:tcW w:w="10205" w:type="dxa"/>
            <w:gridSpan w:val="7"/>
            <w:tcBorders/>
            <w:shd w:fill="CCEEFF" w:val="clear"/>
            <w:tcMar>
              <w:bottom w:w="0" w:type="dxa"/>
            </w:tcMar>
            <w:vAlign w:val="center"/>
          </w:tcPr>
          <w:p>
            <w:pPr>
              <w:pStyle w:val="TableContents"/>
              <w:bidi w:val="0"/>
              <w:spacing w:before="0" w:after="0"/>
              <w:ind w:left="0" w:right="0" w:hanging="0"/>
              <w:jc w:val="both"/>
              <w:rPr/>
            </w:pPr>
            <w:r>
              <w:rPr/>
              <w:t> </w:t>
            </w:r>
          </w:p>
        </w:tc>
      </w:tr>
      <w:tr>
        <w:trPr/>
        <w:tc>
          <w:tcPr>
            <w:tcW w:w="10205" w:type="dxa"/>
            <w:gridSpan w:val="7"/>
            <w:tcBorders/>
            <w:shd w:fill="FFFFFF" w:val="clear"/>
            <w:tcMar>
              <w:bottom w:w="0" w:type="dxa"/>
            </w:tcMar>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of our Annual Report on Form 10-K for the fiscal year ended December 31, 2022, filed with the SEC on March 7, 2023, as updated by Part II, Item 1A. “Risk Factors” of this Quarterly Report on Form 10-Q.</w:t>
            </w:r>
          </w:p>
        </w:tc>
      </w:tr>
    </w:tbl>
    <w:p>
      <w:pPr>
        <w:pStyle w:val="TextBody"/>
        <w:bidi w:val="0"/>
        <w:spacing w:before="0" w:after="0"/>
        <w:ind w:left="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Other Third-Party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our March 2012 termination agreement with Aquestive, Aquestive has the right to receive a royalty amount equal to 10% of any value generated by AZSTARYS and any product candidates containing SDX.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were entitled to receive payments from Corium of up to $15.6 million, $13.6 million of which was paid in quarterly installments through March 31, 2022. The remaining $2.0 million was conditioned upon the approval by the FDA of the NDA for Corium's product candidate, ADLARITY. This $2.0 million was earned in the first quarter of 2022. Corium also agreed to be responsible for and reimburse us for all development, commercialization and regulatory expenses incurred as part of the performance of the consulting services. The Corium Consulting Agreement expired on March 31,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2023 and 2022(in thousands):</w:t>
      </w:r>
    </w:p>
    <w:p>
      <w:pPr>
        <w:pStyle w:val="TextBody"/>
        <w:bidi w:val="0"/>
        <w:spacing w:before="0" w:after="0"/>
        <w:jc w:val="left"/>
        <w:rPr/>
      </w:pPr>
      <w:r>
        <w:rPr/>
        <w:t xml:space="preserve">  </w:t>
      </w:r>
    </w:p>
    <w:tbl>
      <w:tblPr>
        <w:tblW w:w="9186" w:type="dxa"/>
        <w:jc w:val="left"/>
        <w:tblInd w:w="0" w:type="dxa"/>
        <w:tblLayout w:type="fixed"/>
        <w:tblCellMar>
          <w:top w:w="0" w:type="dxa"/>
          <w:left w:w="0" w:type="dxa"/>
          <w:bottom w:w="0" w:type="dxa"/>
          <w:right w:w="0" w:type="dxa"/>
        </w:tblCellMar>
      </w:tblPr>
      <w:tblGrid>
        <w:gridCol w:w="5150"/>
        <w:gridCol w:w="60"/>
        <w:gridCol w:w="190"/>
        <w:gridCol w:w="897"/>
        <w:gridCol w:w="121"/>
        <w:gridCol w:w="91"/>
        <w:gridCol w:w="190"/>
        <w:gridCol w:w="988"/>
        <w:gridCol w:w="80"/>
        <w:gridCol w:w="60"/>
        <w:gridCol w:w="205"/>
        <w:gridCol w:w="1074"/>
        <w:gridCol w:w="80"/>
      </w:tblGrid>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Period-to-</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 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8,470</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7,170</w:t>
            </w:r>
          </w:p>
        </w:tc>
        <w:tc>
          <w:tcPr>
            <w:tcW w:w="8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revenue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677</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626</w:t>
            </w:r>
          </w:p>
        </w:tc>
        <w:tc>
          <w:tcPr>
            <w:tcW w:w="8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7,433</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2,638</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7,005</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Acquired in-process research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17,663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(17,663</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1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15,115</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(6,645</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8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w:t>
            </w:r>
          </w:p>
        </w:tc>
        <w:tc>
          <w:tcPr>
            <w:tcW w:w="12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9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related to derivative and warrant liability</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pPr>
            <w:r>
              <w:rPr/>
              <w:t>—</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Fair value adjustment related to investments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131</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483</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and other income, net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1,553</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1,487</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8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(5,158</w:t>
            </w:r>
          </w:p>
        </w:tc>
        <w:tc>
          <w:tcPr>
            <w:tcW w:w="12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9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19,599</w:t>
            </w:r>
          </w:p>
        </w:tc>
        <w:tc>
          <w:tcPr>
            <w:tcW w:w="8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(5,084</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(24,042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18,958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Net loss for the three months ended June 30, 2023, was </w:t>
      </w:r>
      <w:r>
        <w:rPr>
          <w:rFonts w:ascii="Times New Roman" w:hAnsi="Times New Roman"/>
          <w:b w:val="false"/>
          <w:sz w:val="20"/>
          <w:shd w:fill="FFFFFF" w:val="clear"/>
        </w:rPr>
        <w:t>$5.1 m</w:t>
      </w:r>
      <w:r>
        <w:rPr>
          <w:rFonts w:ascii="Times New Roman;Times;serif" w:hAnsi="Times New Roman;Times;serif"/>
          <w:sz w:val="20"/>
        </w:rPr>
        <w:t xml:space="preserve">illion, compared to net loss of $24.0 million for the three months ended June 30, 2022, a decrease in net loss </w:t>
      </w:r>
      <w:r>
        <w:rPr>
          <w:rFonts w:ascii="Times New Roman" w:hAnsi="Times New Roman"/>
          <w:b w:val="false"/>
          <w:sz w:val="20"/>
          <w:shd w:fill="FFFFFF" w:val="clear"/>
        </w:rPr>
        <w:t>of $18.9 million. Th</w:t>
      </w:r>
      <w:r>
        <w:rPr>
          <w:rFonts w:ascii="Times New Roman;Times;serif" w:hAnsi="Times New Roman;Times;serif"/>
          <w:sz w:val="20"/>
        </w:rPr>
        <w:t>e change was primarily attributable to a decrease in loss from operations of $</w:t>
      </w:r>
      <w:r>
        <w:rPr>
          <w:rFonts w:ascii="Times New Roman" w:hAnsi="Times New Roman"/>
          <w:b w:val="false"/>
          <w:sz w:val="20"/>
          <w:shd w:fill="FFFFFF" w:val="clear"/>
        </w:rPr>
        <w:t>18.1 </w:t>
      </w:r>
      <w:r>
        <w:rPr>
          <w:rFonts w:ascii="Times New Roman;Times;serif" w:hAnsi="Times New Roman;Times;serif"/>
          <w:sz w:val="20"/>
        </w:rPr>
        <w:t>million and an increase in other income of</w:t>
      </w:r>
      <w:r>
        <w:rPr>
          <w:rFonts w:ascii="Times New Roman;Times;serif" w:hAnsi="Times New Roman;Times;serif"/>
          <w:sz w:val="20"/>
          <w:shd w:fill="FFFFFF" w:val="clear"/>
        </w:rPr>
        <w:t xml:space="preserve"> $1</w:t>
      </w:r>
      <w:r>
        <w:rPr>
          <w:rFonts w:ascii="Times New Roman" w:hAnsi="Times New Roman"/>
          <w:b w:val="false"/>
          <w:sz w:val="20"/>
          <w:shd w:fill="FFFFFF" w:val="clear"/>
        </w:rPr>
        <w:t>.5 million. The net loss during the three months ended June 30, 2022, included recognition of $17.7 million of expense related to acquired in-process research and development from the arimoclomol asset acquisition which was </w:t>
      </w:r>
      <w:r>
        <w:rPr>
          <w:rFonts w:ascii="Times New Roman" w:hAnsi="Times New Roman"/>
          <w:sz w:val="20"/>
          <w:shd w:fill="FFFFFF" w:val="clear"/>
        </w:rPr>
        <w:t>immediately</w:t>
      </w:r>
      <w:r>
        <w:rPr>
          <w:rFonts w:ascii="Times New Roman;Times;serif" w:hAnsi="Times New Roman;Times;serif"/>
          <w:sz w:val="20"/>
        </w:rPr>
        <w:t> expensed.</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Revenue for the three months ended June 30, 2023, was </w:t>
      </w:r>
      <w:r>
        <w:rPr>
          <w:rFonts w:ascii="Times New Roman" w:hAnsi="Times New Roman"/>
          <w:caps w:val="false"/>
          <w:smallCaps w:val="false"/>
          <w:sz w:val="20"/>
          <w:shd w:fill="FFFFFF" w:val="clear"/>
        </w:rPr>
        <w:t>$8.5 mil</w:t>
      </w:r>
      <w:r>
        <w:rPr>
          <w:rFonts w:ascii="Times New Roman" w:hAnsi="Times New Roman"/>
          <w:caps w:val="false"/>
          <w:smallCaps w:val="false"/>
          <w:sz w:val="20"/>
        </w:rPr>
        <w:t xml:space="preserve">lion, an increase of </w:t>
      </w:r>
      <w:r>
        <w:rPr>
          <w:rFonts w:ascii="Times New Roman" w:hAnsi="Times New Roman"/>
          <w:caps w:val="false"/>
          <w:smallCaps w:val="false"/>
          <w:sz w:val="20"/>
          <w:shd w:fill="FFFFFF" w:val="clear"/>
        </w:rPr>
        <w:t>$7.2 mill</w:t>
      </w:r>
      <w:r>
        <w:rPr>
          <w:rFonts w:ascii="Times New Roman" w:hAnsi="Times New Roman"/>
          <w:caps w:val="false"/>
          <w:smallCaps w:val="false"/>
          <w:sz w:val="20"/>
        </w:rPr>
        <w:t>ion compared to revenue of $1.3 million for the three months ended June 30, 2022. AZSTARYS net sales milestone revenues of $5.0 million, ongoing royalties from AZSTARYS of $0.7 million, and French EAP reimbursements of $2.8 million drove net revenue for the three months ended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Cost of revenue for the three months ended June 30, 2023, was </w:t>
      </w:r>
      <w:r>
        <w:rPr>
          <w:rFonts w:ascii="Times New Roman" w:hAnsi="Times New Roman"/>
          <w:caps w:val="false"/>
          <w:smallCaps w:val="false"/>
          <w:sz w:val="20"/>
          <w:shd w:fill="FFFFFF" w:val="clear"/>
        </w:rPr>
        <w:t>$0.7 million, an increase of $0.6 million compared to $0.1 million</w:t>
      </w:r>
      <w:r>
        <w:rPr>
          <w:rFonts w:ascii="Times New Roman" w:hAnsi="Times New Roman"/>
          <w:caps w:val="false"/>
          <w:smallCaps w:val="false"/>
          <w:sz w:val="20"/>
        </w:rPr>
        <w:t> cost of revenue for the three months ended June 30, 2022. The increase was primarily attributable to cost of goods sold under the Arimoclomol EAP and under the AZSTARYS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increased by</w:t>
      </w:r>
      <w:r>
        <w:rPr>
          <w:rFonts w:ascii="Times New Roman" w:hAnsi="Times New Roman"/>
          <w:caps w:val="false"/>
          <w:smallCaps w:val="false"/>
          <w:sz w:val="20"/>
          <w:shd w:fill="FFFFFF" w:val="clear"/>
        </w:rPr>
        <w:t>$2.6 </w:t>
      </w:r>
      <w:r>
        <w:rPr>
          <w:rFonts w:ascii="Times New Roman" w:hAnsi="Times New Roman"/>
          <w:caps w:val="false"/>
          <w:smallCaps w:val="false"/>
          <w:sz w:val="20"/>
        </w:rPr>
        <w:t>million, from $4.8 million for the three months ended June 30, 2022</w:t>
      </w:r>
      <w:r>
        <w:rPr>
          <w:rFonts w:ascii="Times New Roman" w:hAnsi="Times New Roman"/>
          <w:caps w:val="false"/>
          <w:smallCaps w:val="false"/>
          <w:sz w:val="20"/>
          <w:shd w:fill="FFFFFF" w:val="clear"/>
        </w:rPr>
        <w:t>, to $7.4 mi</w:t>
      </w:r>
      <w:r>
        <w:rPr>
          <w:rFonts w:ascii="Times New Roman" w:hAnsi="Times New Roman"/>
          <w:caps w:val="false"/>
          <w:smallCaps w:val="false"/>
          <w:sz w:val="20"/>
        </w:rPr>
        <w:t>llion for the three months ended June 30, 2023. This increase was primarily driven by the ongoing Phase 2 clincial trial in KP1077, along with the ongoing work to prepare the arimoclomol NDA for resubmission</w:t>
      </w:r>
      <w:r>
        <w:rPr>
          <w:rFonts w:ascii="Times New Roman" w:hAnsi="Times New Roman"/>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Selling, general and administrative expenses increased by $3.4 million, from $3.6 million for the three months ended </w:t>
      </w:r>
      <w:r>
        <w:rPr>
          <w:rFonts w:ascii="Times New Roman" w:hAnsi="Times New Roman"/>
          <w:caps w:val="false"/>
          <w:smallCaps w:val="false"/>
          <w:sz w:val="20"/>
        </w:rPr>
        <w:t>June 30, 2022</w:t>
      </w:r>
      <w:r>
        <w:rPr>
          <w:rFonts w:ascii="Times New Roman" w:hAnsi="Times New Roman"/>
          <w:caps w:val="false"/>
          <w:smallCaps w:val="false"/>
          <w:sz w:val="20"/>
          <w:shd w:fill="FFFFFF" w:val="clear"/>
        </w:rPr>
        <w:t xml:space="preserve">, to $7.0 million for the three months ended </w:t>
      </w:r>
      <w:r>
        <w:rPr>
          <w:rFonts w:ascii="Times New Roman" w:hAnsi="Times New Roman"/>
          <w:caps w:val="false"/>
          <w:smallCaps w:val="false"/>
          <w:sz w:val="20"/>
        </w:rPr>
        <w:t>June 30, 2023</w:t>
      </w:r>
      <w:r>
        <w:rPr>
          <w:rFonts w:ascii="Times New Roman" w:hAnsi="Times New Roman"/>
          <w:caps w:val="false"/>
          <w:smallCaps w:val="false"/>
          <w:sz w:val="20"/>
          <w:shd w:fill="FFFFFF" w:val="clear"/>
        </w:rPr>
        <w:t>. The period-over-period increase was primarily related to an increase in personnel costs and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Acquired In-Process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Acquired in-process research and development expense decreased by $17.7 million, from $17.7 million for the three months ended June 30, 2022, to none for the three months ended June 30, 2023. This decrease was due to one-time acquired in-process research and development expense in 2022 as a result of the transactions under Arimoclomol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Other income increased by $1.5 million, from $10,000 of income for the three months ended </w:t>
      </w:r>
      <w:r>
        <w:rPr>
          <w:rFonts w:ascii="Times New Roman" w:hAnsi="Times New Roman"/>
          <w:caps w:val="false"/>
          <w:smallCaps w:val="false"/>
          <w:sz w:val="20"/>
        </w:rPr>
        <w:t>June 30, 2022</w:t>
      </w:r>
      <w:r>
        <w:rPr>
          <w:rFonts w:ascii="Times New Roman" w:hAnsi="Times New Roman"/>
          <w:caps w:val="false"/>
          <w:smallCaps w:val="false"/>
          <w:sz w:val="20"/>
          <w:shd w:fill="FFFFFF" w:val="clear"/>
        </w:rPr>
        <w:t xml:space="preserve">, to $1.5 million of income for the three months ended </w:t>
      </w:r>
      <w:r>
        <w:rPr>
          <w:rFonts w:ascii="Times New Roman" w:hAnsi="Times New Roman"/>
          <w:caps w:val="false"/>
          <w:smallCaps w:val="false"/>
          <w:sz w:val="20"/>
        </w:rPr>
        <w:t>June 30, 2023</w:t>
      </w:r>
      <w:r>
        <w:rPr>
          <w:rFonts w:ascii="Times New Roman" w:hAnsi="Times New Roman"/>
          <w:caps w:val="false"/>
          <w:smallCaps w:val="false"/>
          <w:sz w:val="20"/>
          <w:shd w:fill="FFFFFF" w:val="clear"/>
        </w:rPr>
        <w:t>. This increase was primarily attributable to a change in net interest expense and other items of $1.0 million and a change in fair value adjustment related to investments of $0.5 million.</w:t>
      </w:r>
    </w:p>
    <w:p>
      <w:pPr>
        <w:pStyle w:val="TextBody"/>
        <w:bidi w:val="0"/>
        <w:spacing w:before="0" w:after="0"/>
        <w:ind w:left="0" w:right="0" w:hanging="0"/>
        <w:jc w:val="both"/>
        <w:rPr/>
      </w:pPr>
      <w:r>
        <w:rPr/>
        <w:t> </w:t>
      </w:r>
    </w:p>
    <w:p>
      <w:pPr>
        <w:pStyle w:val="TextBody"/>
        <w:bidi w:val="0"/>
        <w:spacing w:before="0" w:after="283"/>
        <w:jc w:val="left"/>
        <w:rPr/>
      </w:pPr>
      <w:r>
        <w:rPr>
          <w:rFonts w:ascii="Times New Roman;Times;serif" w:hAnsi="Times New Roman;Times;serif"/>
          <w:b/>
          <w:i/>
          <w:sz w:val="20"/>
        </w:rPr>
        <w:t>Comparison of the six months ended </w:t>
      </w:r>
      <w:r>
        <w:rPr/>
        <w:t xml:space="preserve"> </w:t>
      </w:r>
      <w:r>
        <w:rPr>
          <w:b/>
          <w:i/>
        </w:rPr>
        <w:t>June 30, 2023 and 2022</w:t>
      </w:r>
      <w:r>
        <w:rPr/>
        <w:t xml:space="preserve"> </w:t>
      </w:r>
      <w:r>
        <w:rPr>
          <w:b/>
          <w:i/>
          <w:sz w:val="20"/>
        </w:rPr>
        <w:t>(in thousands):</w:t>
      </w:r>
      <w:r>
        <w:rPr/>
        <w:t xml:space="preserve"> </w:t>
      </w:r>
    </w:p>
    <w:p>
      <w:pPr>
        <w:pStyle w:val="TextBody"/>
        <w:bidi w:val="0"/>
        <w:spacing w:before="0" w:after="0"/>
        <w:ind w:left="0" w:right="0" w:hanging="0"/>
        <w:jc w:val="left"/>
        <w:rPr/>
      </w:pPr>
      <w:r>
        <w:rPr/>
        <w:t> </w:t>
      </w:r>
    </w:p>
    <w:tbl>
      <w:tblPr>
        <w:tblW w:w="8946" w:type="dxa"/>
        <w:jc w:val="left"/>
        <w:tblInd w:w="0" w:type="dxa"/>
        <w:tblLayout w:type="fixed"/>
        <w:tblCellMar>
          <w:top w:w="0" w:type="dxa"/>
          <w:left w:w="0" w:type="dxa"/>
          <w:bottom w:w="0" w:type="dxa"/>
          <w:right w:w="0" w:type="dxa"/>
        </w:tblCellMar>
      </w:tblPr>
      <w:tblGrid>
        <w:gridCol w:w="5150"/>
        <w:gridCol w:w="60"/>
        <w:gridCol w:w="165"/>
        <w:gridCol w:w="861"/>
        <w:gridCol w:w="106"/>
        <w:gridCol w:w="79"/>
        <w:gridCol w:w="165"/>
        <w:gridCol w:w="861"/>
        <w:gridCol w:w="80"/>
        <w:gridCol w:w="60"/>
        <w:gridCol w:w="205"/>
        <w:gridCol w:w="1074"/>
        <w:gridCol w:w="80"/>
      </w:tblGrid>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Period-to-</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 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11,349</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6,084</w:t>
            </w:r>
          </w:p>
        </w:tc>
        <w:tc>
          <w:tcPr>
            <w:tcW w:w="8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revenue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802</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743</w:t>
            </w:r>
          </w:p>
        </w:tc>
        <w:tc>
          <w:tcPr>
            <w:tcW w:w="8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16,277</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13,839</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7,547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Acquired in-process research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17,663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(17,663</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1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30,918</w:t>
            </w:r>
          </w:p>
        </w:tc>
        <w:tc>
          <w:tcPr>
            <w:tcW w:w="10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(19,569</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w:t>
            </w:r>
          </w:p>
        </w:tc>
        <w:tc>
          <w:tcPr>
            <w:tcW w:w="1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related to derivative and warrant liability</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0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150" w:type="dxa"/>
            <w:tcBorders/>
            <w:shd w:fill="FFFFFF" w:val="clear"/>
            <w:vAlign w:val="center"/>
          </w:tcPr>
          <w:p>
            <w:pPr>
              <w:pStyle w:val="TableContents"/>
              <w:bidi w:val="0"/>
              <w:spacing w:before="0" w:after="0"/>
              <w:ind w:left="180" w:right="180" w:hanging="0"/>
              <w:jc w:val="left"/>
              <w:rPr>
                <w:rFonts w:ascii="Times New Roman" w:hAnsi="Times New Roman"/>
                <w:sz w:val="20"/>
              </w:rPr>
            </w:pPr>
            <w:r>
              <w:rPr>
                <w:rFonts w:ascii="Times New Roman" w:hAnsi="Times New Roman"/>
                <w:sz w:val="20"/>
              </w:rPr>
              <w:t>Fair value adjustment related to investments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327</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(495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822</w:t>
            </w:r>
          </w:p>
        </w:tc>
        <w:tc>
          <w:tcPr>
            <w:tcW w:w="8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and other income, net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2,593</w:t>
            </w:r>
          </w:p>
        </w:tc>
        <w:tc>
          <w:tcPr>
            <w:tcW w:w="10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2,541</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(17,028</w:t>
            </w:r>
          </w:p>
        </w:tc>
        <w:tc>
          <w:tcPr>
            <w:tcW w:w="1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(26,625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9,597</w:t>
            </w:r>
          </w:p>
        </w:tc>
        <w:tc>
          <w:tcPr>
            <w:tcW w:w="8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5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(16,851</w:t>
            </w:r>
          </w:p>
        </w:tc>
        <w:tc>
          <w:tcPr>
            <w:tcW w:w="106"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9" w:type="dxa"/>
            <w:tcBorders/>
            <w:shd w:fill="CCEEFF" w:val="clear"/>
            <w:vAlign w:val="center"/>
          </w:tcPr>
          <w:p>
            <w:pPr>
              <w:pStyle w:val="TableContents"/>
              <w:bidi w:val="0"/>
              <w:spacing w:before="0" w:after="0"/>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(25,906</w:t>
            </w:r>
          </w:p>
        </w:tc>
        <w:tc>
          <w:tcPr>
            <w:tcW w:w="80" w:type="dxa"/>
            <w:tcBorders>
              <w:bottom w:val="double" w:sz="6" w:space="0" w:color="000000"/>
            </w:tcBorders>
            <w:shd w:fill="CCEEFF" w:val="clear"/>
            <w:tcMar>
              <w:bottom w:w="45"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9,055</w:t>
            </w:r>
          </w:p>
        </w:tc>
        <w:tc>
          <w:tcPr>
            <w:tcW w:w="80" w:type="dxa"/>
            <w:tcBorders>
              <w:bottom w:val="double" w:sz="6" w:space="0" w:color="000000"/>
            </w:tcBorders>
            <w:shd w:fill="CCEEFF" w:val="clear"/>
            <w:tcMar>
              <w:bottom w:w="45"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jc w:val="left"/>
        <w:rPr>
          <w:rFonts w:ascii="Times New Roman" w:hAnsi="Times New Roman"/>
          <w:caps w:val="false"/>
          <w:smallCaps w:val="false"/>
          <w:sz w:val="20"/>
        </w:rPr>
      </w:pPr>
      <w:r>
        <w:rPr>
          <w:rFonts w:ascii="Times New Roman" w:hAnsi="Times New Roman"/>
          <w:i/>
          <w:caps w:val="false"/>
          <w:smallCaps w:val="false"/>
          <w:sz w:val="20"/>
        </w:rPr>
        <w:t>Net Loss</w:t>
      </w:r>
      <w:r>
        <w:rPr>
          <w:rFonts w:ascii="Times New Roman" w:hAnsi="Times New Roman"/>
          <w:caps w:val="false"/>
          <w:smallCaps w:val="false"/>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loss for the six months ended June 30, 2023, was $16</w:t>
      </w:r>
      <w:r>
        <w:rPr>
          <w:rFonts w:ascii="Times New Roman;Times;serif" w:hAnsi="Times New Roman;Times;serif"/>
          <w:sz w:val="20"/>
          <w:shd w:fill="FFFFFF" w:val="clear"/>
        </w:rPr>
        <w:t>.9 </w:t>
      </w:r>
      <w:r>
        <w:rPr>
          <w:rFonts w:ascii="Times New Roman;Times;serif" w:hAnsi="Times New Roman;Times;serif"/>
          <w:sz w:val="20"/>
        </w:rPr>
        <w:t>million compared to net loss of $25.9 million for the six months ended June 30, 2022, a decrease in net loss of </w:t>
      </w:r>
      <w:r>
        <w:rPr>
          <w:rFonts w:ascii="Times New Roman;Times;serif" w:hAnsi="Times New Roman;Times;serif"/>
          <w:sz w:val="20"/>
          <w:shd w:fill="FFFFFF" w:val="clear"/>
        </w:rPr>
        <w:t>$9.0 mi</w:t>
      </w:r>
      <w:r>
        <w:rPr>
          <w:rFonts w:ascii="Times New Roman;Times;serif" w:hAnsi="Times New Roman;Times;serif"/>
          <w:sz w:val="20"/>
        </w:rPr>
        <w:t>llion. The change was primarily attributable to a decrease in loss from operations of</w:t>
      </w:r>
      <w:r>
        <w:rPr>
          <w:rFonts w:ascii="Times New Roman;Times;serif" w:hAnsi="Times New Roman;Times;serif"/>
          <w:sz w:val="20"/>
          <w:shd w:fill="FFFFFF" w:val="clear"/>
        </w:rPr>
        <w:t xml:space="preserve"> $7.1 m</w:t>
      </w:r>
      <w:r>
        <w:rPr>
          <w:rFonts w:ascii="Times New Roman;Times;serif" w:hAnsi="Times New Roman;Times;serif"/>
          <w:sz w:val="20"/>
        </w:rPr>
        <w:t>illion and an increase in other income o</w:t>
      </w:r>
      <w:r>
        <w:rPr>
          <w:rFonts w:ascii="Times New Roman;Times;serif" w:hAnsi="Times New Roman;Times;serif"/>
          <w:sz w:val="20"/>
          <w:shd w:fill="FFFFFF" w:val="clear"/>
        </w:rPr>
        <w:t>f $2.5 m</w:t>
      </w:r>
      <w:r>
        <w:rPr>
          <w:rFonts w:ascii="Times New Roman;Times;serif" w:hAnsi="Times New Roman;Times;serif"/>
          <w:sz w:val="20"/>
        </w:rPr>
        <w:t>illion. The net loss during the six months ended June 30, 2022, included recognition of $17.7 million of expense related to acquired in-process research and development from the arimoclomol asset acquisition which was </w:t>
      </w:r>
      <w:r>
        <w:rPr>
          <w:rFonts w:ascii="Times New Roman" w:hAnsi="Times New Roman"/>
          <w:sz w:val="20"/>
          <w:shd w:fill="FFFFFF" w:val="clear"/>
        </w:rPr>
        <w:t>immediately </w:t>
      </w:r>
      <w:r>
        <w:rPr>
          <w:rFonts w:ascii="Times New Roman;Times;serif" w:hAnsi="Times New Roman;Times;serif"/>
          <w:sz w:val="20"/>
        </w:rPr>
        <w:t>expensed.</w:t>
      </w:r>
    </w:p>
    <w:p>
      <w:pPr>
        <w:pStyle w:val="TextBody"/>
        <w:bidi w:val="0"/>
        <w:spacing w:before="0" w:after="0"/>
        <w:ind w:left="0" w:right="0" w:hanging="0"/>
        <w:jc w:val="both"/>
        <w:rPr/>
      </w:pPr>
      <w:r>
        <w:rPr/>
        <w:t> </w:t>
      </w:r>
    </w:p>
    <w:p>
      <w:pPr>
        <w:pStyle w:val="TextBody"/>
        <w:bidi w:val="0"/>
        <w:jc w:val="both"/>
        <w:rPr>
          <w:rFonts w:ascii="Times New Roman" w:hAnsi="Times New Roman"/>
          <w:caps w:val="false"/>
          <w:smallCaps w:val="false"/>
          <w:sz w:val="20"/>
        </w:rPr>
      </w:pPr>
      <w:r>
        <w:rPr>
          <w:rFonts w:ascii="Times New Roman" w:hAnsi="Times New Roman"/>
          <w:i/>
          <w:caps w:val="false"/>
          <w:smallCaps w:val="false"/>
          <w:sz w:val="20"/>
        </w:rPr>
        <w:t>Revenue</w:t>
      </w:r>
      <w:r>
        <w:rPr>
          <w:rFonts w:ascii="Times New Roman" w:hAnsi="Times New Roman"/>
          <w:caps w:val="false"/>
          <w:smallCaps w:val="false"/>
          <w:sz w:val="20"/>
        </w:rPr>
        <w:t xml:space="preserve"> </w:t>
      </w:r>
    </w:p>
    <w:p>
      <w:pPr>
        <w:pStyle w:val="TextBody"/>
        <w:bidi w:val="0"/>
        <w:spacing w:before="0" w:after="0"/>
        <w:ind w:left="0" w:right="0" w:hanging="0"/>
        <w:jc w:val="both"/>
        <w:rPr/>
      </w:pPr>
      <w:r>
        <w:rPr/>
        <w:t> </w:t>
      </w:r>
    </w:p>
    <w:p>
      <w:pPr>
        <w:pStyle w:val="TextBody"/>
        <w:bidi w:val="0"/>
        <w:jc w:val="both"/>
        <w:rPr>
          <w:rFonts w:ascii="Times New Roman" w:hAnsi="Times New Roman"/>
          <w:caps w:val="false"/>
          <w:smallCaps w:val="false"/>
          <w:sz w:val="20"/>
        </w:rPr>
      </w:pPr>
      <w:r>
        <w:rPr>
          <w:rFonts w:ascii="Times New Roman" w:hAnsi="Times New Roman"/>
          <w:caps w:val="false"/>
          <w:smallCaps w:val="false"/>
          <w:sz w:val="20"/>
        </w:rPr>
        <w:t xml:space="preserve">Revenue for the six months ended June 30, 2023, was $11 </w:t>
      </w:r>
      <w:r>
        <w:rPr>
          <w:rFonts w:ascii="Times New Roman" w:hAnsi="Times New Roman"/>
          <w:caps w:val="false"/>
          <w:smallCaps w:val="false"/>
          <w:sz w:val="20"/>
          <w:shd w:fill="FFFFFF" w:val="clear"/>
        </w:rPr>
        <w:t>.3 m</w:t>
      </w:r>
      <w:r>
        <w:rPr>
          <w:rFonts w:ascii="Times New Roman" w:hAnsi="Times New Roman"/>
          <w:caps w:val="false"/>
          <w:smallCaps w:val="false"/>
          <w:sz w:val="20"/>
        </w:rPr>
        <w:t xml:space="preserve">illion, an increase </w:t>
      </w:r>
      <w:r>
        <w:rPr>
          <w:rFonts w:ascii="Times New Roman" w:hAnsi="Times New Roman"/>
          <w:caps w:val="false"/>
          <w:smallCaps w:val="false"/>
          <w:sz w:val="20"/>
          <w:shd w:fill="FFFFFF" w:val="clear"/>
        </w:rPr>
        <w:t>of $6.0 mi</w:t>
      </w:r>
      <w:r>
        <w:rPr>
          <w:rFonts w:ascii="Times New Roman" w:hAnsi="Times New Roman"/>
          <w:caps w:val="false"/>
          <w:smallCaps w:val="false"/>
          <w:sz w:val="20"/>
        </w:rPr>
        <w:t xml:space="preserve">llion compared to revenue of $5.3 million for the six months ended June 30, 2022. AZSTARYS net sales milestone revenues of $5.0 million, ongoing royalties from AZSTARYS of $1.3 million, and French EAP reimbursements of $4.8 million primarily drove net revenue for the six months ended June 30, 2023. </w:t>
      </w:r>
    </w:p>
    <w:p>
      <w:pPr>
        <w:pStyle w:val="TextBody"/>
        <w:bidi w:val="0"/>
        <w:spacing w:before="0" w:after="0"/>
        <w:ind w:left="0" w:right="0" w:hanging="0"/>
        <w:jc w:val="both"/>
        <w:rPr/>
      </w:pPr>
      <w:r>
        <w:rPr/>
        <w:t> </w:t>
      </w:r>
    </w:p>
    <w:p>
      <w:pPr>
        <w:pStyle w:val="TextBody"/>
        <w:bidi w:val="0"/>
        <w:jc w:val="both"/>
        <w:rPr>
          <w:rFonts w:ascii="Times New Roman" w:hAnsi="Times New Roman"/>
          <w:caps w:val="false"/>
          <w:smallCaps w:val="false"/>
          <w:sz w:val="20"/>
        </w:rPr>
      </w:pPr>
      <w:r>
        <w:rPr>
          <w:rFonts w:ascii="Times New Roman" w:hAnsi="Times New Roman"/>
          <w:i/>
          <w:caps w:val="false"/>
          <w:smallCaps w:val="false"/>
          <w:sz w:val="20"/>
        </w:rPr>
        <w:t>Cost of Revenue</w:t>
      </w:r>
      <w:r>
        <w:rPr>
          <w:rFonts w:ascii="Times New Roman" w:hAnsi="Times New Roman"/>
          <w:caps w:val="false"/>
          <w:smallCaps w:val="false"/>
          <w:sz w:val="20"/>
        </w:rPr>
        <w:t xml:space="preserve"> </w:t>
      </w:r>
    </w:p>
    <w:p>
      <w:pPr>
        <w:pStyle w:val="TextBody"/>
        <w:bidi w:val="0"/>
        <w:spacing w:before="0" w:after="0"/>
        <w:ind w:left="0" w:right="0" w:hanging="0"/>
        <w:jc w:val="both"/>
        <w:rPr/>
      </w:pPr>
      <w:r>
        <w:rPr/>
        <w:t> </w:t>
      </w:r>
    </w:p>
    <w:p>
      <w:pPr>
        <w:pStyle w:val="TextBody"/>
        <w:bidi w:val="0"/>
        <w:jc w:val="both"/>
        <w:rPr>
          <w:rFonts w:ascii="Times New Roman" w:hAnsi="Times New Roman"/>
          <w:caps w:val="false"/>
          <w:smallCaps w:val="false"/>
          <w:sz w:val="20"/>
        </w:rPr>
      </w:pPr>
      <w:r>
        <w:rPr>
          <w:rFonts w:ascii="Times New Roman" w:hAnsi="Times New Roman"/>
          <w:caps w:val="false"/>
          <w:smallCaps w:val="false"/>
          <w:sz w:val="20"/>
        </w:rPr>
        <w:t xml:space="preserve">Cost of revenue for the six months ended June 30, 2023, was </w:t>
      </w:r>
      <w:r>
        <w:rPr>
          <w:rFonts w:ascii="Times New Roman" w:hAnsi="Times New Roman"/>
          <w:caps w:val="false"/>
          <w:smallCaps w:val="false"/>
          <w:sz w:val="20"/>
          <w:shd w:fill="FFFFFF" w:val="clear"/>
        </w:rPr>
        <w:t>$0.8 million, an increase of $0.7 </w:t>
      </w:r>
      <w:r>
        <w:rPr>
          <w:rFonts w:ascii="Times New Roman" w:hAnsi="Times New Roman"/>
          <w:caps w:val="false"/>
          <w:smallCaps w:val="false"/>
          <w:sz w:val="20"/>
        </w:rPr>
        <w:t xml:space="preserve">million compared to $0.1 million cost of revenue for the six months ended June 30, 2022. The increase was primarily attributable to cost of goods sold under the AZSTARYS License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jc w:val="left"/>
        <w:rPr>
          <w:rFonts w:ascii="Times New Roman" w:hAnsi="Times New Roman"/>
          <w:caps w:val="false"/>
          <w:smallCaps w:val="false"/>
          <w:sz w:val="20"/>
        </w:rPr>
      </w:pPr>
      <w:r>
        <w:rPr>
          <w:rFonts w:ascii="Times New Roman" w:hAnsi="Times New Roman"/>
          <w:i/>
          <w:caps w:val="false"/>
          <w:smallCaps w:val="false"/>
          <w:sz w:val="20"/>
        </w:rPr>
        <w:t>Research and Development</w:t>
      </w:r>
      <w:r>
        <w:rPr>
          <w:rFonts w:ascii="Times New Roman" w:hAnsi="Times New Roman"/>
          <w:caps w:val="false"/>
          <w:smallCaps w:val="false"/>
          <w:sz w:val="20"/>
        </w:rPr>
        <w:t xml:space="preserve"> </w:t>
      </w:r>
    </w:p>
    <w:p>
      <w:pPr>
        <w:pStyle w:val="TextBody"/>
        <w:bidi w:val="0"/>
        <w:spacing w:before="0" w:after="0"/>
        <w:ind w:left="0" w:right="0" w:hanging="0"/>
        <w:jc w:val="both"/>
        <w:rPr/>
      </w:pPr>
      <w:r>
        <w:rPr/>
        <w:t> </w:t>
      </w:r>
    </w:p>
    <w:p>
      <w:pPr>
        <w:pStyle w:val="TextBody"/>
        <w:bidi w:val="0"/>
        <w:jc w:val="both"/>
        <w:rPr>
          <w:rFonts w:ascii="Times New Roman" w:hAnsi="Times New Roman"/>
          <w:caps w:val="false"/>
          <w:smallCaps w:val="false"/>
          <w:sz w:val="20"/>
        </w:rPr>
      </w:pPr>
      <w:r>
        <w:rPr>
          <w:rFonts w:ascii="Times New Roman" w:hAnsi="Times New Roman"/>
          <w:caps w:val="false"/>
          <w:smallCaps w:val="false"/>
          <w:sz w:val="20"/>
        </w:rPr>
        <w:t xml:space="preserve">Research and development expenses increased by </w:t>
      </w:r>
      <w:r>
        <w:rPr>
          <w:rFonts w:ascii="Times New Roman" w:hAnsi="Times New Roman"/>
          <w:caps w:val="false"/>
          <w:smallCaps w:val="false"/>
          <w:sz w:val="20"/>
          <w:shd w:fill="FFFFFF" w:val="clear"/>
        </w:rPr>
        <w:t>$8.4 </w:t>
      </w:r>
      <w:r>
        <w:rPr>
          <w:rFonts w:ascii="Times New Roman" w:hAnsi="Times New Roman"/>
          <w:caps w:val="false"/>
          <w:smallCaps w:val="false"/>
          <w:sz w:val="20"/>
        </w:rPr>
        <w:t xml:space="preserve">million, from $7.9 million for the six months ended June 30, 2022, to </w:t>
      </w:r>
      <w:r>
        <w:rPr>
          <w:rFonts w:ascii="Times New Roman" w:hAnsi="Times New Roman"/>
          <w:caps w:val="false"/>
          <w:smallCaps w:val="false"/>
          <w:sz w:val="20"/>
          <w:shd w:fill="FFFFFF" w:val="clear"/>
        </w:rPr>
        <w:t>$16.3 </w:t>
      </w:r>
      <w:r>
        <w:rPr>
          <w:rFonts w:ascii="Times New Roman" w:hAnsi="Times New Roman"/>
          <w:caps w:val="false"/>
          <w:smallCaps w:val="false"/>
          <w:sz w:val="20"/>
        </w:rPr>
        <w:t xml:space="preserve">million for the six months ended June 30, 2023. This increase was primarily driven by the ongoing Phase 2 clincial trial in KP1077, along with the ongoing work to prepare the arimoclomol NDA for resubmission </w:t>
      </w:r>
      <w:r>
        <w:rPr>
          <w:rFonts w:ascii="Times New Roman" w:hAnsi="Times New Roman"/>
          <w:caps w:val="false"/>
          <w:smallCaps w:val="false"/>
          <w:sz w:val="20"/>
          <w:shd w:fill="FFFFFF" w:val="clear"/>
        </w:rPr>
        <w:t>.</w:t>
      </w:r>
      <w:r>
        <w:rPr>
          <w:rFonts w:ascii="Times New Roman" w:hAnsi="Times New Roman"/>
          <w:caps w:val="false"/>
          <w:smallCaps w:val="false"/>
          <w:sz w:val="20"/>
        </w:rPr>
        <w:t xml:space="preserve"> </w:t>
      </w:r>
    </w:p>
    <w:p>
      <w:pPr>
        <w:pStyle w:val="TextBody"/>
        <w:bidi w:val="0"/>
        <w:spacing w:before="0" w:after="0"/>
        <w:ind w:left="0" w:right="0" w:hanging="0"/>
        <w:jc w:val="both"/>
        <w:rPr/>
      </w:pPr>
      <w:r>
        <w:rPr/>
        <w:t> </w:t>
      </w:r>
    </w:p>
    <w:p>
      <w:pPr>
        <w:pStyle w:val="TextBody"/>
        <w:bidi w:val="0"/>
        <w:jc w:val="both"/>
        <w:rPr>
          <w:rFonts w:ascii="Times New Roman" w:hAnsi="Times New Roman"/>
          <w:caps w:val="false"/>
          <w:smallCaps w:val="false"/>
          <w:sz w:val="20"/>
        </w:rPr>
      </w:pPr>
      <w:r>
        <w:rPr>
          <w:rFonts w:ascii="Times New Roman" w:hAnsi="Times New Roman"/>
          <w:i/>
          <w:caps w:val="false"/>
          <w:smallCaps w:val="false"/>
          <w:sz w:val="20"/>
        </w:rPr>
        <w:t>Selling, General and Administrative</w:t>
      </w:r>
      <w:r>
        <w:rPr>
          <w:rFonts w:ascii="Times New Roman" w:hAnsi="Times New Roman"/>
          <w:caps w:val="false"/>
          <w:smallCaps w:val="false"/>
          <w:sz w:val="20"/>
        </w:rPr>
        <w:t xml:space="preserve"> </w:t>
      </w:r>
    </w:p>
    <w:p>
      <w:pPr>
        <w:pStyle w:val="TextBody"/>
        <w:bidi w:val="0"/>
        <w:spacing w:before="0" w:after="0"/>
        <w:ind w:left="0" w:right="0" w:hanging="0"/>
        <w:jc w:val="both"/>
        <w:rPr/>
      </w:pPr>
      <w:r>
        <w:rPr/>
        <w:t> </w:t>
      </w:r>
    </w:p>
    <w:p>
      <w:pPr>
        <w:pStyle w:val="TextBody"/>
        <w:bidi w:val="0"/>
        <w:jc w:val="both"/>
        <w:rPr>
          <w:rFonts w:ascii="Times New Roman" w:hAnsi="Times New Roman"/>
          <w:caps w:val="false"/>
          <w:smallCaps w:val="false"/>
          <w:sz w:val="20"/>
        </w:rPr>
      </w:pPr>
      <w:r>
        <w:rPr>
          <w:rFonts w:ascii="Times New Roman" w:hAnsi="Times New Roman"/>
          <w:caps w:val="false"/>
          <w:smallCaps w:val="false"/>
          <w:sz w:val="20"/>
        </w:rPr>
        <w:t xml:space="preserve">Selling, general and administrative expenses increased b </w:t>
      </w:r>
      <w:r>
        <w:rPr>
          <w:rFonts w:ascii="Times New Roman" w:hAnsi="Times New Roman"/>
          <w:caps w:val="false"/>
          <w:smallCaps w:val="false"/>
          <w:sz w:val="20"/>
          <w:shd w:fill="FFFFFF" w:val="clear"/>
        </w:rPr>
        <w:t>y $7.5 m</w:t>
      </w:r>
      <w:r>
        <w:rPr>
          <w:rFonts w:ascii="Times New Roman" w:hAnsi="Times New Roman"/>
          <w:caps w:val="false"/>
          <w:smallCaps w:val="false"/>
          <w:sz w:val="20"/>
        </w:rPr>
        <w:t xml:space="preserve">illion, from $6.3 million for the  six months ended June 30, 2022, to </w:t>
      </w:r>
      <w:r>
        <w:rPr>
          <w:rFonts w:ascii="Times New Roman" w:hAnsi="Times New Roman"/>
          <w:caps w:val="false"/>
          <w:smallCaps w:val="false"/>
          <w:sz w:val="20"/>
          <w:shd w:fill="FFFFFF" w:val="clear"/>
        </w:rPr>
        <w:t>$13.8 millio</w:t>
      </w:r>
      <w:r>
        <w:rPr>
          <w:rFonts w:ascii="Times New Roman" w:hAnsi="Times New Roman"/>
          <w:caps w:val="false"/>
          <w:smallCaps w:val="false"/>
          <w:sz w:val="20"/>
        </w:rPr>
        <w:t xml:space="preserve">n for the  six months ended June 30, 2023. </w:t>
      </w:r>
      <w:r>
        <w:rPr>
          <w:rFonts w:ascii="Times New Roman" w:hAnsi="Times New Roman"/>
          <w:caps w:val="false"/>
          <w:smallCaps w:val="false"/>
          <w:sz w:val="20"/>
          <w:shd w:fill="FFFFFF" w:val="clear"/>
        </w:rPr>
        <w:t>The period-over-period increase was primarily related to an increase in personnel costs and professional fees.</w:t>
      </w:r>
      <w:r>
        <w:rPr>
          <w:rFonts w:ascii="Times New Roman" w:hAnsi="Times New Roman"/>
          <w:caps w:val="false"/>
          <w:smallCaps w:val="false"/>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Acquired In-Process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Acquired in-process research and development expense decreased by $17.7 million, from $17.7 million for the six months ended June 30, 2022, to none for the six months ended June 30, 2023. This decrease was due to one-time acquired in-process research and development expense in 2022 as a result of the transactions under Arimoclomol Purchase Agreement.</w:t>
      </w:r>
    </w:p>
    <w:p>
      <w:pPr>
        <w:pStyle w:val="TextBody"/>
        <w:bidi w:val="0"/>
        <w:spacing w:before="0" w:after="0"/>
        <w:jc w:val="both"/>
        <w:rPr>
          <w:caps w:val="false"/>
          <w:smallCaps w:val="false"/>
        </w:rPr>
      </w:pPr>
      <w:r>
        <w:rPr>
          <w:caps w:val="false"/>
          <w:smallCaps w:val="false"/>
        </w:rPr>
        <w:t xml:space="preserve">  </w:t>
      </w:r>
    </w:p>
    <w:p>
      <w:pPr>
        <w:pStyle w:val="TextBody"/>
        <w:bidi w:val="0"/>
        <w:jc w:val="both"/>
        <w:rPr>
          <w:rFonts w:ascii="Times New Roman" w:hAnsi="Times New Roman"/>
          <w:caps w:val="false"/>
          <w:smallCaps w:val="false"/>
          <w:sz w:val="20"/>
        </w:rPr>
      </w:pPr>
      <w:r>
        <w:rPr>
          <w:rFonts w:ascii="Times New Roman" w:hAnsi="Times New Roman"/>
          <w:i/>
          <w:caps w:val="false"/>
          <w:smallCaps w:val="false"/>
          <w:sz w:val="20"/>
        </w:rPr>
        <w:t>Other Income</w:t>
      </w:r>
      <w:r>
        <w:rPr>
          <w:rFonts w:ascii="Times New Roman" w:hAnsi="Times New Roman"/>
          <w:caps w:val="false"/>
          <w:smallCaps w:val="false"/>
          <w:sz w:val="20"/>
        </w:rPr>
        <w:t xml:space="preserve"> </w:t>
      </w:r>
    </w:p>
    <w:p>
      <w:pPr>
        <w:pStyle w:val="TextBody"/>
        <w:bidi w:val="0"/>
        <w:spacing w:before="0" w:after="0"/>
        <w:ind w:left="0" w:right="0" w:hanging="0"/>
        <w:jc w:val="both"/>
        <w:rPr/>
      </w:pPr>
      <w:r>
        <w:rPr/>
        <w:t> </w:t>
      </w:r>
    </w:p>
    <w:p>
      <w:pPr>
        <w:pStyle w:val="TextBody"/>
        <w:bidi w:val="0"/>
        <w:jc w:val="both"/>
        <w:rPr>
          <w:rFonts w:ascii="Times New Roman" w:hAnsi="Times New Roman"/>
          <w:caps w:val="false"/>
          <w:smallCaps w:val="false"/>
          <w:sz w:val="20"/>
        </w:rPr>
      </w:pPr>
      <w:r>
        <w:rPr>
          <w:rFonts w:ascii="Times New Roman" w:hAnsi="Times New Roman"/>
          <w:caps w:val="false"/>
          <w:smallCaps w:val="false"/>
          <w:sz w:val="20"/>
          <w:shd w:fill="FFFFFF" w:val="clear"/>
        </w:rPr>
        <w:t>Other income increased by $2.5 million, from $1,000 for the </w:t>
      </w:r>
      <w:r>
        <w:rPr>
          <w:rFonts w:ascii="Times New Roman" w:hAnsi="Times New Roman"/>
          <w:caps w:val="false"/>
          <w:smallCaps w:val="false"/>
          <w:sz w:val="20"/>
        </w:rPr>
        <w:t xml:space="preserve"> six </w:t>
      </w:r>
      <w:r>
        <w:rPr>
          <w:rFonts w:ascii="Times New Roman" w:hAnsi="Times New Roman"/>
          <w:caps w:val="false"/>
          <w:smallCaps w:val="false"/>
          <w:sz w:val="20"/>
          <w:shd w:fill="FFFFFF" w:val="clear"/>
        </w:rPr>
        <w:t xml:space="preserve">months ended </w:t>
      </w:r>
      <w:r>
        <w:rPr>
          <w:rFonts w:ascii="Times New Roman" w:hAnsi="Times New Roman"/>
          <w:caps w:val="false"/>
          <w:smallCaps w:val="false"/>
          <w:sz w:val="20"/>
        </w:rPr>
        <w:t xml:space="preserve">June 30, 2022 </w:t>
      </w:r>
      <w:r>
        <w:rPr>
          <w:rFonts w:ascii="Times New Roman" w:hAnsi="Times New Roman"/>
          <w:caps w:val="false"/>
          <w:smallCaps w:val="false"/>
          <w:sz w:val="20"/>
          <w:shd w:fill="FFFFFF" w:val="clear"/>
        </w:rPr>
        <w:t xml:space="preserve">, to $2.5 million for the </w:t>
      </w:r>
      <w:r>
        <w:rPr>
          <w:rFonts w:ascii="Times New Roman" w:hAnsi="Times New Roman"/>
          <w:caps w:val="false"/>
          <w:smallCaps w:val="false"/>
          <w:sz w:val="20"/>
        </w:rPr>
        <w:t xml:space="preserve">six </w:t>
      </w:r>
      <w:r>
        <w:rPr>
          <w:rFonts w:ascii="Times New Roman" w:hAnsi="Times New Roman"/>
          <w:caps w:val="false"/>
          <w:smallCaps w:val="false"/>
          <w:sz w:val="20"/>
          <w:shd w:fill="FFFFFF" w:val="clear"/>
        </w:rPr>
        <w:t xml:space="preserve">months ended </w:t>
      </w:r>
      <w:r>
        <w:rPr>
          <w:rFonts w:ascii="Times New Roman" w:hAnsi="Times New Roman"/>
          <w:caps w:val="false"/>
          <w:smallCaps w:val="false"/>
          <w:sz w:val="20"/>
        </w:rPr>
        <w:t xml:space="preserve">June 30, 2023 </w:t>
      </w:r>
      <w:r>
        <w:rPr>
          <w:rFonts w:ascii="Times New Roman" w:hAnsi="Times New Roman"/>
          <w:caps w:val="false"/>
          <w:smallCaps w:val="false"/>
          <w:sz w:val="20"/>
          <w:shd w:fill="FFFFFF" w:val="clear"/>
        </w:rPr>
        <w:t>. This increase was primarily attributable to a change in net interest expense and other items of $2.0 million and a change in fair value adjustment related to investments of $0.8 million; partially offset by a change in fair value adjustment related to derivative and warrant liability of $0.3 million.</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Sources of Liquidity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Through June 30, 2023,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Arimoclomol EAP, AZSTARYS License Agreement, the Corium Consulting Agreement and other consulting arrangements. As of June 30, 2023, we had cash, cash equivalents and investments of </w:t>
      </w:r>
      <w:r>
        <w:rPr>
          <w:rFonts w:ascii="Times New Roman" w:hAnsi="Times New Roman"/>
          <w:caps w:val="false"/>
          <w:smallCaps w:val="false"/>
          <w:sz w:val="20"/>
          <w:shd w:fill="FFFFFF" w:val="clear"/>
        </w:rPr>
        <w:t>$87.4 mil</w:t>
      </w:r>
      <w:r>
        <w:rPr>
          <w:rFonts w:ascii="Times New Roman" w:hAnsi="Times New Roman"/>
          <w:caps w:val="false"/>
          <w:smallCaps w:val="false"/>
          <w:sz w:val="20"/>
        </w:rPr>
        <w:t>lion, which does not include the cash payment of the $5 million net sales milestone earned under the AZSTARYS license agreement which was received after quarter-end.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date, we have generated revenue from the Arimoclomol EAP, AZSTARYS License Agreement, reimbursement of out-of-pocket third-party costs, and the performance of consulting services.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were entitled to receive payments from Corium of up to $15.6 million, $13.6 million of which was paid in quarterly installments through March 31, 2022. The remaining $2.0 million was conditioned upon the approval by the FDA of the NDA for Corium's product candidate, ADLARITY. This $2.0 million was earned in the first quarter of 2022. Corium also agreed to be responsible for and reimburse us for all development, commercialization and regulatory expenses incurred as part of the performance of the consulting services. The Corium Consulting Agreement expired on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had recurring negative net operating cash flows and we anticipate that we may continue to incur negative net cash flows or minimal positive net cash flows from operations for at least the next several years. We expect that our sources of revenue will be through payments arising from our license agreements with Corium, through the Arimoclomol EAP or through potential consulting arrangements and any other future arrangements related to one of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filed a registration statement on Form S-3 covering the sale of the shares of our common stock up to $350.0 million, $75.0 million of which was allocated to the sales of the shares of common stock issuable under the Equity Distribution Agreement. The Form S-3 was declared effective on July 12, 2021. As of June 30, 2023, no shares have been issued or sold under the Equity Distribution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20, 2021, we initiated the Share Repurchase Program, pursuant to which we may repurchase up to $50 million of shares of our common stock through December 31, 2023. Capital allocation to the Share Repurchase Program will be based on a variety of factors, including our business results, the receipt of royalties and sales milestones under the AZSTARYS License Agreement, and potentially other sources of non-dilutive capital that may become available to us. Repurchases will be made in compliance with Rule 10b-18 of the Securities Exchange Act of 1934, as amended, subject to a variety of factors, including the market price of our common stock, general market and economic conditions and applicable legal requirements. The exact number of shares to be repurchased by us is not guaranteed and the program may be suspended, modified, or discontinued at any time without prior notice. We did not repurchase any shares of our common stock during the three months ended June 30, 2023. As of June 30, 2023, we had repurchased an aggregate of</w:t>
      </w:r>
      <w:r>
        <w:rPr>
          <w:rFonts w:ascii="Times New Roman" w:hAnsi="Times New Roman"/>
          <w:caps w:val="false"/>
          <w:smallCaps w:val="false"/>
          <w:sz w:val="20"/>
          <w:shd w:fill="FFFFFF" w:val="clear"/>
        </w:rPr>
        <w:t> 1,575,692 </w:t>
      </w:r>
      <w:r>
        <w:rPr>
          <w:rFonts w:ascii="Times New Roman" w:hAnsi="Times New Roman"/>
          <w:caps w:val="false"/>
          <w:smallCaps w:val="false"/>
          <w:sz w:val="20"/>
        </w:rPr>
        <w:t>shares of our common stock for approximately $11</w:t>
      </w:r>
      <w:r>
        <w:rPr>
          <w:rFonts w:ascii="Times New Roman" w:hAnsi="Times New Roman"/>
          <w:caps w:val="false"/>
          <w:smallCaps w:val="false"/>
          <w:sz w:val="20"/>
          <w:shd w:fill="FFFFFF" w:val="clear"/>
        </w:rPr>
        <w:t>.0 m</w:t>
      </w:r>
      <w:r>
        <w:rPr>
          <w:rFonts w:ascii="Times New Roman" w:hAnsi="Times New Roman"/>
          <w:caps w:val="false"/>
          <w:smallCaps w:val="false"/>
          <w:sz w:val="20"/>
        </w:rPr>
        <w:t>illion under the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31, 2022, we and Ameris Bank, as lender, entered into a $20.0 million revolving loan agreement, or the Line of Credit. Proceeds of the revolving facility provided by the Line of Credit are to be used for general corporate purposes. Loans under the Line of Credit bear interest at the Secured Overnight Financing Rate, or SOFR, plus 1.60%, with a SOFR floor of 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revolving facility under the Line of Credit is secured by a perfected security interest in deposit accounts. The revolving facility under the Line of Credit is subject to customary affirmative and negative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latest maturity date of the loans under the Line of Credit is May 31, 2025. The Line of Credit contains customary events of default that could lead to an acceleration of the loans, including cross-default, bankruptcy and payment defaults. As of December 31, 2022, we had drawn $12.8 million from the Line of Credit to finance the transactions under the Arimoclomol Purchase Agreement, and this amount was supported by a $12.8 million certificate of deposit which was shown as long-term investments - other in the condensed consolidated balance sheet as of December 31, 2022. The remaining $7.2 million available under the Line of Credit was secured by a separate interest-bearing certificate of deposit and was also recorded as long-term investments - other in the condensed consolidated balance sheet as of December 31, 2022. These certificates of deposit were pledged as collateral against the Line of Credit and could not be redeemed so long as the $20.0 million remained available under the Line of Credit. The total value of the certificates of deposit held with Ameris Bank must meet or exceed the amount available to borrow under the Line of Credit so long as the Line of Credit remains active. On January 31, 2023, we repaid the $12.8 million outstanding under the Line of Credit in full, and subsequently closed the Line of Credit during the first quarter of 2023. In conjunction with closing the Line of Credit, the maturity dates of the certificates of deposit were modified to May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26, 2023, we and Wells Fargo, as lender, entered into a margin account agreement. Our investments are used as collateral for the loan and the amount we are able to borrow is limited to 80-90% of our outstanding investment balance held with Wells Fargo. The margin account bears interest at the Prime Rate minus 225 basis-points. As of June 30, 2023, $</w:t>
      </w:r>
      <w:r>
        <w:rPr>
          <w:rFonts w:ascii="Times New Roman" w:hAnsi="Times New Roman"/>
          <w:caps w:val="false"/>
          <w:smallCaps w:val="false"/>
          <w:sz w:val="20"/>
          <w:shd w:fill="FFFFFF" w:val="clear"/>
        </w:rPr>
        <w:t>12.7 m</w:t>
      </w:r>
      <w:r>
        <w:rPr>
          <w:rFonts w:ascii="Times New Roman" w:hAnsi="Times New Roman"/>
          <w:caps w:val="false"/>
          <w:smallCaps w:val="false"/>
          <w:sz w:val="20"/>
        </w:rPr>
        <w:t>illion was outstanding under the margin account.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six months ended June 30, 2023 and 2022 (in thousands):</w:t>
      </w:r>
    </w:p>
    <w:p>
      <w:pPr>
        <w:pStyle w:val="TextBody"/>
        <w:bidi w:val="0"/>
        <w:spacing w:before="0" w:after="0"/>
        <w:ind w:left="0" w:right="0" w:hanging="0"/>
        <w:jc w:val="left"/>
        <w:rPr/>
      </w:pPr>
      <w:r>
        <w:rPr/>
        <w:t> </w:t>
      </w:r>
    </w:p>
    <w:tbl>
      <w:tblPr>
        <w:tblW w:w="6732" w:type="dxa"/>
        <w:jc w:val="left"/>
        <w:tblInd w:w="0" w:type="dxa"/>
        <w:tblLayout w:type="fixed"/>
        <w:tblCellMar>
          <w:top w:w="0" w:type="dxa"/>
          <w:left w:w="0" w:type="dxa"/>
          <w:bottom w:w="0" w:type="dxa"/>
          <w:right w:w="0" w:type="dxa"/>
        </w:tblCellMar>
      </w:tblPr>
      <w:tblGrid>
        <w:gridCol w:w="4355"/>
        <w:gridCol w:w="60"/>
        <w:gridCol w:w="165"/>
        <w:gridCol w:w="861"/>
        <w:gridCol w:w="106"/>
        <w:gridCol w:w="79"/>
        <w:gridCol w:w="165"/>
        <w:gridCol w:w="861"/>
        <w:gridCol w:w="8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(12,749</w:t>
            </w:r>
          </w:p>
        </w:tc>
        <w:tc>
          <w:tcPr>
            <w:tcW w:w="1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(7,657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16,481</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(36,928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(2,799</w:t>
            </w:r>
          </w:p>
        </w:tc>
        <w:tc>
          <w:tcPr>
            <w:tcW w:w="1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9,018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Effect of exchange rates on cash and cash equivalents</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(203</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730</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(35,567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For the six months ended June 30, 2023, net cash used in operating activities of $12.8 milli</w:t>
      </w:r>
      <w:r>
        <w:rPr>
          <w:rFonts w:ascii="Times New Roman" w:hAnsi="Times New Roman"/>
          <w:caps w:val="false"/>
          <w:smallCaps w:val="false"/>
          <w:sz w:val="20"/>
        </w:rPr>
        <w:t xml:space="preserve">on consisted of a net loss of </w:t>
      </w:r>
      <w:r>
        <w:rPr>
          <w:rFonts w:ascii="Times New Roman" w:hAnsi="Times New Roman"/>
          <w:caps w:val="false"/>
          <w:smallCaps w:val="false"/>
          <w:sz w:val="20"/>
          <w:shd w:fill="FFFFFF" w:val="clear"/>
        </w:rPr>
        <w:t>$16.9 m</w:t>
      </w:r>
      <w:r>
        <w:rPr>
          <w:rFonts w:ascii="Times New Roman" w:hAnsi="Times New Roman"/>
          <w:caps w:val="false"/>
          <w:smallCaps w:val="false"/>
          <w:sz w:val="20"/>
        </w:rPr>
        <w:t xml:space="preserve">illion, partially offset by </w:t>
      </w:r>
      <w:r>
        <w:rPr>
          <w:rFonts w:ascii="Times New Roman" w:hAnsi="Times New Roman"/>
          <w:caps w:val="false"/>
          <w:smallCaps w:val="false"/>
          <w:sz w:val="20"/>
          <w:shd w:fill="FFFFFF" w:val="clear"/>
        </w:rPr>
        <w:t>$2.9 milli</w:t>
      </w:r>
      <w:r>
        <w:rPr>
          <w:rFonts w:ascii="Times New Roman" w:hAnsi="Times New Roman"/>
          <w:caps w:val="false"/>
          <w:smallCaps w:val="false"/>
          <w:sz w:val="20"/>
        </w:rPr>
        <w:t>on in adjustments for non-cash items and $1</w:t>
      </w:r>
      <w:r>
        <w:rPr>
          <w:rFonts w:ascii="Times New Roman" w:hAnsi="Times New Roman"/>
          <w:caps w:val="false"/>
          <w:smallCaps w:val="false"/>
          <w:sz w:val="20"/>
          <w:shd w:fill="FFFFFF" w:val="clear"/>
        </w:rPr>
        <w:t>.2 m</w:t>
      </w:r>
      <w:r>
        <w:rPr>
          <w:rFonts w:ascii="Times New Roman" w:hAnsi="Times New Roman"/>
          <w:caps w:val="false"/>
          <w:smallCaps w:val="false"/>
          <w:sz w:val="20"/>
        </w:rPr>
        <w:t>illion in changes in working capital. Net loss was primarily attributable to our spending on research and development programs and operating co</w:t>
      </w:r>
      <w:r>
        <w:rPr>
          <w:rFonts w:ascii="Times New Roman" w:hAnsi="Times New Roman"/>
          <w:caps w:val="false"/>
          <w:smallCaps w:val="false"/>
          <w:sz w:val="20"/>
          <w:shd w:fill="FFFFFF" w:val="clear"/>
        </w:rPr>
        <w:t>sts, partially offset by revenue received under the AZSTARYS License Agreement, Arimoclomol EAP and the Corium Consulting Agreement. The changes in working capital consisted of $3.1 million related to a change in discount and rebate liabilities, $3.2 m</w:t>
      </w:r>
      <w:r>
        <w:rPr>
          <w:rFonts w:ascii="Times New Roman" w:hAnsi="Times New Roman"/>
          <w:caps w:val="false"/>
          <w:smallCaps w:val="false"/>
          <w:sz w:val="20"/>
        </w:rPr>
        <w:t>illion related to a change in accounts payable and accrued expense</w:t>
      </w:r>
      <w:r>
        <w:rPr>
          <w:rFonts w:ascii="Times New Roman" w:hAnsi="Times New Roman"/>
          <w:caps w:val="false"/>
          <w:smallCaps w:val="false"/>
          <w:sz w:val="20"/>
          <w:shd w:fill="FFFFFF" w:val="clear"/>
        </w:rPr>
        <w:t>s, $0.2 milli</w:t>
      </w:r>
      <w:r>
        <w:rPr>
          <w:rFonts w:ascii="Times New Roman" w:hAnsi="Times New Roman"/>
          <w:caps w:val="false"/>
          <w:smallCaps w:val="false"/>
          <w:sz w:val="20"/>
        </w:rPr>
        <w:t>on related to a change in operating lease right-of-use assets,</w:t>
      </w:r>
      <w:r>
        <w:rPr>
          <w:rFonts w:ascii="Times New Roman" w:hAnsi="Times New Roman"/>
          <w:caps w:val="false"/>
          <w:smallCaps w:val="false"/>
          <w:sz w:val="20"/>
          <w:shd w:fill="FFFFFF" w:val="clear"/>
        </w:rPr>
        <w:t xml:space="preserve"> $0.1 m</w:t>
      </w:r>
      <w:r>
        <w:rPr>
          <w:rFonts w:ascii="Times New Roman" w:hAnsi="Times New Roman"/>
          <w:caps w:val="false"/>
          <w:smallCaps w:val="false"/>
          <w:sz w:val="20"/>
        </w:rPr>
        <w:t xml:space="preserve">illion related to a change in inventories and </w:t>
      </w:r>
      <w:r>
        <w:rPr>
          <w:rFonts w:ascii="Times New Roman" w:hAnsi="Times New Roman"/>
          <w:caps w:val="false"/>
          <w:smallCaps w:val="false"/>
          <w:sz w:val="20"/>
          <w:shd w:fill="FFFFFF" w:val="clear"/>
        </w:rPr>
        <w:t>$0.6 mil</w:t>
      </w:r>
      <w:r>
        <w:rPr>
          <w:rFonts w:ascii="Times New Roman" w:hAnsi="Times New Roman"/>
          <w:caps w:val="false"/>
          <w:smallCaps w:val="false"/>
          <w:sz w:val="20"/>
        </w:rPr>
        <w:t>lion related to a change in other liabilities, partially offset b</w:t>
      </w:r>
      <w:r>
        <w:rPr>
          <w:rFonts w:ascii="Times New Roman" w:hAnsi="Times New Roman"/>
          <w:caps w:val="false"/>
          <w:smallCaps w:val="false"/>
          <w:sz w:val="20"/>
          <w:shd w:fill="FFFFFF" w:val="clear"/>
        </w:rPr>
        <w:t>y $5.7 million related to a change in accounts and other receivables, $0.2 mi</w:t>
      </w:r>
      <w:r>
        <w:rPr>
          <w:rFonts w:ascii="Times New Roman" w:hAnsi="Times New Roman"/>
          <w:caps w:val="false"/>
          <w:smallCaps w:val="false"/>
          <w:sz w:val="20"/>
        </w:rPr>
        <w:t xml:space="preserve">llion related to a change in operating lease </w:t>
      </w:r>
      <w:r>
        <w:rPr>
          <w:rFonts w:ascii="Times New Roman" w:hAnsi="Times New Roman"/>
          <w:caps w:val="false"/>
          <w:smallCaps w:val="false"/>
          <w:sz w:val="20"/>
          <w:shd w:fill="FFFFFF" w:val="clear"/>
        </w:rPr>
        <w:t>liabilities and $0.1 million</w:t>
      </w:r>
      <w:r>
        <w:rPr>
          <w:rFonts w:ascii="Times New Roman" w:hAnsi="Times New Roman"/>
          <w:caps w:val="false"/>
          <w:smallCaps w:val="false"/>
          <w:sz w:val="20"/>
        </w:rPr>
        <w:t xml:space="preserve"> related to a change in prepaid expenses and other assets. </w:t>
      </w:r>
      <w:r>
        <w:rPr>
          <w:rFonts w:ascii="Times New Roman" w:hAnsi="Times New Roman"/>
          <w:caps w:val="false"/>
          <w:smallCaps w:val="false"/>
          <w:sz w:val="20"/>
          <w:shd w:fill="FFFFFF" w:val="clear"/>
        </w:rPr>
        <w:t>The adjustments for non-cash items primarily consisted of stock-based compensation expense of $1.6 million, non-cash severance expense of $1.4 million, and $0.3 million related to depreciation, amortization and other items, partially offset by a change in the fair value adjustment related to investments of $0.3 million</w:t>
      </w:r>
      <w:r>
        <w:rPr>
          <w:rFonts w:ascii="Times New Roman" w:hAnsi="Times New Roman"/>
          <w:caps w:val="false"/>
          <w:smallCaps w:val="false"/>
          <w:sz w:val="20"/>
        </w:rPr>
        <w:t xml:space="preserve"> and a gain on foreign currency exchange rates of $</w:t>
      </w:r>
      <w:r>
        <w:rPr>
          <w:rFonts w:ascii="Times New Roman" w:hAnsi="Times New Roman"/>
          <w:caps w:val="false"/>
          <w:smallCaps w:val="false"/>
          <w:sz w:val="20"/>
          <w:shd w:fill="FFFFFF" w:val="clear"/>
        </w:rPr>
        <w:t>0.1 m</w:t>
      </w:r>
      <w:r>
        <w:rPr>
          <w:rFonts w:ascii="Times New Roman" w:hAnsi="Times New Roman"/>
          <w:caps w:val="false"/>
          <w:smallCaps w:val="false"/>
          <w:sz w:val="20"/>
        </w:rPr>
        <w:t>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2022, net cash used in operating activities of $7.7 million consisted of a net loss of $25.9 million and $2.4 million in changes in working capital, partially offset by $20.7 million in adjustments for non-cash items. Net loss was primarily attributable to our spending on research and development programs and operating costs, partially offset by revenue received under the AZSTARYS License Agreement, Arimoclomol EAP and the Corium Consulting Agreement. The changes in working capital consisted of $1.9 million related to a change in prepaid expenses and other assets, $1.3 million related to a change in accounts and other receivables and $0.3 million related to a change in other liabilities, partially offset by $0.6 million related to a change in accounts payable and accrued expenses and $0.5 million related to a change in discount and rebate liabilities. The adjustments for non-cash items primarily consisted of stock-based compensation expense of $2.4 million, a change in the fair value adjustment related to investments of $0.5 million, $17.7 million related to acquired in-process research and development which was expensed as part of the transactions under the Arimoclomol Purchase Agreement and $0.4 million related to depreciation, amortization and other items, partially offset by a change in the fair value adjustment related to derivative and warrant liabilities of $0.3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2023, net cash provided by investing activities wa</w:t>
      </w:r>
      <w:r>
        <w:rPr>
          <w:rFonts w:ascii="Times New Roman" w:hAnsi="Times New Roman"/>
          <w:caps w:val="false"/>
          <w:smallCaps w:val="false"/>
          <w:sz w:val="20"/>
          <w:shd w:fill="FFFFFF" w:val="clear"/>
        </w:rPr>
        <w:t>s $16.5 mil</w:t>
      </w:r>
      <w:r>
        <w:rPr>
          <w:rFonts w:ascii="Times New Roman" w:hAnsi="Times New Roman"/>
          <w:caps w:val="false"/>
          <w:smallCaps w:val="false"/>
          <w:sz w:val="20"/>
        </w:rPr>
        <w:t>lion, which was primarily attributable to maturities of investments of $34.0 million, partially offset by purchases of investments of $17.5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2022, net cash used in investing activities was $36.9 million, which was attributable to net acquisition costs of the transactions under the Arimoclomol Purchase Agreement of $14.1 million and purchases of investments of $23.8 million, partially offset by maturities of investments of $1.0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2023, net cash used in financing activities was</w:t>
      </w:r>
      <w:r>
        <w:rPr>
          <w:rFonts w:ascii="Times New Roman" w:hAnsi="Times New Roman"/>
          <w:caps w:val="false"/>
          <w:smallCaps w:val="false"/>
          <w:sz w:val="20"/>
          <w:shd w:fill="FFFFFF" w:val="clear"/>
        </w:rPr>
        <w:t xml:space="preserve"> $2.8 mill</w:t>
      </w:r>
      <w:r>
        <w:rPr>
          <w:rFonts w:ascii="Times New Roman" w:hAnsi="Times New Roman"/>
          <w:caps w:val="false"/>
          <w:smallCaps w:val="false"/>
          <w:sz w:val="20"/>
        </w:rPr>
        <w:t>ion, which was primarily attributable to repayment of debt of $13.0 million, payments to repurchase shares as part of the Share Repurchase Program of $3.4 million, and payments of principal on insurance financing arrangements o</w:t>
      </w:r>
      <w:r>
        <w:rPr>
          <w:rFonts w:ascii="Times New Roman" w:hAnsi="Times New Roman"/>
          <w:caps w:val="false"/>
          <w:smallCaps w:val="false"/>
          <w:sz w:val="20"/>
          <w:shd w:fill="FFFFFF" w:val="clear"/>
        </w:rPr>
        <w:t>f $0.6 mi</w:t>
      </w:r>
      <w:r>
        <w:rPr>
          <w:rFonts w:ascii="Times New Roman" w:hAnsi="Times New Roman"/>
          <w:caps w:val="false"/>
          <w:smallCaps w:val="false"/>
          <w:sz w:val="20"/>
        </w:rPr>
        <w:t>llion, partially offset by </w:t>
      </w:r>
      <w:r>
        <w:rPr>
          <w:rFonts w:ascii="Times New Roman" w:hAnsi="Times New Roman"/>
          <w:caps w:val="false"/>
          <w:smallCaps w:val="false"/>
          <w:sz w:val="20"/>
          <w:shd w:fill="FFFFFF" w:val="clear"/>
        </w:rPr>
        <w:t>proceeds from the issuance of debt of $12.8 million, proceeds from insurance financing programs of $1.3 million and proceeds from the Employee Stock Purchase Plan of $0.1 million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2022, net cash provided by financing activities was $9.0 million, which was primarily attributable to proceeds from the issuance of debt of $12.8 million, proceeds from insurance financing arrangements of $1.3 million and proceeds from sales of common stock under the Employee Stock Purchase Plan of $0.2 million, partially offset by payments to repurchase shares as part of the Share Repurchase Program of $4.7 million, payments of principal on insurance financing arrangements of $0.5 million and payment of offering costs of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Future Funding Requirements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our current operating forecast, we believe that our existing cash, cash equivalents and investments will be sufficient to fund our operations into 2026. This estimate includes the ongoing reimbursements from the French early access program for arimoclomol, completion of the arimoclomol NDA resubmission, commercial activities to support the launch of arimoclomol, if approved, and completion of the KP1077 development program for IH up to NDA submission This estimate does not include revenue from arimoclomol after potential FDA approval, or the potential sale of the priority review voucher of arimoclomol, which would be received at that time, as well, or the costs of a Phase 3 trial for  KP1077 in narcolepsy. Certain of the milestones are associated with regulatory matters that are outside our control. In addition, we maintain the majority of our cash and cash equivalents in accounts with major U.S. and multi-national financial institutions, and our deposits at these institutions exceed insured limits. Market conditions can impact the viability of these institutions. In the event of a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 near-term sources of additional funding include:</w:t>
      </w:r>
    </w:p>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60"/>
        <w:gridCol w:w="170"/>
        <w:gridCol w:w="9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consulting revenue or short-term milestone payments generated under the AZSTARYS License Agreement;</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283"/>
              <w:jc w:val="left"/>
              <w:rPr/>
            </w:pPr>
            <w:r>
              <w:rPr/>
              <w:t>any product sales under the Arimoclomol EAP;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consulting services revenue generated under other potential consulting arrangements.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cannot guarantee that we will be able to generate sufficient proceeds from any of these potential sources to fund our operating expenses. We anticipate that our expenses will fluctuate substantially as we: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continue our ongoing preclinical studies, clinical trials and our product development activities for our pipeline of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seek regulatory approvals for any product candidates that successfully complete 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continue research and preclinical development and initiate clinical trials of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seek to discover and develop additional product candidates either internally or in partnership with other pharmaceutical companies;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adapt our regulatory compliance efforts to incorporate requirements applicable to marketed products;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maintain, expand and protect our intellectual property portfolio;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incur additional legal, accounting and other expenses in operating as a public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date, we have generated revenue from the AZSTARYS License Agreement, reimbursements of out-of-pocket third-party costs, the performance of consulting services and product sales under the Arimoclomol EAP. We expect that, for the foreseeable future, our only sources of revenues will be through payments arising from the AZSTARYS License Agreement, through potential consulting arrangements and any other future arrangements related to one of our product candidates and product sales under the Arimoclomol EAP. While we have entered into the AZSTARYS License Agreement to develop, manufacture and commercialize AZSTARYS, we cannot guarantee that this, or any strategy we adopt in the future, will be successful. For instance, we received milestone payments under the AZSTARYS License Agreement, but we cannot guarantee that we will earn any additional milestone or royalty payments under this agreement in the future. We also cannot guarantee that we will continue to generate revenue under the Arimoclomol EAP. We also expect to continue to incur additional costs associated with operating as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based our estimates of our cash needs and cash runway on assumptions that may prove to be wrong, and we may use our available capital resources sooner than we currently expect and we cannot guarantee that we will be able to generate sufficient proceeds from the AZSTARYS License Agreement, product reimbursements under the Arimoclomol EAP and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critical accounting policies have not changed materially from those described in </w:t>
      </w:r>
      <w:r>
        <w:rPr>
          <w:rFonts w:ascii="Times New Roman;Times;serif" w:hAnsi="Times New Roman;Times;serif"/>
          <w:i/>
          <w:sz w:val="20"/>
        </w:rPr>
        <w:t>Item 7 - Management's Discussion and Analysis of Financial Condition and Results of Operations</w:t>
      </w:r>
      <w:r>
        <w:rPr>
          <w:rFonts w:ascii="Times New Roman;Times;serif" w:hAnsi="Times New Roman;Times;serif"/>
          <w:sz w:val="20"/>
        </w:rPr>
        <w:t> of our Annual Report on Form 10-K for the fiscal year ended December 31, 2022, filed with the SEC on March 7, 2023.</w:t>
      </w:r>
    </w:p>
    <w:p>
      <w:pPr>
        <w:pStyle w:val="TextBody"/>
        <w:bidi w:val="0"/>
        <w:spacing w:before="0" w:after="0"/>
        <w:ind w:left="1101" w:right="0" w:hanging="1109"/>
        <w:jc w:val="left"/>
        <w:rPr/>
      </w:pPr>
      <w:r>
        <w:rPr/>
        <w:t>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0" w:name="item3"/>
            <w:bookmarkEnd w:id="10"/>
            <w:r>
              <w:rPr>
                <w:rFonts w:ascii="Times New Roman;Times;serif" w:hAnsi="Times New Roman;Times;serif"/>
                <w:b/>
                <w:caps/>
                <w:sz w:val="20"/>
              </w:rPr>
              <w:t>Item 3.</w:t>
            </w:r>
          </w:p>
        </w:tc>
        <w:tc>
          <w:tcPr>
            <w:tcW w:w="696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Quantitative and Qualitative Disclosures About Market Risk</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tbl>
      <w:tblPr>
        <w:tblW w:w="3655" w:type="dxa"/>
        <w:jc w:val="left"/>
        <w:tblInd w:w="0" w:type="dxa"/>
        <w:tblLayout w:type="fixed"/>
        <w:tblCellMar>
          <w:top w:w="0" w:type="dxa"/>
          <w:left w:w="0" w:type="dxa"/>
          <w:bottom w:w="0" w:type="dxa"/>
          <w:right w:w="0" w:type="dxa"/>
        </w:tblCellMar>
      </w:tblPr>
      <w:tblGrid>
        <w:gridCol w:w="740"/>
        <w:gridCol w:w="291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1" w:name="item4"/>
            <w:bookmarkEnd w:id="11"/>
            <w:r>
              <w:rPr>
                <w:rFonts w:ascii="Times New Roman;Times;serif" w:hAnsi="Times New Roman;Times;serif"/>
                <w:b/>
                <w:caps/>
                <w:sz w:val="20"/>
              </w:rPr>
              <w:t>Item 4.</w:t>
            </w:r>
          </w:p>
        </w:tc>
        <w:tc>
          <w:tcPr>
            <w:tcW w:w="291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Controls and Procedures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our chief financial officer, evaluated the effectiveness of our disclosure controls and procedures as of June 30, 2023. Based on the evaluation of our disclosure controls and procedures as of June 30, 2023, our chief executive officer and our chief financial officer concluded that, as of such date, our disclosure controls and procedures were effective at the reasonable assurance level.</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identified in connection with the evaluation required by Rules 13a-15(d) and 15d-15(d) of the Exchange Act that occurred during our fiscal quarter ended June 30, 2023, that materially affected, or is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2" w:name="part2"/>
      <w:bookmarkEnd w:id="12"/>
      <w:r>
        <w:rPr>
          <w:rFonts w:ascii="Times New Roman;Times;serif" w:hAnsi="Times New Roman;Times;serif"/>
          <w:b/>
          <w:sz w:val="20"/>
        </w:rPr>
        <w:t>PART II</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OTHER INFORMATION</w:t>
      </w:r>
    </w:p>
    <w:p>
      <w:pPr>
        <w:pStyle w:val="TextBody"/>
        <w:bidi w:val="0"/>
        <w:spacing w:before="0" w:after="0"/>
        <w:ind w:left="0" w:right="0" w:hanging="0"/>
        <w:jc w:val="left"/>
        <w:rPr/>
      </w:pPr>
      <w:r>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3" w:name="legal"/>
            <w:bookmarkEnd w:id="13"/>
            <w:r>
              <w:rPr>
                <w:rFonts w:ascii="Times New Roman;Times;serif" w:hAnsi="Times New Roman;Times;serif"/>
                <w:b/>
                <w:caps/>
                <w:sz w:val="20"/>
              </w:rPr>
              <w:t>Item 1.</w:t>
            </w:r>
          </w:p>
        </w:tc>
        <w:tc>
          <w:tcPr>
            <w:tcW w:w="216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Legal Proceedings</w:t>
            </w:r>
          </w:p>
        </w:tc>
      </w:tr>
    </w:tbl>
    <w:p>
      <w:pPr>
        <w:pStyle w:val="TextBody"/>
        <w:shd w:fill="FFFFFF" w:val="clear"/>
        <w:bidi w:val="0"/>
        <w:spacing w:before="0" w:after="0"/>
        <w:ind w:left="0" w:right="0" w:hanging="0"/>
        <w:jc w:val="left"/>
        <w:rPr>
          <w:color w:val="000000"/>
        </w:rPr>
      </w:pPr>
      <w:r>
        <w:rPr>
          <w:color w:val="000000"/>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pStyle w:val="TextBody"/>
        <w:bidi w:val="0"/>
        <w:spacing w:before="0" w:after="0"/>
        <w:ind w:left="0" w:right="0" w:hanging="0"/>
        <w:jc w:val="both"/>
        <w:rPr/>
      </w:pPr>
      <w:r>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4" w:name="risk"/>
            <w:bookmarkEnd w:id="14"/>
            <w:r>
              <w:rPr>
                <w:rFonts w:ascii="Times New Roman;Times;serif" w:hAnsi="Times New Roman;Times;serif"/>
                <w:b/>
                <w:caps/>
                <w:sz w:val="20"/>
              </w:rPr>
              <w:t>Item 1A.</w:t>
            </w:r>
          </w:p>
        </w:tc>
        <w:tc>
          <w:tcPr>
            <w:tcW w:w="144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Risk Factors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other information set forth in this Quarterly Report on Form 10-Q, you should carefully consider all the risk factors and uncertainties described in Part I, Item 1A. “Risk Factors” of our Annual Report on Form 10-K for the fiscal year ended December 31, 2022, filed with the SEC on March 7, 2023, before investing in our common stock. Except as discussed below, there have been no material changes to the risk factors described in that report. If any of those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those risk factors and the other factors described in in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Our future success depends on our ability to retain key executives and to attract, retain and motivate qualified personnel</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highly dependent on the management, research and development, clinical, financial and business development expertise of our senior leadership team, as well as the other members of our scientific and clinical teams. Although we have employment agreements with each of our executive officers, these agreements do not obligate them to continue working for our company and they may terminate their employment with us at any time. Among other recent changes in our senior management team, our Chief Executive Officer has resigned effective as of June 1, 2023. Our future performance will depend, in part, on a successful transition period with our new Chief Executive Officer, including our interim Chief Executive Officer, the successful integration of these and any other new senior level executives into their roles, and the continuity of leadership among the larger workforce. If we do not successfully manage these transitions, it could be viewed negatively by our customers, employees, investors, and other third-party partners, and could have an adverse impact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could be negatively affected as a result of the actions of activist stockholders, which could be disruptive and costly and may conflict with or disrupt the strategic direction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2023, our board of directors received notice from a stockholder of his intention to nominate three nominees to stand for election to our board of directors at our 2023 annual meeting of stockholders and to submit a proposal at the annual meeting, which resulted in a contested election at the annual meeting at which such nominees were elected by our stockholders. Similar to the activist stockholder activities initiated in January 2023, activist stockholders may from time to time attempt to effect changes in our strategic direction and seek changes regarding our corporate governance or structure. Our board of directors and management team strive to maintain constructive, ongoing communications with all stockholders who wish to speak with us, including activist stockholders, and welcome their views and opinions with the goal of working together constructively to enhance value for all stockholders. Any future proxy contest with respect to election of our directors, or other activist stockholder activities, could adversely affect our business because: (1) responding to a proxy contest and other actions by activist stockholders can be costly and time-consuming, disruptive to our operations and divert the attention of management and our employees; (2) actual or perceived uncertainties as to our future direction caused by activist activities may cause or appear to cause instability or lack of continuity, resulting in the loss of potential business opportunities, and potentially making it more difficult to attract and retain qualified personnel and business partners; and (3) if individuals are elected to our board of directors with a specific agenda, it may adversely affect our ability to effectively and timely implement our strategic plans. Activist stockholder activities may also cause significant fluctuations in our stock price based on temporary or speculative market perceptions, or other factors that do not necessarily reflect the fundamental underlying value of our business.</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Adverse developments affecting the financial services industry, including events or concerns involving liquidity, defaults, or non-performance by financial institutions, could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that potentially subject the Company to a concentration of credit risk consist primarily of cash, cash equivalents, and investments. The Company invests in money market funds, U.S. treasury securities, and U.S. government agency securities. The Company maintains bank deposits in federally insured financial institutions and these deposits may exceed federally insured limits. The Company is exposed to credit risk in the event of a default by the financial institutions holding its cash and cash equivalents to the extent recorded on the unaudited condensed consolidated balance sheets. Should events, including limited liquidity, defaults, non-performance or other adverse developments occur with respect to the banks or other financial institutions that hold our funds, or that affect financial institutions or the financial services industry generally, or concerns or rumors about any events of these kinds or other similar risks, our liquidity may be adversely affected. For example, on March 10, 2023, the Federal Deposit Insurance Corporation (FDIC) announced that Silicon Valley Bank had been closed by the California Department of Financial Protection and Innovation. Although we did not have any funds in Silicon Valley Bank or other institutions that have been closed, we cannot guarantee that the banks or other financial institutions that hold our funds will not experience similar issues.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01"/>
        <w:gridCol w:w="9504"/>
      </w:tblGrid>
      <w:tr>
        <w:trPr/>
        <w:tc>
          <w:tcPr>
            <w:tcW w:w="701"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5" w:name="unregsales"/>
            <w:bookmarkEnd w:id="15"/>
            <w:r>
              <w:rPr>
                <w:rFonts w:ascii="Times New Roman;Times;serif" w:hAnsi="Times New Roman;Times;serif"/>
                <w:b/>
                <w:caps/>
                <w:sz w:val="20"/>
              </w:rPr>
              <w:t>Item 2.</w:t>
            </w:r>
          </w:p>
        </w:tc>
        <w:tc>
          <w:tcPr>
            <w:tcW w:w="9504"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Unregistered Sales of Equity Securities, Use of Proceeds, AND ISSUER PURCHASES OF EQUITY SECURITIES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Purchases of Equity Securities By the Issuer and Affiliated Purchasers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6" w:name="defaults"/>
            <w:bookmarkEnd w:id="16"/>
            <w:r>
              <w:rPr>
                <w:rFonts w:ascii="Times New Roman;Times;serif" w:hAnsi="Times New Roman;Times;serif"/>
                <w:b/>
                <w:caps/>
                <w:sz w:val="20"/>
              </w:rPr>
              <w:t>Item 3.</w:t>
            </w:r>
          </w:p>
        </w:tc>
        <w:tc>
          <w:tcPr>
            <w:tcW w:w="363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Defaults Upon Senior Securities</w:t>
            </w:r>
          </w:p>
        </w:tc>
      </w:tr>
    </w:tbl>
    <w:p>
      <w:pPr>
        <w:pStyle w:val="TextBody"/>
        <w:bidi w:val="0"/>
        <w:spacing w:before="0" w:after="0"/>
        <w:ind w:left="0" w:right="0" w:hanging="0"/>
        <w:jc w:val="left"/>
        <w:rPr/>
      </w:pPr>
      <w:r>
        <w:rPr/>
        <w:t> </w:t>
      </w:r>
    </w:p>
    <w:p>
      <w:pPr>
        <w:pStyle w:val="TextBody"/>
        <w:bidi w:val="0"/>
        <w:spacing w:before="0" w:after="0"/>
        <w:ind w:left="1101" w:right="0" w:hanging="1109"/>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1101" w:right="0" w:hanging="1109"/>
        <w:jc w:val="both"/>
        <w:rPr/>
      </w:pPr>
      <w:r>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7" w:name="mine"/>
            <w:bookmarkEnd w:id="17"/>
            <w:r>
              <w:rPr>
                <w:rFonts w:ascii="Times New Roman;Times;serif" w:hAnsi="Times New Roman;Times;serif"/>
                <w:b/>
                <w:caps/>
                <w:sz w:val="20"/>
              </w:rPr>
              <w:t>Item 4.</w:t>
            </w:r>
          </w:p>
        </w:tc>
        <w:tc>
          <w:tcPr>
            <w:tcW w:w="2750"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Mine Safety Disclosures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8" w:name="other"/>
            <w:bookmarkEnd w:id="18"/>
            <w:r>
              <w:rPr>
                <w:rFonts w:ascii="Times New Roman;Times;serif" w:hAnsi="Times New Roman;Times;serif"/>
                <w:b/>
                <w:caps/>
                <w:sz w:val="20"/>
              </w:rPr>
              <w:t>Item 5.</w:t>
            </w:r>
          </w:p>
        </w:tc>
        <w:tc>
          <w:tcPr>
            <w:tcW w:w="219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Other Information</w:t>
            </w:r>
          </w:p>
        </w:tc>
      </w:tr>
    </w:tbl>
    <w:p>
      <w:pPr>
        <w:pStyle w:val="TextBody"/>
        <w:bidi w:val="0"/>
        <w:spacing w:before="0" w:after="0"/>
        <w:ind w:left="0" w:right="0" w:hanging="0"/>
        <w:jc w:val="both"/>
        <w:rPr/>
      </w:pPr>
      <w:r>
        <w:rPr/>
        <w:t> </w:t>
      </w:r>
    </w:p>
    <w:p>
      <w:pPr>
        <w:pStyle w:val="TextBody"/>
        <w:bidi w:val="0"/>
        <w:spacing w:before="0" w:after="0"/>
        <w:ind w:left="180" w:right="180" w:hanging="0"/>
        <w:jc w:val="both"/>
        <w:rPr>
          <w:rFonts w:ascii="Times New Roman;Times;serif" w:hAnsi="Times New Roman;Times;serif"/>
          <w:sz w:val="20"/>
        </w:rPr>
      </w:pPr>
      <w:r>
        <w:rPr>
          <w:rFonts w:ascii="Times New Roman;Times;serif" w:hAnsi="Times New Roman;Times;serif"/>
          <w:sz w:val="20"/>
        </w:rPr>
        <w:t>(a) None.</w:t>
      </w:r>
    </w:p>
    <w:p>
      <w:pPr>
        <w:pStyle w:val="TextBody"/>
        <w:bidi w:val="0"/>
        <w:spacing w:before="0" w:after="0"/>
        <w:ind w:left="180" w:right="180" w:hanging="0"/>
        <w:jc w:val="both"/>
        <w:rPr/>
      </w:pPr>
      <w:r>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(b) None.</w:t>
      </w:r>
    </w:p>
    <w:p>
      <w:pPr>
        <w:pStyle w:val="TextBody"/>
        <w:bidi w:val="0"/>
        <w:spacing w:before="0" w:after="0"/>
        <w:ind w:left="180" w:right="180" w:hanging="0"/>
        <w:jc w:val="both"/>
        <w:rPr/>
      </w:pPr>
      <w:r>
        <w:rPr/>
        <w:t> </w:t>
      </w:r>
    </w:p>
    <w:p>
      <w:pPr>
        <w:pStyle w:val="TextBody"/>
        <w:bidi w:val="0"/>
        <w:spacing w:before="0" w:after="0"/>
        <w:ind w:left="180" w:right="180" w:hanging="0"/>
        <w:jc w:val="both"/>
        <w:rPr>
          <w:rFonts w:ascii="Times New Roman;Times;serif" w:hAnsi="Times New Roman;Times;serif"/>
          <w:sz w:val="20"/>
        </w:rPr>
      </w:pPr>
      <w:r>
        <w:rPr>
          <w:rFonts w:ascii="Times New Roman;Times;serif" w:hAnsi="Times New Roman;Times;serif"/>
          <w:sz w:val="20"/>
        </w:rPr>
        <w:t>(c)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caps/>
                <w:sz w:val="20"/>
              </w:rPr>
            </w:pPr>
            <w:bookmarkStart w:id="19" w:name="exhibits"/>
            <w:bookmarkEnd w:id="19"/>
            <w:r>
              <w:rPr>
                <w:rFonts w:ascii="Times New Roman;Times;serif" w:hAnsi="Times New Roman;Times;serif"/>
                <w:b/>
                <w:caps/>
                <w:sz w:val="20"/>
              </w:rPr>
              <w:t>Item 6.</w:t>
            </w:r>
          </w:p>
        </w:tc>
        <w:tc>
          <w:tcPr>
            <w:tcW w:w="965" w:type="dxa"/>
            <w:tcBorders/>
            <w:vAlign w:val="center"/>
          </w:tcPr>
          <w:p>
            <w:pPr>
              <w:pStyle w:val="TableContents"/>
              <w:bidi w:val="0"/>
              <w:spacing w:before="0" w:after="0"/>
              <w:ind w:left="0" w:right="0" w:hanging="0"/>
              <w:jc w:val="both"/>
              <w:rPr>
                <w:rFonts w:ascii="Times New Roman;Times;serif" w:hAnsi="Times New Roman;Times;serif"/>
                <w:b/>
                <w:caps/>
                <w:sz w:val="20"/>
              </w:rPr>
            </w:pPr>
            <w:r>
              <w:rPr>
                <w:rFonts w:ascii="Times New Roman;Times;serif" w:hAnsi="Times New Roman;Times;serif"/>
                <w:b/>
                <w:caps/>
                <w:sz w:val="20"/>
              </w:rPr>
              <w:t>Exhibits</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is a list of exhibits filed as part of this Form 10-Q (the SEC file number for all items incorporated by reference herein from reports on Forms 10-K, 10-Q, and 8-K is 001-36913):</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980"/>
        <w:gridCol w:w="60"/>
        <w:gridCol w:w="9165"/>
      </w:tblGrid>
      <w:tr>
        <w:trPr/>
        <w:tc>
          <w:tcPr>
            <w:tcW w:w="98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0"/>
              <w:ind w:left="0" w:right="0" w:hanging="0"/>
              <w:jc w:val="center"/>
              <w:rPr/>
            </w:pPr>
            <w:r>
              <w:rPr/>
              <w:t> </w:t>
            </w:r>
          </w:p>
        </w:tc>
        <w:tc>
          <w:tcPr>
            <w:tcW w:w="916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sz w:val="20"/>
                </w:rPr>
                <w:t>Amended and Restated Certificate of Incorporation of Zevra Therapeutics, Inc. (incorporated herein by reference to the Registrant’s Current Report on Form 8-K as filed with the SEC on April 21, 2015).</w:t>
              </w:r>
            </w:hyperlink>
          </w:p>
        </w:tc>
      </w:tr>
      <w:tr>
        <w:trPr/>
        <w:tc>
          <w:tcPr>
            <w:tcW w:w="980" w:type="dxa"/>
            <w:tcBorders/>
            <w:vAlign w:val="center"/>
          </w:tcPr>
          <w:p>
            <w:pPr>
              <w:pStyle w:val="TableContents"/>
              <w:bidi w:val="0"/>
              <w:spacing w:before="0" w:after="283"/>
              <w:jc w:val="center"/>
              <w:rPr/>
            </w:pPr>
            <w:r>
              <w:rPr/>
              <w:t>3.1.1</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both"/>
              <w:rPr/>
            </w:pPr>
            <w:hyperlink r:id="rId3">
              <w:r>
                <w:rPr>
                  <w:rStyle w:val="InternetLink"/>
                </w:rPr>
                <w:t>Certificate of Amendment of Amended and Restated Certificate of Incorporation of the Registrant, effective as of December 23, 2020 (incorporated herein by reference to Registrant's Current Report on Form 8-K as filed with the SEC on December 23, 2020).</w:t>
              </w:r>
            </w:hyperlink>
          </w:p>
        </w:tc>
      </w:tr>
      <w:tr>
        <w:trPr/>
        <w:tc>
          <w:tcPr>
            <w:tcW w:w="980" w:type="dxa"/>
            <w:tcBorders/>
            <w:vAlign w:val="center"/>
          </w:tcPr>
          <w:p>
            <w:pPr>
              <w:pStyle w:val="TableContents"/>
              <w:bidi w:val="0"/>
              <w:spacing w:before="0" w:after="283"/>
              <w:jc w:val="center"/>
              <w:rPr/>
            </w:pPr>
            <w:r>
              <w:rPr/>
              <w:t>3.1.2</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both"/>
              <w:rPr/>
            </w:pPr>
            <w:hyperlink r:id="rId4">
              <w:r>
                <w:rPr>
                  <w:rStyle w:val="InternetLink"/>
                </w:rPr>
                <w:t>Certificate of Amendment of Amended and Restated Certificate of Incorporation of Zevra Therapeutics, Inc. (incorporated herein by reference to the Registrant's Current Report on Form 8-K as filed with the SEC on February 24, 2023).</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both"/>
              <w:rPr/>
            </w:pPr>
            <w:hyperlink r:id="rId5">
              <w:r>
                <w:rPr>
                  <w:rStyle w:val="InternetLink"/>
                </w:rPr>
                <w:t>Amended and Restated Bylaws, as currently in effect, of Zevra Therapeutics, Inc. (incorporated herein by reference to the Registrant's Current Report on Form 8-K as filed with the SEC on February 24, 2023).</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283"/>
              <w:jc w:val="both"/>
              <w:rPr/>
            </w:pPr>
            <w:hyperlink r:id="rId6">
              <w:r>
                <w:rPr>
                  <w:rStyle w:val="InternetLink"/>
                </w:rPr>
                <w:t>Specimen stock certificate evidencing shares of Common Stock (incorporated herein by reference to the Registrant's Annual Report on Form 10-K as filed with the SEC on March 12, 2021).</w:t>
              </w:r>
            </w:hyperlink>
          </w:p>
        </w:tc>
      </w:tr>
      <w:tr>
        <w:trPr/>
        <w:tc>
          <w:tcPr>
            <w:tcW w:w="98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both"/>
              <w:rPr/>
            </w:pPr>
            <w:hyperlink w:anchor="ex_528364.htm">
              <w:r>
                <w:rPr>
                  <w:rStyle w:val="InternetLink"/>
                </w:rPr>
                <w:t>Ninth Amended and Restated Non-Employee Director Compensation Policy</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pPr>
            <w:hyperlink w:anchor="ex_523998.htm">
              <w:r>
                <w:rPr>
                  <w:rStyle w:val="InternetLink"/>
                  <w:rFonts w:ascii="Times New Roman;Times;serif" w:hAnsi="Times New Roman;Times;serif"/>
                  <w:sz w:val="20"/>
                </w:rPr>
                <w:t>Certification of the Principal Executive Officer pursuant to Rule 13a-14(a) or Rule 15d-14(a) of the Securities Exchange Act of 1934, as amended.</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pPr>
            <w:hyperlink w:anchor="ex_523999.htm">
              <w:r>
                <w:rPr>
                  <w:rStyle w:val="InternetLink"/>
                  <w:rFonts w:ascii="Times New Roman;Times;serif" w:hAnsi="Times New Roman;Times;serif"/>
                  <w:sz w:val="20"/>
                </w:rPr>
                <w:t>Certification of the Principal Financial Officer pursuant to Rule 13a-14(a) or Rule 15d-14(a) of the Securities Exchange Act of 1934, as amended.</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pPr>
            <w:hyperlink w:anchor="ex_524000.htm">
              <w:r>
                <w:rPr>
                  <w:rStyle w:val="InternetLink"/>
                  <w:rFonts w:ascii="Times New Roman;Times;serif" w:hAnsi="Times New Roman;Times;serif"/>
                  <w:sz w:val="20"/>
                </w:rPr>
                <w:t>Certification of the Principal Executive Officer pursuant to Rule 13a-14(b) of the Securities Exchange Act of 1934, as amended, and 18. U.S.C. Section 1350, as adopted pursuant to Section 906 of the Sarbanes-Oxley Act of 2002.</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pPr>
            <w:hyperlink w:anchor="ex_524001.htm">
              <w:r>
                <w:rPr>
                  <w:rStyle w:val="InternetLink"/>
                  <w:rFonts w:ascii="Times New Roman;Times;serif" w:hAnsi="Times New Roman;Times;serif"/>
                  <w:sz w:val="20"/>
                </w:rPr>
                <w:t>Certification of the Principal Financial Officer pursuant to Rule 13a-14(b) of the Securities Exchange Act of 1934, as amended, and 18. U.S.C. Section 1350, as adopted pursuant to Section 906 of the Sarbanes-Oxley Act of 2002.</w:t>
              </w:r>
            </w:hyperlink>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 </w:t>
            </w:r>
          </w:p>
        </w:tc>
        <w:tc>
          <w:tcPr>
            <w:tcW w:w="916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80"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9165" w:type="dxa"/>
            <w:tcBorders/>
            <w:vAlign w:val="center"/>
          </w:tcPr>
          <w:p>
            <w:pPr>
              <w:pStyle w:val="TableContents"/>
              <w:bidi w:val="0"/>
              <w:spacing w:before="0" w:after="283"/>
              <w:jc w:val="both"/>
              <w:rPr/>
            </w:pPr>
            <w:r>
              <w:rPr/>
              <w:t>Cover page Interactive Data File (embedded within the Inline XBRL and combined in Exhibit 101)</w:t>
            </w:r>
          </w:p>
        </w:tc>
      </w:tr>
    </w:tbl>
    <w:p>
      <w:pPr>
        <w:pStyle w:val="TextBody"/>
        <w:bidi w:val="0"/>
        <w:spacing w:before="0" w:after="0"/>
        <w:ind w:left="0" w:right="0" w:hanging="0"/>
        <w:jc w:val="left"/>
        <w:rPr/>
      </w:pPr>
      <w:r>
        <w:rPr/>
        <w:t> </w:t>
      </w:r>
    </w:p>
    <w:tbl>
      <w:tblPr>
        <w:tblW w:w="1810" w:type="dxa"/>
        <w:jc w:val="left"/>
        <w:tblInd w:w="0" w:type="dxa"/>
        <w:tblLayout w:type="fixed"/>
        <w:tblCellMar>
          <w:top w:w="0" w:type="dxa"/>
          <w:left w:w="0" w:type="dxa"/>
          <w:bottom w:w="0" w:type="dxa"/>
          <w:right w:w="0" w:type="dxa"/>
        </w:tblCellMar>
      </w:tblPr>
      <w:tblGrid>
        <w:gridCol w:w="230"/>
        <w:gridCol w:w="1580"/>
      </w:tblGrid>
      <w:tr>
        <w:trPr/>
        <w:tc>
          <w:tcPr>
            <w:tcW w:w="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5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Filed herewith</w:t>
            </w:r>
          </w:p>
        </w:tc>
      </w:tr>
      <w:tr>
        <w:trPr/>
        <w:tc>
          <w:tcPr>
            <w:tcW w:w="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c>
          <w:tcPr>
            <w:tcW w:w="15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20" w:name="sigs"/>
      <w:bookmarkEnd w:id="20"/>
      <w:r>
        <w:rPr>
          <w:rFonts w:ascii="Times New Roman;Times;serif" w:hAnsi="Times New Roman;Times;serif"/>
          <w:b/>
          <w:sz w:val="20"/>
        </w:rPr>
        <w:t xml:space="preserve">SIGNATURES </w:t>
      </w:r>
    </w:p>
    <w:p>
      <w:pPr>
        <w:pStyle w:val="TextBody"/>
        <w:shd w:fill="FFFFFF" w:val="clear"/>
        <w:bidi w:val="0"/>
        <w:spacing w:before="0" w:after="0"/>
        <w:ind w:left="0" w:right="0" w:hanging="0"/>
        <w:jc w:val="left"/>
        <w:rPr>
          <w:color w:val="000000"/>
        </w:rPr>
      </w:pPr>
      <w:r>
        <w:rPr>
          <w:color w:val="000000"/>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hanging="0"/>
        <w:jc w:val="left"/>
        <w:rPr>
          <w:color w:val="000000"/>
        </w:rPr>
      </w:pPr>
      <w:r>
        <w:rPr>
          <w:color w:val="000000"/>
        </w:rPr>
        <w:t> </w:t>
      </w:r>
    </w:p>
    <w:tbl>
      <w:tblPr>
        <w:tblW w:w="6255" w:type="dxa"/>
        <w:jc w:val="left"/>
        <w:tblInd w:w="0" w:type="dxa"/>
        <w:tblLayout w:type="fixed"/>
        <w:tblCellMar>
          <w:top w:w="0" w:type="dxa"/>
          <w:left w:w="0" w:type="dxa"/>
          <w:bottom w:w="0" w:type="dxa"/>
          <w:right w:w="0" w:type="dxa"/>
        </w:tblCellMar>
      </w:tblPr>
      <w:tblGrid>
        <w:gridCol w:w="2075"/>
        <w:gridCol w:w="320"/>
        <w:gridCol w:w="3860"/>
      </w:tblGrid>
      <w:tr>
        <w:trPr/>
        <w:tc>
          <w:tcPr>
            <w:tcW w:w="2075" w:type="dxa"/>
            <w:tcBorders/>
            <w:vAlign w:val="center"/>
          </w:tcPr>
          <w:p>
            <w:pPr>
              <w:pStyle w:val="TableContents"/>
              <w:bidi w:val="0"/>
              <w:spacing w:before="0" w:after="0"/>
              <w:ind w:left="0" w:right="0" w:hanging="0"/>
              <w:jc w:val="both"/>
              <w:rPr/>
            </w:pPr>
            <w:r>
              <w:rPr/>
              <w:t> </w:t>
            </w:r>
          </w:p>
        </w:tc>
        <w:tc>
          <w:tcPr>
            <w:tcW w:w="4180" w:type="dxa"/>
            <w:gridSpan w:val="2"/>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Zevra Therapeutics, Inc.</w:t>
            </w:r>
          </w:p>
        </w:tc>
      </w:tr>
      <w:tr>
        <w:trPr/>
        <w:tc>
          <w:tcPr>
            <w:tcW w:w="2075" w:type="dxa"/>
            <w:tcBorders/>
            <w:vAlign w:val="center"/>
          </w:tcPr>
          <w:p>
            <w:pPr>
              <w:pStyle w:val="TableContents"/>
              <w:bidi w:val="0"/>
              <w:spacing w:before="0" w:after="0"/>
              <w:ind w:left="0" w:right="0" w:hanging="0"/>
              <w:jc w:val="both"/>
              <w:rPr/>
            </w:pPr>
            <w:r>
              <w:rPr/>
              <w:t> </w:t>
            </w:r>
          </w:p>
        </w:tc>
        <w:tc>
          <w:tcPr>
            <w:tcW w:w="4180" w:type="dxa"/>
            <w:gridSpan w:val="2"/>
            <w:tcBorders/>
            <w:vAlign w:val="center"/>
          </w:tcPr>
          <w:p>
            <w:pPr>
              <w:pStyle w:val="TableContents"/>
              <w:bidi w:val="0"/>
              <w:spacing w:before="0" w:after="0"/>
              <w:ind w:left="0" w:right="0" w:hanging="0"/>
              <w:jc w:val="both"/>
              <w:rPr/>
            </w:pPr>
            <w:r>
              <w:rPr/>
              <w:t> </w:t>
            </w:r>
          </w:p>
        </w:tc>
      </w:tr>
      <w:tr>
        <w:trPr/>
        <w:tc>
          <w:tcPr>
            <w:tcW w:w="20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Date:      </w:t>
            </w:r>
            <w:r>
              <w:rPr>
                <w:rFonts w:ascii="Times New Roman;Times;serif" w:hAnsi="Times New Roman;Times;serif"/>
                <w:sz w:val="20"/>
                <w:shd w:fill="FFFFFF" w:val="clear"/>
              </w:rPr>
              <w:t>August 14, 2</w:t>
            </w:r>
            <w:r>
              <w:rPr>
                <w:rFonts w:ascii="Times New Roman;Times;serif" w:hAnsi="Times New Roman;Times;serif"/>
                <w:sz w:val="20"/>
              </w:rPr>
              <w:t>023</w:t>
            </w:r>
          </w:p>
        </w:tc>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Christal M.M. Mickle</w:t>
            </w:r>
          </w:p>
        </w:tc>
      </w:tr>
      <w:tr>
        <w:trPr/>
        <w:tc>
          <w:tcPr>
            <w:tcW w:w="2075" w:type="dxa"/>
            <w:tcBorders/>
            <w:vAlign w:val="center"/>
          </w:tcPr>
          <w:p>
            <w:pPr>
              <w:pStyle w:val="TableContents"/>
              <w:bidi w:val="0"/>
              <w:spacing w:before="0" w:after="0"/>
              <w:ind w:left="0" w:right="0" w:hanging="0"/>
              <w:jc w:val="both"/>
              <w:rPr/>
            </w:pPr>
            <w:r>
              <w:rPr/>
              <w:t> </w:t>
            </w:r>
          </w:p>
        </w:tc>
        <w:tc>
          <w:tcPr>
            <w:tcW w:w="320" w:type="dxa"/>
            <w:tcBorders/>
            <w:vAlign w:val="center"/>
          </w:tcPr>
          <w:p>
            <w:pPr>
              <w:pStyle w:val="TableContents"/>
              <w:bidi w:val="0"/>
              <w:spacing w:before="0" w:after="0"/>
              <w:ind w:left="0" w:right="0" w:hanging="0"/>
              <w:jc w:val="both"/>
              <w:rPr/>
            </w:pPr>
            <w:r>
              <w:rPr/>
              <w:t> </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Christal M.M. Mickle</w:t>
            </w:r>
          </w:p>
        </w:tc>
      </w:tr>
      <w:tr>
        <w:trPr/>
        <w:tc>
          <w:tcPr>
            <w:tcW w:w="2075" w:type="dxa"/>
            <w:tcBorders/>
            <w:vAlign w:val="center"/>
          </w:tcPr>
          <w:p>
            <w:pPr>
              <w:pStyle w:val="TableContents"/>
              <w:bidi w:val="0"/>
              <w:spacing w:before="0" w:after="0"/>
              <w:ind w:left="0" w:right="0" w:hanging="0"/>
              <w:jc w:val="both"/>
              <w:rPr/>
            </w:pPr>
            <w:r>
              <w:rPr/>
              <w:t> </w:t>
            </w:r>
          </w:p>
        </w:tc>
        <w:tc>
          <w:tcPr>
            <w:tcW w:w="320" w:type="dxa"/>
            <w:tcBorders/>
            <w:vAlign w:val="center"/>
          </w:tcPr>
          <w:p>
            <w:pPr>
              <w:pStyle w:val="TableContents"/>
              <w:bidi w:val="0"/>
              <w:spacing w:before="0" w:after="0"/>
              <w:ind w:left="0" w:right="0" w:hanging="0"/>
              <w:jc w:val="both"/>
              <w:rPr/>
            </w:pPr>
            <w:r>
              <w:rPr/>
              <w:t> </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Interim Chief Executive Officer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2075" w:type="dxa"/>
            <w:tcBorders/>
            <w:vAlign w:val="center"/>
          </w:tcPr>
          <w:p>
            <w:pPr>
              <w:pStyle w:val="TableContents"/>
              <w:bidi w:val="0"/>
              <w:spacing w:before="0" w:after="0"/>
              <w:ind w:left="0" w:right="0" w:hanging="0"/>
              <w:jc w:val="both"/>
              <w:rPr/>
            </w:pPr>
            <w:r>
              <w:rPr/>
              <w:t> </w:t>
            </w:r>
          </w:p>
        </w:tc>
        <w:tc>
          <w:tcPr>
            <w:tcW w:w="320" w:type="dxa"/>
            <w:tcBorders/>
            <w:vAlign w:val="center"/>
          </w:tcPr>
          <w:p>
            <w:pPr>
              <w:pStyle w:val="TableContents"/>
              <w:bidi w:val="0"/>
              <w:spacing w:before="0" w:after="0"/>
              <w:ind w:left="0" w:right="0" w:hanging="0"/>
              <w:jc w:val="both"/>
              <w:rPr/>
            </w:pPr>
            <w:r>
              <w:rPr/>
              <w:t> </w:t>
            </w:r>
          </w:p>
        </w:tc>
        <w:tc>
          <w:tcPr>
            <w:tcW w:w="3860" w:type="dxa"/>
            <w:tcBorders/>
            <w:vAlign w:val="center"/>
          </w:tcPr>
          <w:p>
            <w:pPr>
              <w:pStyle w:val="TableContents"/>
              <w:bidi w:val="0"/>
              <w:spacing w:before="0" w:after="0"/>
              <w:ind w:left="0" w:right="0" w:hanging="0"/>
              <w:jc w:val="both"/>
              <w:rPr/>
            </w:pPr>
            <w:r>
              <w:rPr/>
              <w:t> </w:t>
            </w:r>
          </w:p>
        </w:tc>
      </w:tr>
      <w:tr>
        <w:trPr/>
        <w:tc>
          <w:tcPr>
            <w:tcW w:w="20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Date:      August </w:t>
            </w:r>
            <w:r>
              <w:rPr>
                <w:rFonts w:ascii="Times New Roman;Times;serif" w:hAnsi="Times New Roman;Times;serif"/>
                <w:sz w:val="20"/>
                <w:shd w:fill="FFFFFF" w:val="clear"/>
              </w:rPr>
              <w:t xml:space="preserve">14, </w:t>
            </w:r>
            <w:r>
              <w:rPr>
                <w:rFonts w:ascii="Times New Roman;Times;serif" w:hAnsi="Times New Roman;Times;serif"/>
                <w:sz w:val="20"/>
              </w:rPr>
              <w:t>2023</w:t>
            </w:r>
          </w:p>
        </w:tc>
        <w:tc>
          <w:tcPr>
            <w:tcW w:w="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R. LaDuane Clifton</w:t>
            </w:r>
          </w:p>
        </w:tc>
      </w:tr>
      <w:tr>
        <w:trPr/>
        <w:tc>
          <w:tcPr>
            <w:tcW w:w="2075" w:type="dxa"/>
            <w:tcBorders/>
            <w:vAlign w:val="center"/>
          </w:tcPr>
          <w:p>
            <w:pPr>
              <w:pStyle w:val="TableContents"/>
              <w:bidi w:val="0"/>
              <w:spacing w:before="0" w:after="0"/>
              <w:ind w:left="0" w:right="0" w:hanging="0"/>
              <w:jc w:val="both"/>
              <w:rPr/>
            </w:pPr>
            <w:r>
              <w:rPr/>
              <w:t> </w:t>
            </w:r>
          </w:p>
        </w:tc>
        <w:tc>
          <w:tcPr>
            <w:tcW w:w="320" w:type="dxa"/>
            <w:tcBorders/>
            <w:vAlign w:val="center"/>
          </w:tcPr>
          <w:p>
            <w:pPr>
              <w:pStyle w:val="TableContents"/>
              <w:bidi w:val="0"/>
              <w:spacing w:before="0" w:after="0"/>
              <w:ind w:left="0" w:right="0" w:hanging="0"/>
              <w:jc w:val="both"/>
              <w:rPr/>
            </w:pPr>
            <w:r>
              <w:rPr/>
              <w:t> </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 LaDuane Clifton, MBA, CPA</w:t>
            </w:r>
          </w:p>
        </w:tc>
      </w:tr>
      <w:tr>
        <w:trPr/>
        <w:tc>
          <w:tcPr>
            <w:tcW w:w="2075" w:type="dxa"/>
            <w:tcBorders/>
            <w:vAlign w:val="center"/>
          </w:tcPr>
          <w:p>
            <w:pPr>
              <w:pStyle w:val="TableContents"/>
              <w:bidi w:val="0"/>
              <w:spacing w:before="0" w:after="0"/>
              <w:ind w:left="0" w:right="0" w:hanging="0"/>
              <w:jc w:val="both"/>
              <w:rPr/>
            </w:pPr>
            <w:r>
              <w:rPr/>
              <w:t> </w:t>
            </w:r>
          </w:p>
        </w:tc>
        <w:tc>
          <w:tcPr>
            <w:tcW w:w="320" w:type="dxa"/>
            <w:tcBorders/>
            <w:vAlign w:val="center"/>
          </w:tcPr>
          <w:p>
            <w:pPr>
              <w:pStyle w:val="TableContents"/>
              <w:bidi w:val="0"/>
              <w:spacing w:before="0" w:after="0"/>
              <w:ind w:left="0" w:right="0" w:hanging="0"/>
              <w:jc w:val="both"/>
              <w:rPr/>
            </w:pPr>
            <w:r>
              <w:rPr/>
              <w:t> </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Secretary and Treasurer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283"/>
        <w:jc w:val="left"/>
        <w:rPr/>
      </w:pPr>
      <w:r>
        <w:rPr/>
        <w:t> </w:t>
      </w:r>
    </w:p>
    <w:p>
      <w:pPr>
        <w:pStyle w:val="TextBody"/>
        <w:bidi w:val="0"/>
        <w:ind w:left="0" w:right="0" w:hanging="0"/>
        <w:jc w:val="center"/>
        <w:rPr>
          <w:rFonts w:ascii="Times New Roman" w:hAnsi="Times New Roman"/>
          <w:sz w:val="20"/>
        </w:rPr>
      </w:pPr>
      <w:r>
        <w:rPr>
          <w:rFonts w:ascii="Times New Roman" w:hAnsi="Times New Roman"/>
          <w:sz w:val="20"/>
        </w:rPr>
        <w:t xml:space="preserve">37 </w:t>
      </w:r>
    </w:p>
    <w:p>
      <w:pPr>
        <w:pStyle w:val="TextBody"/>
        <w:bidi w:val="0"/>
        <w:spacing w:before="0" w:after="0"/>
        <w:ind w:left="0" w:right="0" w:hanging="0"/>
        <w:jc w:val="right"/>
        <w:rPr>
          <w:rFonts w:ascii="Times New Roman;Times;serif" w:hAnsi="Times New Roman;Times;serif"/>
          <w:b/>
          <w:sz w:val="20"/>
        </w:rPr>
      </w:pPr>
      <w:bookmarkStart w:id="21" w:name="ex_528364.htm"/>
      <w:bookmarkStart w:id="22" w:name="ksex_528364"/>
      <w:bookmarkEnd w:id="21"/>
      <w:bookmarkEnd w:id="22"/>
      <w:r>
        <w:rPr>
          <w:rFonts w:ascii="Times New Roman;Times;serif" w:hAnsi="Times New Roman;Times;serif"/>
          <w:b/>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Zevra Therapeutics, Inc.</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Ninth Amended and Restated</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Non-Employee Director Compensation Policy</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Effective: May 3,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4"/>
        </w:rPr>
      </w:pPr>
      <w:r>
        <w:rPr>
          <w:rFonts w:ascii="Times New Roman" w:hAnsi="Times New Roman"/>
          <w:caps w:val="false"/>
          <w:smallCaps w:val="false"/>
          <w:sz w:val="24"/>
        </w:rPr>
        <w:t>Each member of the board of director (the “</w:t>
      </w:r>
      <w:r>
        <w:rPr>
          <w:rFonts w:ascii="Times New Roman" w:hAnsi="Times New Roman"/>
          <w:b/>
          <w:i/>
          <w:caps w:val="false"/>
          <w:smallCaps w:val="false"/>
          <w:sz w:val="24"/>
        </w:rPr>
        <w:t>Board</w:t>
      </w:r>
      <w:r>
        <w:rPr>
          <w:rFonts w:ascii="Times New Roman" w:hAnsi="Times New Roman"/>
          <w:caps w:val="false"/>
          <w:smallCaps w:val="false"/>
          <w:sz w:val="24"/>
        </w:rPr>
        <w:t>”) of Zevra Therapeutics, Inc. (the “</w:t>
      </w:r>
      <w:r>
        <w:rPr>
          <w:rFonts w:ascii="Times New Roman" w:hAnsi="Times New Roman"/>
          <w:b/>
          <w:i/>
          <w:caps w:val="false"/>
          <w:smallCaps w:val="false"/>
          <w:sz w:val="24"/>
        </w:rPr>
        <w:t>Company</w:t>
      </w:r>
      <w:r>
        <w:rPr>
          <w:rFonts w:ascii="Times New Roman" w:hAnsi="Times New Roman"/>
          <w:caps w:val="false"/>
          <w:smallCaps w:val="false"/>
          <w:sz w:val="24"/>
        </w:rPr>
        <w:t>”) who is not also an employee of the Company or any subsidiary of the Company shall be entitled to the following compensation for service on the Board and its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4"/>
          <w:u w:val="single"/>
        </w:rPr>
      </w:pPr>
      <w:r>
        <w:rPr>
          <w:rFonts w:ascii="Times New Roman" w:hAnsi="Times New Roman"/>
          <w:caps w:val="false"/>
          <w:smallCaps w:val="false"/>
          <w:sz w:val="24"/>
          <w:u w:val="single"/>
        </w:rPr>
        <w:t>Cash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 xml:space="preserve">Cash compensation shall be paid in the following annual amounts. Payments shall be made in quarterly installments in arrears on the last day of each calendar quarter in which service occurred and shall be </w:t>
      </w:r>
      <w:r>
        <w:rPr>
          <w:rFonts w:ascii="Times New Roman" w:hAnsi="Times New Roman"/>
          <w:i/>
          <w:caps w:val="false"/>
          <w:smallCaps w:val="false"/>
          <w:sz w:val="24"/>
        </w:rPr>
        <w:t xml:space="preserve">prorated </w:t>
      </w:r>
      <w:r>
        <w:rPr>
          <w:rFonts w:ascii="Times New Roman" w:hAnsi="Times New Roman"/>
          <w:caps w:val="false"/>
          <w:smallCaps w:val="false"/>
          <w:sz w:val="24"/>
        </w:rPr>
        <w:t>as appropriated for a director who does not serve for the full quarter. For the avoidance of doubt, the cash compensation set forth below shall apply for the entire quarter in which this policy is adopted by the Board.</w:t>
      </w:r>
    </w:p>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60"/>
        <w:gridCol w:w="200"/>
        <w:gridCol w:w="3050"/>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1.</w:t>
            </w:r>
          </w:p>
        </w:tc>
        <w:tc>
          <w:tcPr>
            <w:tcW w:w="305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Annual Board Service Retainer:</w:t>
            </w:r>
          </w:p>
        </w:tc>
      </w:tr>
    </w:tbl>
    <w:tbl>
      <w:tblPr>
        <w:tblW w:w="3745" w:type="dxa"/>
        <w:jc w:val="left"/>
        <w:tblInd w:w="0" w:type="dxa"/>
        <w:tblLayout w:type="fixed"/>
        <w:tblCellMar>
          <w:top w:w="0" w:type="dxa"/>
          <w:left w:w="0" w:type="dxa"/>
          <w:bottom w:w="0" w:type="dxa"/>
          <w:right w:w="0" w:type="dxa"/>
        </w:tblCellMar>
      </w:tblPr>
      <w:tblGrid>
        <w:gridCol w:w="60"/>
        <w:gridCol w:w="185"/>
        <w:gridCol w:w="350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a.</w:t>
            </w:r>
          </w:p>
        </w:tc>
        <w:tc>
          <w:tcPr>
            <w:tcW w:w="350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All non-employee directors: $40,000</w:t>
            </w:r>
          </w:p>
        </w:tc>
      </w:tr>
    </w:tbl>
    <w:tbl>
      <w:tblPr>
        <w:tblW w:w="10205" w:type="dxa"/>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b.</w:t>
            </w:r>
          </w:p>
        </w:tc>
        <w:tc>
          <w:tcPr>
            <w:tcW w:w="994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Chairman of the Board, if not an employee (in addition to the retainer for all non-employee directors): $75,000</w:t>
            </w:r>
          </w:p>
        </w:tc>
      </w:tr>
    </w:tbl>
    <w:tbl>
      <w:tblPr>
        <w:tblW w:w="9760" w:type="dxa"/>
        <w:jc w:val="left"/>
        <w:tblInd w:w="0" w:type="dxa"/>
        <w:tblLayout w:type="fixed"/>
        <w:tblCellMar>
          <w:top w:w="0" w:type="dxa"/>
          <w:left w:w="0" w:type="dxa"/>
          <w:bottom w:w="0" w:type="dxa"/>
          <w:right w:w="0" w:type="dxa"/>
        </w:tblCellMar>
      </w:tblPr>
      <w:tblGrid>
        <w:gridCol w:w="60"/>
        <w:gridCol w:w="185"/>
        <w:gridCol w:w="951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w:t>
            </w:r>
          </w:p>
        </w:tc>
        <w:tc>
          <w:tcPr>
            <w:tcW w:w="951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Lead independent director, if any (in addition to the retainer for all non-employee directors): $15,000</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200"/>
        <w:gridCol w:w="435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2.</w:t>
            </w:r>
          </w:p>
        </w:tc>
        <w:tc>
          <w:tcPr>
            <w:tcW w:w="435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Annual Committee Member Service Retainer:</w:t>
            </w:r>
          </w:p>
        </w:tc>
      </w:tr>
    </w:tbl>
    <w:tbl>
      <w:tblPr>
        <w:tblW w:w="4135" w:type="dxa"/>
        <w:jc w:val="left"/>
        <w:tblInd w:w="0" w:type="dxa"/>
        <w:tblLayout w:type="fixed"/>
        <w:tblCellMar>
          <w:top w:w="0" w:type="dxa"/>
          <w:left w:w="0" w:type="dxa"/>
          <w:bottom w:w="0" w:type="dxa"/>
          <w:right w:w="0" w:type="dxa"/>
        </w:tblCellMar>
      </w:tblPr>
      <w:tblGrid>
        <w:gridCol w:w="60"/>
        <w:gridCol w:w="185"/>
        <w:gridCol w:w="389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a.</w:t>
            </w:r>
          </w:p>
        </w:tc>
        <w:tc>
          <w:tcPr>
            <w:tcW w:w="389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Member of the Audit Committee: $9,000</w:t>
            </w:r>
          </w:p>
        </w:tc>
      </w:tr>
    </w:tbl>
    <w:tbl>
      <w:tblPr>
        <w:tblW w:w="4975" w:type="dxa"/>
        <w:jc w:val="left"/>
        <w:tblInd w:w="0" w:type="dxa"/>
        <w:tblLayout w:type="fixed"/>
        <w:tblCellMar>
          <w:top w:w="0" w:type="dxa"/>
          <w:left w:w="0" w:type="dxa"/>
          <w:bottom w:w="0" w:type="dxa"/>
          <w:right w:w="0" w:type="dxa"/>
        </w:tblCellMar>
      </w:tblPr>
      <w:tblGrid>
        <w:gridCol w:w="60"/>
        <w:gridCol w:w="200"/>
        <w:gridCol w:w="471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b.</w:t>
            </w:r>
          </w:p>
        </w:tc>
        <w:tc>
          <w:tcPr>
            <w:tcW w:w="471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Member of the Compensation Committee: $7,000</w:t>
            </w:r>
          </w:p>
        </w:tc>
      </w:tr>
    </w:tbl>
    <w:tbl>
      <w:tblPr>
        <w:tblW w:w="7345" w:type="dxa"/>
        <w:jc w:val="left"/>
        <w:tblInd w:w="0" w:type="dxa"/>
        <w:tblLayout w:type="fixed"/>
        <w:tblCellMar>
          <w:top w:w="0" w:type="dxa"/>
          <w:left w:w="0" w:type="dxa"/>
          <w:bottom w:w="0" w:type="dxa"/>
          <w:right w:w="0" w:type="dxa"/>
        </w:tblCellMar>
      </w:tblPr>
      <w:tblGrid>
        <w:gridCol w:w="60"/>
        <w:gridCol w:w="185"/>
        <w:gridCol w:w="710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w:t>
            </w:r>
          </w:p>
        </w:tc>
        <w:tc>
          <w:tcPr>
            <w:tcW w:w="710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Member of the Nominating and Corporate Governance Committee: $5,000</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0"/>
        <w:gridCol w:w="200"/>
        <w:gridCol w:w="408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3.</w:t>
            </w:r>
          </w:p>
        </w:tc>
        <w:tc>
          <w:tcPr>
            <w:tcW w:w="408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Annual Committee Chair Service Retainer:</w:t>
            </w:r>
          </w:p>
        </w:tc>
      </w:tr>
    </w:tbl>
    <w:tbl>
      <w:tblPr>
        <w:tblW w:w="3985" w:type="dxa"/>
        <w:jc w:val="left"/>
        <w:tblInd w:w="0" w:type="dxa"/>
        <w:tblLayout w:type="fixed"/>
        <w:tblCellMar>
          <w:top w:w="0" w:type="dxa"/>
          <w:left w:w="0" w:type="dxa"/>
          <w:bottom w:w="0" w:type="dxa"/>
          <w:right w:w="0" w:type="dxa"/>
        </w:tblCellMar>
      </w:tblPr>
      <w:tblGrid>
        <w:gridCol w:w="60"/>
        <w:gridCol w:w="185"/>
        <w:gridCol w:w="374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a.</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Chair of the Audit Committee: $22,500</w:t>
            </w:r>
          </w:p>
        </w:tc>
      </w:tr>
    </w:tbl>
    <w:tbl>
      <w:tblPr>
        <w:tblW w:w="4825" w:type="dxa"/>
        <w:jc w:val="left"/>
        <w:tblInd w:w="0" w:type="dxa"/>
        <w:tblLayout w:type="fixed"/>
        <w:tblCellMar>
          <w:top w:w="0" w:type="dxa"/>
          <w:left w:w="0" w:type="dxa"/>
          <w:bottom w:w="0" w:type="dxa"/>
          <w:right w:w="0" w:type="dxa"/>
        </w:tblCellMar>
      </w:tblPr>
      <w:tblGrid>
        <w:gridCol w:w="60"/>
        <w:gridCol w:w="200"/>
        <w:gridCol w:w="456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b.</w:t>
            </w:r>
          </w:p>
        </w:tc>
        <w:tc>
          <w:tcPr>
            <w:tcW w:w="456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Chair of the Compensation Committee: $15,000</w:t>
            </w:r>
          </w:p>
        </w:tc>
      </w:tr>
    </w:tbl>
    <w:tbl>
      <w:tblPr>
        <w:tblW w:w="7195" w:type="dxa"/>
        <w:jc w:val="left"/>
        <w:tblInd w:w="0" w:type="dxa"/>
        <w:tblLayout w:type="fixed"/>
        <w:tblCellMar>
          <w:top w:w="0" w:type="dxa"/>
          <w:left w:w="0" w:type="dxa"/>
          <w:bottom w:w="0" w:type="dxa"/>
          <w:right w:w="0" w:type="dxa"/>
        </w:tblCellMar>
      </w:tblPr>
      <w:tblGrid>
        <w:gridCol w:w="60"/>
        <w:gridCol w:w="185"/>
        <w:gridCol w:w="695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w:t>
            </w:r>
          </w:p>
        </w:tc>
        <w:tc>
          <w:tcPr>
            <w:tcW w:w="6950" w:type="dxa"/>
            <w:tcBorders/>
            <w:vAlign w:val="center"/>
          </w:tcPr>
          <w:p>
            <w:pPr>
              <w:pStyle w:val="TableContents"/>
              <w:bidi w:val="0"/>
              <w:spacing w:before="0" w:after="0"/>
              <w:ind w:left="0" w:right="0" w:hanging="0"/>
              <w:jc w:val="left"/>
              <w:rPr>
                <w:rFonts w:ascii="Times New Roman" w:hAnsi="Times New Roman"/>
                <w:caps w:val="false"/>
                <w:smallCaps w:val="false"/>
                <w:sz w:val="24"/>
              </w:rPr>
            </w:pPr>
            <w:r>
              <w:rPr>
                <w:rFonts w:ascii="Times New Roman" w:hAnsi="Times New Roman"/>
                <w:caps w:val="false"/>
                <w:smallCaps w:val="false"/>
                <w:sz w:val="24"/>
              </w:rPr>
              <w:t>Chair of the Nominating and Corporate Governance Committee: $12,500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4"/>
          <w:u w:val="single"/>
        </w:rPr>
      </w:pPr>
      <w:r>
        <w:rPr>
          <w:rFonts w:ascii="Times New Roman" w:hAnsi="Times New Roman"/>
          <w:caps w:val="false"/>
          <w:smallCaps w:val="false"/>
          <w:sz w:val="24"/>
          <w:u w:val="single"/>
        </w:rPr>
        <w:t>Equity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4"/>
        </w:rPr>
      </w:pPr>
      <w:r>
        <w:rPr>
          <w:rFonts w:ascii="Times New Roman" w:hAnsi="Times New Roman"/>
          <w:caps w:val="false"/>
          <w:smallCaps w:val="false"/>
          <w:sz w:val="24"/>
        </w:rPr>
        <w:t>The equity compensation set forth below will be granted under the Company’s 2014 Equity Incentive Plan, or, as the case may be, any successor equity incentive plan approved by the stockholders of the Company (the “</w:t>
      </w:r>
      <w:r>
        <w:rPr>
          <w:rFonts w:ascii="Times New Roman" w:hAnsi="Times New Roman"/>
          <w:b/>
          <w:i/>
          <w:caps w:val="false"/>
          <w:smallCaps w:val="false"/>
          <w:sz w:val="24"/>
        </w:rPr>
        <w:t>Plan</w:t>
      </w:r>
      <w:r>
        <w:rPr>
          <w:rFonts w:ascii="Times New Roman" w:hAnsi="Times New Roman"/>
          <w:caps w:val="false"/>
          <w:smallCaps w:val="false"/>
          <w:sz w:val="24"/>
        </w:rPr>
        <w:t>”). All stock options granted under this policy will be nonqualified stock options using the Company’s standard form of Nonqualified Stock Option Agreement under the Plan, with an exercise price per share equal to the last reported sale price of the Company’s common stock on the NASDAQ Global Select Market on the date of grant or, if such grant date is not a trading date, on the last trading date prior to the grant date, and with a term of ten (10) years from the date of grant (subject to earlier termination in connection with a termination of service as provided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4"/>
        </w:rPr>
      </w:pPr>
      <w:r>
        <w:rPr>
          <w:rFonts w:ascii="Times New Roman" w:hAnsi="Times New Roman"/>
          <w:caps w:val="false"/>
          <w:smallCaps w:val="false"/>
          <w:sz w:val="24"/>
        </w:rPr>
        <w:t>Annual Grant:  On the date of each annual stockholders meeting of the Company, each director who continues to serve as a non-employee member of the Board following such stockholders meeting will automatically, and without further action by the Board or the Compensation Committee of the Board, be granted a stock option for 39,200 shares of common stock. The Chairman of the Board, if not an employee, shall receive a stock option for a total of 49,200 shares of common stock, which is based on the foregoing grant of 39,200 shares as a director plus an additional 10,000 shares.  The stock options will vest and become exercisable in full on the earlier of (1) the first anniversary of the grant date, (2) the day before the first annual stockholders meeting occurring after the grant date or (3) immediately prior to a “Change in Control” as defined in the Plan, subject in each case to the director’s continued service on such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4"/>
        </w:rPr>
      </w:pPr>
      <w:r>
        <w:rPr>
          <w:rFonts w:ascii="Times New Roman" w:hAnsi="Times New Roman"/>
          <w:caps w:val="false"/>
          <w:smallCaps w:val="false"/>
          <w:sz w:val="24"/>
        </w:rPr>
        <w:t>New Director Grant:  At beginning of the first term of each non-employee member of the Board will automatically, without further action by the Board or the Compensation Committee of the Board, granted a stock option for 1.5x the number of the Annual Grant number of shares of common stock.  Such New Director Grant will be made on the first day of each new director’s first term and will vest and become exercisable as follows: (1) one-third of the total shares subject to the option will vest one day prior to the date of the first annual meeting of stockholders following the date of grant, and continuing for the next two annual meetings of stockholders, such that the option will fully vest one day prior to the date of the third annual meeting of stockholders following the date of grant, provided that at the relevant vesting dates such optionee's directorial relationship has not been terminated as defined in and as determined under the Plan, or (2) immediately prior to a “Change in Control” as defined in the Plan, subject in each case to the director’s continued service on such vesting date.</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caps/>
          <w:sz w:val="20"/>
        </w:rPr>
      </w:pPr>
      <w:bookmarkStart w:id="23" w:name="ex_523998.htm"/>
      <w:bookmarkStart w:id="24" w:name="ksex_523998"/>
      <w:bookmarkEnd w:id="23"/>
      <w:bookmarkEnd w:id="24"/>
      <w:r>
        <w:rPr>
          <w:rFonts w:ascii="Times New Roman;Times;serif" w:hAnsi="Times New Roman;Times;serif"/>
          <w:b/>
          <w:caps/>
          <w:sz w:val="20"/>
        </w:rPr>
        <w:t>Exhibit</w:t>
      </w:r>
      <w:r>
        <w:rPr>
          <w:rFonts w:ascii="Times New Roman;Times;serif" w:hAnsi="Times New Roman;Times;serif"/>
          <w:caps/>
          <w:sz w:val="20"/>
        </w:rPr>
        <w:t xml:space="preserve"> </w:t>
      </w:r>
      <w:r>
        <w:rPr>
          <w:rFonts w:ascii="Times New Roman;Times;serif" w:hAnsi="Times New Roman;Times;serif"/>
          <w:b/>
          <w:caps/>
          <w:sz w:val="20"/>
        </w:rPr>
        <w:t>31.1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Christal M.M. Mickle, certify that:</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25" w:name="MTAB1"/>
      <w:bookmarkStart w:id="26" w:name="MTAB1"/>
      <w:bookmarkEnd w:id="26"/>
    </w:p>
    <w:tbl>
      <w:tblPr>
        <w:tblW w:w="6715" w:type="dxa"/>
        <w:jc w:val="left"/>
        <w:tblInd w:w="0" w:type="dxa"/>
        <w:tblLayout w:type="fixed"/>
        <w:tblCellMar>
          <w:top w:w="0" w:type="dxa"/>
          <w:left w:w="0" w:type="dxa"/>
          <w:bottom w:w="0" w:type="dxa"/>
          <w:right w:w="0" w:type="dxa"/>
        </w:tblCellMar>
      </w:tblPr>
      <w:tblGrid>
        <w:gridCol w:w="60"/>
        <w:gridCol w:w="170"/>
        <w:gridCol w:w="6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4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Zevra Therapeutics, Inc.;</w:t>
            </w:r>
          </w:p>
        </w:tc>
      </w:tr>
    </w:tbl>
    <w:p>
      <w:pPr>
        <w:pStyle w:val="Normal"/>
        <w:bidi w:val="0"/>
        <w:spacing w:before="0" w:after="0"/>
        <w:jc w:val="left"/>
        <w:rPr>
          <w:sz w:val="4"/>
          <w:szCs w:val="4"/>
        </w:rPr>
      </w:pPr>
      <w:r>
        <w:rPr>
          <w:sz w:val="4"/>
          <w:szCs w:val="4"/>
        </w:rPr>
      </w:r>
      <w:bookmarkStart w:id="27" w:name="MTAB2"/>
      <w:bookmarkStart w:id="28" w:name="MTAB2"/>
      <w:bookmarkEnd w:id="28"/>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Normal"/>
        <w:bidi w:val="0"/>
        <w:spacing w:before="0" w:after="0"/>
        <w:jc w:val="left"/>
        <w:rPr>
          <w:sz w:val="4"/>
          <w:szCs w:val="4"/>
        </w:rPr>
      </w:pPr>
      <w:r>
        <w:rPr>
          <w:sz w:val="4"/>
          <w:szCs w:val="4"/>
        </w:rPr>
      </w:r>
      <w:bookmarkStart w:id="29" w:name="MTAB3"/>
      <w:bookmarkStart w:id="30" w:name="MTAB3"/>
      <w:bookmarkEnd w:id="30"/>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Normal"/>
        <w:bidi w:val="0"/>
        <w:spacing w:before="0" w:after="0"/>
        <w:jc w:val="left"/>
        <w:rPr>
          <w:sz w:val="4"/>
          <w:szCs w:val="4"/>
        </w:rPr>
      </w:pPr>
      <w:r>
        <w:rPr>
          <w:sz w:val="4"/>
          <w:szCs w:val="4"/>
        </w:rPr>
      </w:r>
      <w:bookmarkStart w:id="31" w:name="MTAB4"/>
      <w:bookmarkStart w:id="32" w:name="MTAB4"/>
      <w:bookmarkEnd w:id="32"/>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Normal"/>
        <w:bidi w:val="0"/>
        <w:spacing w:before="0" w:after="0"/>
        <w:jc w:val="left"/>
        <w:rPr>
          <w:sz w:val="4"/>
          <w:szCs w:val="4"/>
        </w:rPr>
      </w:pPr>
      <w:r>
        <w:rPr>
          <w:sz w:val="4"/>
          <w:szCs w:val="4"/>
        </w:rPr>
      </w:r>
      <w:bookmarkStart w:id="33" w:name="MTAB5"/>
      <w:bookmarkStart w:id="34" w:name="MTAB5"/>
      <w:bookmarkEnd w:id="34"/>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Times;serif" w:hAnsi="Times New Roman;Times;serif"/>
                <w:sz w:val="20"/>
              </w:rPr>
              <w:t>;</w:t>
            </w:r>
          </w:p>
        </w:tc>
      </w:tr>
    </w:tbl>
    <w:p>
      <w:pPr>
        <w:pStyle w:val="Normal"/>
        <w:bidi w:val="0"/>
        <w:spacing w:before="0" w:after="0"/>
        <w:jc w:val="left"/>
        <w:rPr>
          <w:sz w:val="4"/>
          <w:szCs w:val="4"/>
        </w:rPr>
      </w:pPr>
      <w:r>
        <w:rPr>
          <w:sz w:val="4"/>
          <w:szCs w:val="4"/>
        </w:rPr>
      </w:r>
      <w:bookmarkStart w:id="35" w:name="MTAB6"/>
      <w:bookmarkStart w:id="36" w:name="MTAB6"/>
      <w:bookmarkEnd w:id="36"/>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Normal"/>
        <w:bidi w:val="0"/>
        <w:spacing w:before="0" w:after="0"/>
        <w:jc w:val="left"/>
        <w:rPr>
          <w:sz w:val="4"/>
          <w:szCs w:val="4"/>
        </w:rPr>
      </w:pPr>
      <w:r>
        <w:rPr>
          <w:sz w:val="4"/>
          <w:szCs w:val="4"/>
        </w:rPr>
      </w:r>
      <w:bookmarkStart w:id="37" w:name="MTAB7"/>
      <w:bookmarkStart w:id="38" w:name="MTAB7"/>
      <w:bookmarkEnd w:id="38"/>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Normal"/>
        <w:bidi w:val="0"/>
        <w:spacing w:before="0" w:after="0"/>
        <w:jc w:val="left"/>
        <w:rPr>
          <w:sz w:val="4"/>
          <w:szCs w:val="4"/>
        </w:rPr>
      </w:pPr>
      <w:r>
        <w:rPr>
          <w:sz w:val="4"/>
          <w:szCs w:val="4"/>
        </w:rPr>
      </w:r>
      <w:bookmarkStart w:id="39" w:name="MTAB8"/>
      <w:bookmarkStart w:id="40" w:name="MTAB8"/>
      <w:bookmarkEnd w:id="40"/>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Normal"/>
        <w:bidi w:val="0"/>
        <w:spacing w:before="0" w:after="0"/>
        <w:jc w:val="left"/>
        <w:rPr>
          <w:sz w:val="4"/>
          <w:szCs w:val="4"/>
        </w:rPr>
      </w:pPr>
      <w:r>
        <w:rPr>
          <w:sz w:val="4"/>
          <w:szCs w:val="4"/>
        </w:rPr>
      </w:r>
      <w:bookmarkStart w:id="41" w:name="MTAB9"/>
      <w:bookmarkStart w:id="42" w:name="MTAB9"/>
      <w:bookmarkEnd w:id="42"/>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Normal"/>
        <w:bidi w:val="0"/>
        <w:spacing w:before="0" w:after="0"/>
        <w:jc w:val="left"/>
        <w:rPr>
          <w:sz w:val="4"/>
          <w:szCs w:val="4"/>
        </w:rPr>
      </w:pPr>
      <w:r>
        <w:rPr>
          <w:sz w:val="4"/>
          <w:szCs w:val="4"/>
        </w:rPr>
      </w:r>
      <w:bookmarkStart w:id="43" w:name="MTAB10"/>
      <w:bookmarkStart w:id="44" w:name="MTAB10"/>
      <w:bookmarkEnd w:id="44"/>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45" w:name="TBL11"/>
      <w:bookmarkStart w:id="46" w:name="TBL11"/>
      <w:bookmarkEnd w:id="46"/>
    </w:p>
    <w:tbl>
      <w:tblPr>
        <w:tblW w:w="4785" w:type="dxa"/>
        <w:jc w:val="left"/>
        <w:tblInd w:w="0" w:type="dxa"/>
        <w:tblLayout w:type="fixed"/>
        <w:tblCellMar>
          <w:top w:w="0" w:type="dxa"/>
          <w:left w:w="0" w:type="dxa"/>
          <w:bottom w:w="0" w:type="dxa"/>
          <w:right w:w="0" w:type="dxa"/>
        </w:tblCellMar>
      </w:tblPr>
      <w:tblGrid>
        <w:gridCol w:w="1610"/>
        <w:gridCol w:w="60"/>
        <w:gridCol w:w="545"/>
        <w:gridCol w:w="2570"/>
      </w:tblGrid>
      <w:tr>
        <w:trPr/>
        <w:tc>
          <w:tcPr>
            <w:tcW w:w="1610" w:type="dxa"/>
            <w:tcBorders/>
            <w:vAlign w:val="center"/>
          </w:tcPr>
          <w:p>
            <w:pPr>
              <w:pStyle w:val="TableContents"/>
              <w:bidi w:val="0"/>
              <w:spacing w:before="0" w:after="283"/>
              <w:jc w:val="left"/>
              <w:rPr/>
            </w:pPr>
            <w:r>
              <w:rPr/>
              <w:t>Augu</w:t>
            </w:r>
            <w:r>
              <w:rPr>
                <w:shd w:fill="FFFFFF" w:val="clear"/>
              </w:rPr>
              <w:t>st 14, 20</w:t>
            </w:r>
            <w:r>
              <w:rPr/>
              <w:t>23</w:t>
            </w:r>
          </w:p>
        </w:tc>
        <w:tc>
          <w:tcPr>
            <w:tcW w:w="60" w:type="dxa"/>
            <w:tcBorders/>
            <w:vAlign w:val="center"/>
          </w:tcPr>
          <w:p>
            <w:pPr>
              <w:pStyle w:val="TableContents"/>
              <w:bidi w:val="0"/>
              <w:spacing w:before="0" w:after="283"/>
              <w:jc w:val="left"/>
              <w:rPr/>
            </w:pPr>
            <w:r>
              <w:rPr/>
              <w:t> </w:t>
            </w:r>
          </w:p>
        </w:tc>
        <w:tc>
          <w:tcPr>
            <w:tcW w:w="3115" w:type="dxa"/>
            <w:gridSpan w:val="2"/>
            <w:tcBorders/>
            <w:vAlign w:val="center"/>
          </w:tcPr>
          <w:p>
            <w:pPr>
              <w:pStyle w:val="TableContents"/>
              <w:bidi w:val="0"/>
              <w:spacing w:before="0" w:after="283"/>
              <w:jc w:val="left"/>
              <w:rPr/>
            </w:pPr>
            <w:r>
              <w:rPr/>
              <w:t>/s/ Christal M.M. Mickle</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2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Christal M.M. Mickle</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2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Interim Chief Executive Officer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caps/>
          <w:sz w:val="20"/>
        </w:rPr>
      </w:pPr>
      <w:bookmarkStart w:id="47" w:name="ex_523999.htm"/>
      <w:bookmarkStart w:id="48" w:name="ksex_523999"/>
      <w:bookmarkEnd w:id="47"/>
      <w:bookmarkEnd w:id="48"/>
      <w:r>
        <w:rPr>
          <w:rFonts w:ascii="Times New Roman;Times;serif" w:hAnsi="Times New Roman;Times;serif"/>
          <w:b/>
          <w:caps/>
          <w:sz w:val="20"/>
        </w:rPr>
        <w:t>Exhibit</w:t>
      </w:r>
      <w:r>
        <w:rPr>
          <w:rFonts w:ascii="Times New Roman;Times;serif" w:hAnsi="Times New Roman;Times;serif"/>
          <w:caps/>
          <w:sz w:val="20"/>
        </w:rPr>
        <w:t xml:space="preserve"> </w:t>
      </w:r>
      <w:r>
        <w:rPr>
          <w:rFonts w:ascii="Times New Roman;Times;serif" w:hAnsi="Times New Roman;Times;serif"/>
          <w:b/>
          <w:caps/>
          <w:sz w:val="20"/>
        </w:rPr>
        <w:t>31.2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R. LaDuane Clifton, certify that:</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49" w:name="MTAB11"/>
      <w:bookmarkStart w:id="50" w:name="MTAB11"/>
      <w:bookmarkEnd w:id="50"/>
    </w:p>
    <w:tbl>
      <w:tblPr>
        <w:tblW w:w="6715" w:type="dxa"/>
        <w:jc w:val="left"/>
        <w:tblInd w:w="0" w:type="dxa"/>
        <w:tblLayout w:type="fixed"/>
        <w:tblCellMar>
          <w:top w:w="0" w:type="dxa"/>
          <w:left w:w="0" w:type="dxa"/>
          <w:bottom w:w="0" w:type="dxa"/>
          <w:right w:w="0" w:type="dxa"/>
        </w:tblCellMar>
      </w:tblPr>
      <w:tblGrid>
        <w:gridCol w:w="60"/>
        <w:gridCol w:w="170"/>
        <w:gridCol w:w="6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4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Zevra Therapeutics, Inc.;</w:t>
            </w:r>
          </w:p>
        </w:tc>
      </w:tr>
    </w:tbl>
    <w:p>
      <w:pPr>
        <w:pStyle w:val="Normal"/>
        <w:bidi w:val="0"/>
        <w:spacing w:before="0" w:after="0"/>
        <w:jc w:val="left"/>
        <w:rPr>
          <w:sz w:val="4"/>
          <w:szCs w:val="4"/>
        </w:rPr>
      </w:pPr>
      <w:r>
        <w:rPr>
          <w:sz w:val="4"/>
          <w:szCs w:val="4"/>
        </w:rPr>
      </w:r>
      <w:bookmarkStart w:id="51" w:name="MTAB21"/>
      <w:bookmarkStart w:id="52" w:name="MTAB21"/>
      <w:bookmarkEnd w:id="52"/>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Normal"/>
        <w:bidi w:val="0"/>
        <w:spacing w:before="0" w:after="0"/>
        <w:jc w:val="left"/>
        <w:rPr>
          <w:sz w:val="4"/>
          <w:szCs w:val="4"/>
        </w:rPr>
      </w:pPr>
      <w:r>
        <w:rPr>
          <w:sz w:val="4"/>
          <w:szCs w:val="4"/>
        </w:rPr>
      </w:r>
      <w:bookmarkStart w:id="53" w:name="MTAB31"/>
      <w:bookmarkStart w:id="54" w:name="MTAB31"/>
      <w:bookmarkEnd w:id="54"/>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Normal"/>
        <w:bidi w:val="0"/>
        <w:spacing w:before="0" w:after="0"/>
        <w:jc w:val="left"/>
        <w:rPr>
          <w:sz w:val="4"/>
          <w:szCs w:val="4"/>
        </w:rPr>
      </w:pPr>
      <w:r>
        <w:rPr>
          <w:sz w:val="4"/>
          <w:szCs w:val="4"/>
        </w:rPr>
      </w:r>
      <w:bookmarkStart w:id="55" w:name="MTAB41"/>
      <w:bookmarkStart w:id="56" w:name="MTAB41"/>
      <w:bookmarkEnd w:id="56"/>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Normal"/>
        <w:bidi w:val="0"/>
        <w:spacing w:before="0" w:after="0"/>
        <w:jc w:val="left"/>
        <w:rPr>
          <w:sz w:val="4"/>
          <w:szCs w:val="4"/>
        </w:rPr>
      </w:pPr>
      <w:r>
        <w:rPr>
          <w:sz w:val="4"/>
          <w:szCs w:val="4"/>
        </w:rPr>
      </w:r>
      <w:bookmarkStart w:id="57" w:name="MTAB51"/>
      <w:bookmarkStart w:id="58" w:name="MTAB51"/>
      <w:bookmarkEnd w:id="58"/>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(b)</w:t>
            </w:r>
          </w:p>
        </w:tc>
        <w:tc>
          <w:tcPr>
            <w:tcW w:w="9910"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Times;serif" w:hAnsi="Times New Roman;Times;serif"/>
                <w:sz w:val="20"/>
              </w:rPr>
              <w:t>;</w:t>
            </w:r>
          </w:p>
        </w:tc>
      </w:tr>
    </w:tbl>
    <w:p>
      <w:pPr>
        <w:pStyle w:val="Normal"/>
        <w:bidi w:val="0"/>
        <w:spacing w:before="0" w:after="0"/>
        <w:jc w:val="left"/>
        <w:rPr>
          <w:sz w:val="4"/>
          <w:szCs w:val="4"/>
        </w:rPr>
      </w:pPr>
      <w:r>
        <w:rPr>
          <w:sz w:val="4"/>
          <w:szCs w:val="4"/>
        </w:rPr>
      </w:r>
      <w:bookmarkStart w:id="59" w:name="MTAB61"/>
      <w:bookmarkStart w:id="60" w:name="MTAB61"/>
      <w:bookmarkEnd w:id="60"/>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Normal"/>
        <w:bidi w:val="0"/>
        <w:spacing w:before="0" w:after="0"/>
        <w:jc w:val="left"/>
        <w:rPr>
          <w:sz w:val="4"/>
          <w:szCs w:val="4"/>
        </w:rPr>
      </w:pPr>
      <w:r>
        <w:rPr>
          <w:sz w:val="4"/>
          <w:szCs w:val="4"/>
        </w:rPr>
      </w:r>
      <w:bookmarkStart w:id="61" w:name="MTAB71"/>
      <w:bookmarkStart w:id="62" w:name="MTAB71"/>
      <w:bookmarkEnd w:id="62"/>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Normal"/>
        <w:bidi w:val="0"/>
        <w:spacing w:before="0" w:after="0"/>
        <w:jc w:val="left"/>
        <w:rPr>
          <w:sz w:val="4"/>
          <w:szCs w:val="4"/>
        </w:rPr>
      </w:pPr>
      <w:r>
        <w:rPr>
          <w:sz w:val="4"/>
          <w:szCs w:val="4"/>
        </w:rPr>
      </w:r>
      <w:bookmarkStart w:id="63" w:name="MTAB81"/>
      <w:bookmarkStart w:id="64" w:name="MTAB81"/>
      <w:bookmarkEnd w:id="64"/>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Normal"/>
        <w:bidi w:val="0"/>
        <w:spacing w:before="0" w:after="0"/>
        <w:jc w:val="left"/>
        <w:rPr>
          <w:sz w:val="4"/>
          <w:szCs w:val="4"/>
        </w:rPr>
      </w:pPr>
      <w:r>
        <w:rPr>
          <w:sz w:val="4"/>
          <w:szCs w:val="4"/>
        </w:rPr>
      </w:r>
      <w:bookmarkStart w:id="65" w:name="MTAB91"/>
      <w:bookmarkStart w:id="66" w:name="MTAB91"/>
      <w:bookmarkEnd w:id="66"/>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Normal"/>
        <w:bidi w:val="0"/>
        <w:spacing w:before="0" w:after="0"/>
        <w:jc w:val="left"/>
        <w:rPr>
          <w:sz w:val="4"/>
          <w:szCs w:val="4"/>
        </w:rPr>
      </w:pPr>
      <w:r>
        <w:rPr>
          <w:sz w:val="4"/>
          <w:szCs w:val="4"/>
        </w:rPr>
      </w:r>
      <w:bookmarkStart w:id="67" w:name="MTAB101"/>
      <w:bookmarkStart w:id="68" w:name="MTAB101"/>
      <w:bookmarkEnd w:id="68"/>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69" w:name="TBL111"/>
      <w:bookmarkStart w:id="70" w:name="TBL111"/>
      <w:bookmarkEnd w:id="70"/>
    </w:p>
    <w:tbl>
      <w:tblPr>
        <w:tblW w:w="6075" w:type="dxa"/>
        <w:jc w:val="left"/>
        <w:tblInd w:w="0" w:type="dxa"/>
        <w:tblLayout w:type="fixed"/>
        <w:tblCellMar>
          <w:top w:w="0" w:type="dxa"/>
          <w:left w:w="0" w:type="dxa"/>
          <w:bottom w:w="0" w:type="dxa"/>
          <w:right w:w="0" w:type="dxa"/>
        </w:tblCellMar>
      </w:tblPr>
      <w:tblGrid>
        <w:gridCol w:w="1610"/>
        <w:gridCol w:w="60"/>
        <w:gridCol w:w="545"/>
        <w:gridCol w:w="3860"/>
      </w:tblGrid>
      <w:tr>
        <w:trPr/>
        <w:tc>
          <w:tcPr>
            <w:tcW w:w="1610" w:type="dxa"/>
            <w:tcBorders/>
            <w:vAlign w:val="center"/>
          </w:tcPr>
          <w:p>
            <w:pPr>
              <w:pStyle w:val="TableContents"/>
              <w:bidi w:val="0"/>
              <w:spacing w:before="0" w:after="283"/>
              <w:jc w:val="left"/>
              <w:rPr/>
            </w:pPr>
            <w:r>
              <w:rPr/>
              <w:t>Augus</w:t>
            </w:r>
            <w:r>
              <w:rPr>
                <w:shd w:fill="FFFFFF" w:val="clear"/>
              </w:rPr>
              <w:t>t 14,</w:t>
            </w:r>
            <w:r>
              <w:rPr/>
              <w:t xml:space="preserve"> 2023</w:t>
            </w:r>
          </w:p>
        </w:tc>
        <w:tc>
          <w:tcPr>
            <w:tcW w:w="60"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pPr>
            <w:r>
              <w:rPr/>
              <w:t>/s/ R. LaDuane Clifton</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 LaDuane Clifton, MBA, CPA</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38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Secretary and Treasurer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caps/>
          <w:sz w:val="20"/>
        </w:rPr>
      </w:pPr>
      <w:bookmarkStart w:id="71" w:name="ex_524000.htm"/>
      <w:bookmarkStart w:id="72" w:name="ksex_524000"/>
      <w:bookmarkEnd w:id="71"/>
      <w:bookmarkEnd w:id="72"/>
      <w:r>
        <w:rPr>
          <w:rFonts w:ascii="Times New Roman;Times;serif" w:hAnsi="Times New Roman;Times;serif"/>
          <w:b/>
          <w:caps/>
          <w:sz w:val="20"/>
        </w:rPr>
        <w:t>Exhibit</w:t>
      </w:r>
      <w:r>
        <w:rPr>
          <w:rFonts w:ascii="Times New Roman;Times;serif" w:hAnsi="Times New Roman;Times;serif"/>
          <w:caps/>
          <w:sz w:val="20"/>
        </w:rPr>
        <w:t xml:space="preserve"> </w:t>
      </w:r>
      <w:r>
        <w:rPr>
          <w:rFonts w:ascii="Times New Roman;Times;serif" w:hAnsi="Times New Roman;Times;serif"/>
          <w:b/>
          <w:caps/>
          <w:sz w:val="20"/>
        </w:rPr>
        <w:t>32.1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Zevra Therapeutics, Inc., (the “Company”) for the quarterly period ended </w:t>
      </w:r>
      <w:bookmarkStart w:id="73" w:name="led379874F20232131678735820116"/>
      <w:bookmarkEnd w:id="73"/>
      <w:r>
        <w:rPr>
          <w:rFonts w:ascii="Times New Roman;Times;serif" w:hAnsi="Times New Roman;Times;serif"/>
          <w:sz w:val="20"/>
        </w:rPr>
        <w:t>June 30, 2023, as filed with the Securities and Exchange Commission on the date hereof (the “Report”), I, Christal M.M. Mickle, Principal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74" w:name="MTAB42"/>
      <w:bookmarkStart w:id="75" w:name="MTAB42"/>
      <w:bookmarkEnd w:id="75"/>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Normal"/>
        <w:bidi w:val="0"/>
        <w:spacing w:before="0" w:after="0"/>
        <w:jc w:val="left"/>
        <w:rPr>
          <w:sz w:val="4"/>
          <w:szCs w:val="4"/>
        </w:rPr>
      </w:pPr>
      <w:r>
        <w:rPr>
          <w:sz w:val="4"/>
          <w:szCs w:val="4"/>
        </w:rPr>
      </w:r>
      <w:bookmarkStart w:id="76" w:name="MTAB52"/>
      <w:bookmarkStart w:id="77" w:name="MTAB52"/>
      <w:bookmarkEnd w:id="77"/>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78" w:name="TBL6"/>
      <w:bookmarkStart w:id="79" w:name="TBL6"/>
      <w:bookmarkEnd w:id="79"/>
    </w:p>
    <w:tbl>
      <w:tblPr>
        <w:tblW w:w="10205" w:type="dxa"/>
        <w:jc w:val="left"/>
        <w:tblInd w:w="0" w:type="dxa"/>
        <w:tblLayout w:type="fixed"/>
        <w:tblCellMar>
          <w:top w:w="0" w:type="dxa"/>
          <w:left w:w="0" w:type="dxa"/>
          <w:bottom w:w="0" w:type="dxa"/>
          <w:right w:w="0" w:type="dxa"/>
        </w:tblCellMar>
      </w:tblPr>
      <w:tblGrid>
        <w:gridCol w:w="3436"/>
        <w:gridCol w:w="154"/>
        <w:gridCol w:w="1358"/>
        <w:gridCol w:w="5257"/>
      </w:tblGrid>
      <w:tr>
        <w:trPr/>
        <w:tc>
          <w:tcPr>
            <w:tcW w:w="3436" w:type="dxa"/>
            <w:tcBorders/>
            <w:vAlign w:val="center"/>
          </w:tcPr>
          <w:p>
            <w:pPr>
              <w:pStyle w:val="TableContents"/>
              <w:bidi w:val="0"/>
              <w:spacing w:before="0" w:after="283"/>
              <w:jc w:val="left"/>
              <w:rPr/>
            </w:pPr>
            <w:r>
              <w:rPr/>
              <w:t>August</w:t>
            </w:r>
            <w:r>
              <w:rPr>
                <w:shd w:fill="FFFFFF" w:val="clear"/>
              </w:rPr>
              <w:t xml:space="preserve"> 14, </w:t>
            </w:r>
            <w:r>
              <w:rPr/>
              <w:t>2023</w:t>
            </w:r>
          </w:p>
        </w:tc>
        <w:tc>
          <w:tcPr>
            <w:tcW w:w="154" w:type="dxa"/>
            <w:tcBorders/>
            <w:vAlign w:val="center"/>
          </w:tcPr>
          <w:p>
            <w:pPr>
              <w:pStyle w:val="TableContents"/>
              <w:bidi w:val="0"/>
              <w:spacing w:before="0" w:after="283"/>
              <w:jc w:val="left"/>
              <w:rPr/>
            </w:pPr>
            <w:r>
              <w:rPr/>
              <w:t> </w:t>
            </w:r>
          </w:p>
        </w:tc>
        <w:tc>
          <w:tcPr>
            <w:tcW w:w="6615" w:type="dxa"/>
            <w:gridSpan w:val="2"/>
            <w:tcBorders/>
            <w:vAlign w:val="center"/>
          </w:tcPr>
          <w:p>
            <w:pPr>
              <w:pStyle w:val="TableContents"/>
              <w:bidi w:val="0"/>
              <w:spacing w:before="0" w:after="283"/>
              <w:jc w:val="left"/>
              <w:rPr/>
            </w:pPr>
            <w:r>
              <w:rPr/>
              <w:t>/s/ Christal M.M. Mickle</w:t>
            </w:r>
          </w:p>
        </w:tc>
      </w:tr>
      <w:tr>
        <w:trPr/>
        <w:tc>
          <w:tcPr>
            <w:tcW w:w="343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52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Christal M.M. Mickle</w:t>
            </w:r>
          </w:p>
        </w:tc>
      </w:tr>
      <w:tr>
        <w:trPr/>
        <w:tc>
          <w:tcPr>
            <w:tcW w:w="3436"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52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Interim Chief Executive Officer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r>
        <w:trPr/>
        <w:tc>
          <w:tcPr>
            <w:tcW w:w="10205" w:type="dxa"/>
            <w:gridSpan w:val="4"/>
            <w:tcBorders/>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283"/>
              <w:jc w:val="both"/>
              <w:rPr/>
            </w:pPr>
            <w:r>
              <w:rPr/>
              <w:t>The foregoing certification is being furnished solely pursuant to 18 U.S.C. Section 1350, is not being "filed" by the Company as part of the Report or as a separate disclosure document and is not to be incorporated by reference into any filing o</w:t>
            </w:r>
            <w:r>
              <w:rPr>
                <w:rFonts w:ascii="Times New Roman;Times;serif" w:hAnsi="Times New Roman;Times;serif"/>
                <w:sz w:val="20"/>
              </w:rPr>
              <w:t>f the Company under the Securities Act of 1933, as amended, or the Securities Exchange Act of 1934, as amended (whether made before or after the date of the Report), irrespective of any general incorporation language contained in such filing.</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caps/>
          <w:sz w:val="20"/>
        </w:rPr>
      </w:pPr>
      <w:bookmarkStart w:id="80" w:name="ex_524001.htm"/>
      <w:bookmarkStart w:id="81" w:name="ksex_524001"/>
      <w:bookmarkEnd w:id="80"/>
      <w:bookmarkEnd w:id="81"/>
      <w:r>
        <w:rPr>
          <w:rFonts w:ascii="Times New Roman;Times;serif" w:hAnsi="Times New Roman;Times;serif"/>
          <w:b/>
          <w:caps/>
          <w:sz w:val="20"/>
        </w:rPr>
        <w:t>Exhibit</w:t>
      </w:r>
      <w:r>
        <w:rPr>
          <w:rFonts w:ascii="Times New Roman;Times;serif" w:hAnsi="Times New Roman;Times;serif"/>
          <w:caps/>
          <w:sz w:val="20"/>
        </w:rPr>
        <w:t xml:space="preserve"> </w:t>
      </w:r>
      <w:r>
        <w:rPr>
          <w:rFonts w:ascii="Times New Roman;Times;serif" w:hAnsi="Times New Roman;Times;serif"/>
          <w:b/>
          <w:caps/>
          <w:sz w:val="20"/>
        </w:rPr>
        <w:t>32.2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Quarterly Report on Form 10-Q of Zevra Therapeutics, Inc., (the “Company”) for the quarterly period ended </w:t>
      </w:r>
      <w:bookmarkStart w:id="82" w:name="led379874F20232131678735844246"/>
      <w:bookmarkEnd w:id="82"/>
      <w:r>
        <w:rPr>
          <w:rFonts w:ascii="Times New Roman;Times;serif" w:hAnsi="Times New Roman;Times;serif"/>
          <w:sz w:val="20"/>
        </w:rPr>
        <w:t>June 30, 2023,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83" w:name="MTAB12"/>
      <w:bookmarkStart w:id="84" w:name="MTAB12"/>
      <w:bookmarkEnd w:id="84"/>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Normal"/>
        <w:bidi w:val="0"/>
        <w:spacing w:before="0" w:after="0"/>
        <w:jc w:val="left"/>
        <w:rPr>
          <w:sz w:val="4"/>
          <w:szCs w:val="4"/>
        </w:rPr>
      </w:pPr>
      <w:r>
        <w:rPr>
          <w:sz w:val="4"/>
          <w:szCs w:val="4"/>
        </w:rPr>
      </w:r>
      <w:bookmarkStart w:id="85" w:name="MTAB22"/>
      <w:bookmarkStart w:id="86" w:name="MTAB22"/>
      <w:bookmarkEnd w:id="86"/>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both"/>
        <w:rPr/>
      </w:pPr>
      <w:r>
        <w:rPr/>
        <w:t> </w:t>
      </w:r>
    </w:p>
    <w:p>
      <w:pPr>
        <w:pStyle w:val="Normal"/>
        <w:bidi w:val="0"/>
        <w:spacing w:before="0" w:after="0"/>
        <w:jc w:val="left"/>
        <w:rPr>
          <w:sz w:val="4"/>
          <w:szCs w:val="4"/>
        </w:rPr>
      </w:pPr>
      <w:r>
        <w:rPr>
          <w:sz w:val="4"/>
          <w:szCs w:val="4"/>
        </w:rPr>
      </w:r>
      <w:bookmarkStart w:id="87" w:name="TBL3"/>
      <w:bookmarkStart w:id="88" w:name="TBL3"/>
      <w:bookmarkEnd w:id="88"/>
    </w:p>
    <w:tbl>
      <w:tblPr>
        <w:tblW w:w="10205" w:type="dxa"/>
        <w:jc w:val="left"/>
        <w:tblInd w:w="0" w:type="dxa"/>
        <w:tblLayout w:type="fixed"/>
        <w:tblCellMar>
          <w:top w:w="0" w:type="dxa"/>
          <w:left w:w="0" w:type="dxa"/>
          <w:bottom w:w="0" w:type="dxa"/>
          <w:right w:w="0" w:type="dxa"/>
        </w:tblCellMar>
      </w:tblPr>
      <w:tblGrid>
        <w:gridCol w:w="2833"/>
        <w:gridCol w:w="132"/>
        <w:gridCol w:w="1154"/>
        <w:gridCol w:w="6086"/>
      </w:tblGrid>
      <w:tr>
        <w:trPr/>
        <w:tc>
          <w:tcPr>
            <w:tcW w:w="2833" w:type="dxa"/>
            <w:tcBorders/>
            <w:vAlign w:val="center"/>
          </w:tcPr>
          <w:p>
            <w:pPr>
              <w:pStyle w:val="TableContents"/>
              <w:bidi w:val="0"/>
              <w:spacing w:before="0" w:after="283"/>
              <w:jc w:val="left"/>
              <w:rPr/>
            </w:pPr>
            <w:r>
              <w:rPr/>
              <w:t>Augu</w:t>
            </w:r>
            <w:r>
              <w:rPr>
                <w:shd w:fill="FFFFFF" w:val="clear"/>
              </w:rPr>
              <w:t xml:space="preserve">st 14, </w:t>
            </w:r>
            <w:r>
              <w:rPr/>
              <w:t>2023</w:t>
            </w:r>
          </w:p>
        </w:tc>
        <w:tc>
          <w:tcPr>
            <w:tcW w:w="132" w:type="dxa"/>
            <w:tcBorders/>
            <w:vAlign w:val="center"/>
          </w:tcPr>
          <w:p>
            <w:pPr>
              <w:pStyle w:val="TableContents"/>
              <w:bidi w:val="0"/>
              <w:spacing w:before="0" w:after="283"/>
              <w:jc w:val="left"/>
              <w:rPr/>
            </w:pPr>
            <w:r>
              <w:rPr/>
              <w:t> </w:t>
            </w:r>
          </w:p>
        </w:tc>
        <w:tc>
          <w:tcPr>
            <w:tcW w:w="7240" w:type="dxa"/>
            <w:gridSpan w:val="2"/>
            <w:tcBorders/>
            <w:vAlign w:val="center"/>
          </w:tcPr>
          <w:p>
            <w:pPr>
              <w:pStyle w:val="TableContents"/>
              <w:bidi w:val="0"/>
              <w:spacing w:before="0" w:after="283"/>
              <w:jc w:val="left"/>
              <w:rPr/>
            </w:pPr>
            <w:r>
              <w:rPr/>
              <w:t>/s/ R. LaDuane Clifton</w:t>
            </w:r>
          </w:p>
        </w:tc>
      </w:tr>
      <w:tr>
        <w:trPr/>
        <w:tc>
          <w:tcPr>
            <w:tcW w:w="283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Name:</w:t>
            </w:r>
          </w:p>
        </w:tc>
        <w:tc>
          <w:tcPr>
            <w:tcW w:w="60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 LaDuane Clifton, MBA, CPA</w:t>
            </w:r>
          </w:p>
        </w:tc>
      </w:tr>
      <w:tr>
        <w:trPr/>
        <w:tc>
          <w:tcPr>
            <w:tcW w:w="283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60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 Secretary and Treasurer</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Officer)</w:t>
            </w:r>
          </w:p>
        </w:tc>
      </w:tr>
      <w:tr>
        <w:trPr/>
        <w:tc>
          <w:tcPr>
            <w:tcW w:w="283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6086" w:type="dxa"/>
            <w:tcBorders/>
            <w:vAlign w:val="center"/>
          </w:tcPr>
          <w:p>
            <w:pPr>
              <w:pStyle w:val="TableContents"/>
              <w:bidi w:val="0"/>
              <w:spacing w:before="0" w:after="283"/>
              <w:jc w:val="left"/>
              <w:rPr/>
            </w:pPr>
            <w:r>
              <w:rPr/>
              <w:t> </w:t>
            </w:r>
          </w:p>
        </w:tc>
      </w:tr>
      <w:tr>
        <w:trPr/>
        <w:tc>
          <w:tcPr>
            <w:tcW w:w="10205" w:type="dxa"/>
            <w:gridSpan w:val="4"/>
            <w:tcBorders/>
            <w:vAlign w:val="center"/>
          </w:tcPr>
          <w:p>
            <w:pPr>
              <w:pStyle w:val="TableContents"/>
              <w:bidi w:val="0"/>
              <w:spacing w:before="0" w:after="283"/>
              <w:jc w:val="both"/>
              <w:rPr/>
            </w:pPr>
            <w:r>
              <w:rPr/>
              <w:t>The foregoing certification is being furnished solely pursuant to 18 U.S.C. Section 1350, is not being "filed" by the Company as part of the Report or as a separate disclosure document and is not to be incorporated by reference into any filing o</w:t>
            </w:r>
            <w:r>
              <w:rPr>
                <w:rFonts w:ascii="Times New Roman;Times;serif" w:hAnsi="Times New Roman;Times;serif"/>
                <w:sz w:val="20"/>
              </w:rPr>
              <w:t>f the Company under the Securities Act of 1933, as amended, or the Securities Exchange Act of 1934, as amended (whether made before or after the date of the Report), irrespective of any general incorporation language contained in such filing.</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4647/000119312515140072/d911803dex31.htm" TargetMode="External"/><Relationship Id="rId3" Type="http://schemas.openxmlformats.org/officeDocument/2006/relationships/hyperlink" Target="http://www.sec.gov/Archives/edgar/data/0001434647/000143774920025891/ex_218888.htm" TargetMode="External"/><Relationship Id="rId4" Type="http://schemas.openxmlformats.org/officeDocument/2006/relationships/hyperlink" Target="http://www.sec.gov/Archives/edgar/data/1434647/000143774923004450/ex_478052.htm" TargetMode="External"/><Relationship Id="rId5" Type="http://schemas.openxmlformats.org/officeDocument/2006/relationships/hyperlink" Target="http://www.sec.gov/Archives/edgar/data/1434647/000143774923004450/ex_479870.htm" TargetMode="External"/><Relationship Id="rId6" Type="http://schemas.openxmlformats.org/officeDocument/2006/relationships/hyperlink" Target="http://www.sec.gov/Archives/edgar/data/1434647/000143774921005785/ex_227827.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23584</Words>
  <Characters>129026</Characters>
  <CharactersWithSpaces>154064</CharactersWithSpaces>
  <Paragraphs>5120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