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405765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175895</wp:posOffset>
            </wp:positionV>
            <wp:extent cx="1816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194945</wp:posOffset>
            </wp:positionV>
            <wp:extent cx="1816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ind w:left="4500" w:right="1920" w:hanging="4492"/>
        <w:spacing w:after="0" w:line="532" w:lineRule="auto"/>
        <w:tabs>
          <w:tab w:leader="none" w:pos="35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11430</wp:posOffset>
            </wp:positionV>
            <wp:extent cx="1816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KemPharm,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175895</wp:posOffset>
            </wp:positionV>
            <wp:extent cx="1816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54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159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54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8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3"/>
        </w:trPr>
        <w:tc>
          <w:tcPr>
            <w:tcW w:w="54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2500 Crosspark Road, Suite E126, Coralville, IA 52241</w:t>
            </w:r>
          </w:p>
        </w:tc>
        <w:tc>
          <w:tcPr>
            <w:tcW w:w="4880" w:type="dxa"/>
            <w:vAlign w:val="bottom"/>
          </w:tcPr>
          <w:p>
            <w:pPr>
              <w:jc w:val="right"/>
              <w:ind w:right="1470"/>
              <w:spacing w:after="0"/>
              <w:rPr>
                <w:sz w:val="20"/>
                <w:szCs w:val="20"/>
                <w:color w:val="auto"/>
              </w:rPr>
            </w:pPr>
            <w:r>
              <w:rPr>
                <w:rFonts w:ascii="Arial" w:cs="Arial" w:eastAsia="Arial" w:hAnsi="Arial"/>
                <w:sz w:val="18"/>
                <w:szCs w:val="18"/>
                <w:b w:val="1"/>
                <w:bCs w:val="1"/>
                <w:color w:val="auto"/>
              </w:rPr>
              <w:t>(319) 665-2575</w:t>
            </w:r>
          </w:p>
        </w:tc>
      </w:tr>
      <w:tr>
        <w:trPr>
          <w:trHeight w:val="234"/>
        </w:trPr>
        <w:tc>
          <w:tcPr>
            <w:tcW w:w="544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488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(Registrant’s Telephone Number, Including Area Code)</w:t>
            </w:r>
          </w:p>
        </w:tc>
      </w:tr>
    </w:tbl>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Title of Each Class</w:t>
            </w:r>
          </w:p>
        </w:tc>
        <w:tc>
          <w:tcPr>
            <w:tcW w:w="258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8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89"/>
              </w:rPr>
              <w:t>Common Stock, $0.0001 par value</w:t>
            </w: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6580" w:type="dxa"/>
            <w:vAlign w:val="bottom"/>
            <w:gridSpan w:val="5"/>
          </w:tcPr>
          <w:p>
            <w:pPr>
              <w:ind w:left="1220"/>
              <w:spacing w:after="0"/>
              <w:rPr>
                <w:sz w:val="20"/>
                <w:szCs w:val="20"/>
                <w:color w:val="auto"/>
              </w:rPr>
            </w:pPr>
            <w:r>
              <w:rPr>
                <w:rFonts w:ascii="Arial" w:cs="Arial" w:eastAsia="Arial" w:hAnsi="Arial"/>
                <w:sz w:val="18"/>
                <w:szCs w:val="18"/>
                <w:b w:val="1"/>
                <w:bCs w:val="1"/>
                <w:color w:val="auto"/>
                <w:w w:val="98"/>
              </w:rPr>
              <w:t>Securities registered pursuant to Section 12(g) of the Act: None</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Pr>
          <w:p>
            <w:pPr>
              <w:spacing w:after="0"/>
              <w:rPr>
                <w:sz w:val="23"/>
                <w:szCs w:val="2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4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99"/>
        </w:trPr>
        <w:tc>
          <w:tcPr>
            <w:tcW w:w="866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20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10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5" w:lineRule="exact"/>
        <w:rPr>
          <w:sz w:val="24"/>
          <w:szCs w:val="24"/>
          <w:color w:val="auto"/>
        </w:rPr>
      </w:pPr>
    </w:p>
    <w:p>
      <w:pPr>
        <w:ind w:left="160" w:right="1220" w:hanging="161"/>
        <w:spacing w:after="0" w:line="23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p>
      <w:pPr>
        <w:spacing w:after="0" w:line="20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690" w:gutter="0" w:footer="0" w:header="0"/>
        </w:sectPr>
      </w:pPr>
    </w:p>
    <w:bookmarkStart w:id="1" w:name="page2"/>
    <w:bookmarkEnd w:id="1"/>
    <w:p>
      <w:pPr>
        <w:jc w:val="both"/>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2017, the last business day of the registrant’s most recently completed second fiscal quarter, was approximately $46,538,484, based upon the closing sales price for the registrant’s common stock, as reported on the NASDAQ Global Market. The calculation of the aggregate market value of voting and non-voting common equity excludes 3,022,809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2018, the registrant had 15,104,848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186055</wp:posOffset>
            </wp:positionV>
            <wp:extent cx="1816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Portions of the registrant’s definitive proxy statement for its 2018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2017. Except with respect to information specifically incorporated by reference in this Annual Report on Form 10-K, the definitive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060" w:type="dxa"/>
            <w:vAlign w:val="bottom"/>
          </w:tcPr>
          <w:p>
            <w:pPr>
              <w:jc w:val="center"/>
              <w:spacing w:after="0"/>
              <w:rPr>
                <w:sz w:val="20"/>
                <w:szCs w:val="20"/>
                <w:color w:val="auto"/>
              </w:rPr>
            </w:pPr>
            <w:r>
              <w:rPr>
                <w:rFonts w:ascii="Arial" w:cs="Arial" w:eastAsia="Arial" w:hAnsi="Arial"/>
                <w:sz w:val="18"/>
                <w:szCs w:val="18"/>
                <w:b w:val="1"/>
                <w:bCs w:val="1"/>
                <w:color w:val="auto"/>
              </w:rPr>
              <w:t>KEMPHARM, INC.</w:t>
            </w:r>
          </w:p>
        </w:tc>
        <w:tc>
          <w:tcPr>
            <w:tcW w:w="6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0060" w:type="dxa"/>
            <w:vAlign w:val="bottom"/>
          </w:tcPr>
          <w:p>
            <w:pPr>
              <w:jc w:val="center"/>
              <w:spacing w:after="0"/>
              <w:rPr>
                <w:sz w:val="20"/>
                <w:szCs w:val="20"/>
                <w:color w:val="auto"/>
              </w:rPr>
            </w:pPr>
            <w:r>
              <w:rPr>
                <w:rFonts w:ascii="Arial" w:cs="Arial" w:eastAsia="Arial" w:hAnsi="Arial"/>
                <w:sz w:val="18"/>
                <w:szCs w:val="18"/>
                <w:b w:val="1"/>
                <w:bCs w:val="1"/>
                <w:color w:val="auto"/>
              </w:rPr>
              <w:t>FORM 10-K</w:t>
            </w:r>
          </w:p>
        </w:tc>
        <w:tc>
          <w:tcPr>
            <w:tcW w:w="6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10060" w:type="dxa"/>
            <w:vAlign w:val="bottom"/>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09"/>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PART I</w:t>
            </w:r>
          </w:p>
        </w:tc>
        <w:tc>
          <w:tcPr>
            <w:tcW w:w="6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8"/>
              </w:rPr>
              <w:t>Item 1A.</w:t>
            </w:r>
          </w:p>
        </w:tc>
        <w:tc>
          <w:tcPr>
            <w:tcW w:w="1006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1B.</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Unresolved Staff Comments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73</w:t>
            </w:r>
          </w:p>
        </w:tc>
      </w:tr>
      <w:tr>
        <w:trPr>
          <w:trHeight w:val="216"/>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060" w:type="dxa"/>
            <w:vAlign w:val="bottom"/>
          </w:tcPr>
          <w:p>
            <w:pPr>
              <w:jc w:val="center"/>
              <w:spacing w:after="0"/>
              <w:rPr>
                <w:sz w:val="20"/>
                <w:szCs w:val="20"/>
                <w:color w:val="auto"/>
              </w:rPr>
            </w:pPr>
            <w:r>
              <w:rPr>
                <w:rFonts w:ascii="Arial" w:cs="Arial" w:eastAsia="Arial" w:hAnsi="Arial"/>
                <w:sz w:val="18"/>
                <w:szCs w:val="18"/>
                <w:b w:val="1"/>
                <w:bCs w:val="1"/>
                <w:color w:val="auto"/>
                <w:w w:val="99"/>
              </w:rPr>
              <w:t>PART II</w:t>
            </w: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tcPr>
          <w:p>
            <w:pPr>
              <w:ind w:left="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Financial Data</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7.</w:t>
            </w:r>
          </w:p>
        </w:tc>
        <w:tc>
          <w:tcPr>
            <w:tcW w:w="1006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75</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7A.</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8.</w:t>
            </w:r>
          </w:p>
        </w:tc>
        <w:tc>
          <w:tcPr>
            <w:tcW w:w="10060" w:type="dxa"/>
            <w:vAlign w:val="bottom"/>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8"/>
              </w:rPr>
              <w:t>Item 9A.</w:t>
            </w:r>
          </w:p>
        </w:tc>
        <w:tc>
          <w:tcPr>
            <w:tcW w:w="1006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9B.</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w:t>
            </w:r>
          </w:p>
        </w:tc>
      </w:tr>
      <w:tr>
        <w:trPr>
          <w:trHeight w:val="216"/>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PART III</w:t>
            </w:r>
          </w:p>
        </w:tc>
        <w:tc>
          <w:tcPr>
            <w:tcW w:w="6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11.</w:t>
            </w:r>
          </w:p>
        </w:tc>
        <w:tc>
          <w:tcPr>
            <w:tcW w:w="1006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Item 13.</w:t>
            </w:r>
          </w:p>
        </w:tc>
        <w:tc>
          <w:tcPr>
            <w:tcW w:w="10060" w:type="dxa"/>
            <w:vAlign w:val="bottom"/>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Accounting Fees and Services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16"/>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PART IV</w:t>
            </w:r>
          </w:p>
        </w:tc>
        <w:tc>
          <w:tcPr>
            <w:tcW w:w="6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Exhibits and Financial Statement Schedules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w:t>
            </w:r>
          </w:p>
        </w:tc>
      </w:tr>
      <w:tr>
        <w:trPr>
          <w:trHeight w:val="230"/>
        </w:trPr>
        <w:tc>
          <w:tcPr>
            <w:tcW w:w="68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125</w:t>
            </w:r>
          </w:p>
        </w:tc>
      </w:tr>
      <w:tr>
        <w:trPr>
          <w:trHeight w:val="559"/>
        </w:trPr>
        <w:tc>
          <w:tcPr>
            <w:tcW w:w="6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98" w:lineRule="exact"/>
        <w:rPr>
          <w:sz w:val="20"/>
          <w:szCs w:val="20"/>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progress of, timing of and amount of expenses associated with our research, development and commercialization activities;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conduct and success of our clinical studies for our product candidates;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obtain U.S. and foreign regulatory approval for our product candidates and the ability of our product and product candidates to meet existing or future regulatory standards;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therapeutic benefits and effectiveness of our product and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 and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manufacture sufficient amounts of our product candidates for clinical studies and products for commercialization activities;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intention to seek to establish strategic collaborations or partnerships for the development or sale of our product and product candidates;</w:t>
      </w:r>
    </w:p>
    <w:p>
      <w:pPr>
        <w:spacing w:after="0" w:line="263" w:lineRule="exact"/>
        <w:rPr>
          <w:rFonts w:ascii="Arial" w:cs="Arial" w:eastAsia="Arial" w:hAnsi="Arial"/>
          <w:sz w:val="17"/>
          <w:szCs w:val="17"/>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 and product candidates;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compete with other companies that are or may be developing or selling products that are competitive with our product and product candidates;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anticipated trends and challenges in our potential markets;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key personnel;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expectations as to future development, acquisition, procurement, maintenance, utilization or defense of any and all intellectual property; and</w:t>
      </w:r>
    </w:p>
    <w:p>
      <w:pPr>
        <w:spacing w:after="0" w:line="236" w:lineRule="exact"/>
        <w:rPr>
          <w:rFonts w:ascii="Arial" w:cs="Arial" w:eastAsia="Arial" w:hAnsi="Arial"/>
          <w:sz w:val="17"/>
          <w:szCs w:val="17"/>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Unless the context otherwise requires, we use the terms “KemPharm,” “Company,” “we,” “us” and “our” in this Annual Report on Form 10-K to refer to KemPharm, Inc. We have proprietary rights to a number of trademarks used in this Annual Report on Form 10-K that are important to our business, including KemPharm, APADAZ, LAT and the KemPharm logo. All other trademarks, trade names and service marks appearing in this Annual Report on Form 10-K are the property of their respective owners. Solely for convenience, the trademarks and trade names in this Annual Report on Form 10-K are referred to without the ® and ™ symbols, but such references should not be construed as any indicator that their respective owners will not assert, to the fullest extent under applicable law, their rights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MARKET AND INDUSTRY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Annual Report on Form 10-K includes statistical and other industry and market data that we obtained from industry publications and research, surveys and studies conducted by third parties.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Any information in this Annual Report on Form 10-K provided by Symphony Health Solutions, or SHS, is an estimate derived from the use of information under license from the following SHS service: SHS Pharmaceutical Audit Suite (PHAST), in each case, for the period January 2012 to December 2017. SHS expressly reserves all rights, including rights of copying, distribution and republication.</w:t>
      </w:r>
    </w:p>
    <w:p>
      <w:pPr>
        <w:sectPr>
          <w:pgSz w:w="11900" w:h="16838" w:orient="portrait"/>
          <w:cols w:equalWidth="0" w:num="1">
            <w:col w:w="11420"/>
          </w:cols>
          <w:pgMar w:left="240" w:top="823" w:right="239" w:bottom="0" w:gutter="0" w:footer="0" w:header="0"/>
        </w:sectPr>
      </w:pPr>
    </w:p>
    <w:bookmarkStart w:id="4" w:name="page5"/>
    <w:bookmarkEnd w:id="4"/>
    <w:p>
      <w:pPr>
        <w:jc w:val="both"/>
        <w:spacing w:after="0" w:line="26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specialty pharmaceutical company focused on the discovery and development of proprietary prodrugs to treat serious medical conditions through our Ligand Activated Therapy, or LAT™, platform technology. We utilize our proprietary LAT platform technology to generate improved versions of U.S. Food and Drug Administration, or FDA, approved drugs in the high need areas of attention deficit hyperactivity disorder, or ADHD, pain and other central nervous system, or CNS, disorders. Our co-lead clinical development candidates are KP415 and KP484, both based on a prodrug of methylphenidate, but with differing extended-release, or ER, effect profiles for the treatment of ADHD. In addition, we have received FDA approval for APADAZ™, an immediate-release, or IR, combination product of benzhydrocodone, our prodrug of hydrocodone, and acetaminophen, or APAP. We are also advancing KP201/IR, an APAP-free IR formulation of our benzhydrocodone prodrug. Both APADAZ and KP201/IR are intended for the treatment of acute pain severe enough to require an opioid analgesic and for which alternative treatments are inadequate.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Key members of our senior management, while at New River Pharmaceuticals Inc., were instrumental in the development of VYVANSE, a prodrug of amphetamine indicated for ADHD, through FDA marketing approval. New River Pharmaceuticals, Inc. was acquired by Shire plc in 2007 and Vyvanse generated over $2.2 billion in sales in 2017.</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employ our LAT platform technology to discover and develop prodrugs that are new molecules that can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its active form through a normal metabolic process. Where possible, we seek, in part, to develop prodrugs that will be eligible for approval under Section 505(b)(2) of the Federal Food, Drug and Cosmetic Act, or the FFDCA, otherwise known as a 505(b)(2) NDA, which allows us to rely on the FDA’s previous findings of safety and effectiveness for one or more approved products, if we demonstrate such reliance is scientifically appropriate.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advance our pipeline of product candidates for the treatment of ADHD, pain and other CNS indications, and we anticipate reporting pivotal efficacy trial data for KP415 in 2018, pivotal efficacy trial data for KP484 in 2019 and human proof-of-concept, or POC, data for KP201/IR in 2019. Further, we anticipate reporting human POC data in 2019 for KP511/ER and KP511/IR, our ER and IR formulations of KP511, our prodrug of hydromorphone. In addition, we anticipate submitting a new drug application, or NDA, to the FDA for KP415 in the first quarter of 2019, potentially followed by an NDA for each of KP484, KP201/IR, KP511/ER and KP511/IR in 2019. We plan to employ our LAT platform technology and development expertise to develop additional product candidates that address unmet medical needs in large, established markets. We believe our product candidates may be eligible for composition-of-matter patent protection and we intend to use the 505(b)(2) NDA pathway when available, which we believe may reduce drug development time, risk and expense.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2017, our patent portfolio consisted of 87 granted patents and 125 pending patent applications worldwide. Within that patent portfolio, we have received granted U.S. composition-of-matter patents covering KP201, KP201-related compositions-of-matter, and prodrugs underlying two of our other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goal is to be a leading specialty pharmaceutical company focused on the discovery and development of novel prodrugs. Key components of our strategy include, for example:</w:t>
      </w:r>
    </w:p>
    <w:p>
      <w:pPr>
        <w:spacing w:after="0" w:line="170" w:lineRule="exact"/>
        <w:rPr>
          <w:sz w:val="20"/>
          <w:szCs w:val="20"/>
          <w:color w:val="auto"/>
        </w:rPr>
      </w:pPr>
    </w:p>
    <w:p>
      <w:pPr>
        <w:jc w:val="both"/>
        <w:ind w:left="460" w:hanging="223"/>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LAT platform technology to improve the attributes of widely-prescribed, approved drugs</w:t>
      </w:r>
      <w:r>
        <w:rPr>
          <w:rFonts w:ascii="Arial" w:cs="Arial" w:eastAsia="Arial" w:hAnsi="Arial"/>
          <w:sz w:val="18"/>
          <w:szCs w:val="18"/>
          <w:color w:val="auto"/>
        </w:rPr>
        <w:t>. We plan to employ our LAT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to discover and develop prodrugs that can improve one or more of the attributes of approved drugs that are widely-prescribed. We intend to discover and develop prodrugs of FDA-approved drugs in multiple therapeutic areas.</w:t>
      </w:r>
    </w:p>
    <w:p>
      <w:pPr>
        <w:spacing w:after="0" w:line="182" w:lineRule="exact"/>
        <w:rPr>
          <w:rFonts w:ascii="Arial" w:cs="Arial" w:eastAsia="Arial" w:hAnsi="Arial"/>
          <w:sz w:val="18"/>
          <w:szCs w:val="18"/>
          <w:color w:val="auto"/>
        </w:rPr>
      </w:pPr>
    </w:p>
    <w:p>
      <w:pPr>
        <w:jc w:val="both"/>
        <w:ind w:left="460" w:hanging="223"/>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Advance the development of our pipeline product candidates</w:t>
      </w:r>
      <w:r>
        <w:rPr>
          <w:rFonts w:ascii="Arial" w:cs="Arial" w:eastAsia="Arial" w:hAnsi="Arial"/>
          <w:sz w:val="18"/>
          <w:szCs w:val="18"/>
          <w:color w:val="auto"/>
        </w:rPr>
        <w:t>. We plan to advance the development of our co-lead product candidates, KP415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KP484, for the treatment of ADHD. We plan to report pivotal efficacy trial data for KP415 and KP484, in 2018 and 2019, respectively, and we plan to report POC data for KP201/IR, KP511/ER and KP511/IR in 2019. In addition, we are developing KP303, our prodrug of quetiapine, for the treatment of schizophrenia and other CNS disorders, KP606, our IR formulation of our prodrug of oxycodone, for the management of moderate to severe pain where the use of an opioid analgesic is appropriate, and KP746, our prodrug of oxymorphone, for the management of moderate to severe pain where the use of an opioid analgesic is appropriate.</w:t>
      </w:r>
    </w:p>
    <w:p>
      <w:pPr>
        <w:spacing w:after="0" w:line="19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build a global intellectual property portfolio</w:t>
      </w:r>
      <w:r>
        <w:rPr>
          <w:rFonts w:ascii="Arial" w:cs="Arial" w:eastAsia="Arial" w:hAnsi="Arial"/>
          <w:sz w:val="18"/>
          <w:szCs w:val="18"/>
          <w:color w:val="auto"/>
        </w:rPr>
        <w:t>. We intend to vigorously pursue composition-of-matter patent protection for our prodrugs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covering a majority of the global commercial opportunity.</w:t>
      </w:r>
    </w:p>
    <w:p>
      <w:pPr>
        <w:spacing w:after="0" w:line="169" w:lineRule="exact"/>
        <w:rPr>
          <w:rFonts w:ascii="Arial" w:cs="Arial" w:eastAsia="Arial" w:hAnsi="Arial"/>
          <w:sz w:val="18"/>
          <w:szCs w:val="18"/>
          <w:color w:val="auto"/>
        </w:rPr>
      </w:pPr>
    </w:p>
    <w:p>
      <w:pPr>
        <w:jc w:val="both"/>
        <w:ind w:left="460" w:hanging="223"/>
        <w:spacing w:after="0" w:line="30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Commercialize APADAZ. </w:t>
      </w:r>
      <w:r>
        <w:rPr>
          <w:rFonts w:ascii="Arial" w:cs="Arial" w:eastAsia="Arial" w:hAnsi="Arial"/>
          <w:sz w:val="16"/>
          <w:szCs w:val="16"/>
          <w:color w:val="auto"/>
        </w:rPr>
        <w:t>We are evaluating potential U.S. commercialization options for APADAZ, including pursuing a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collaboration with pharmacy benefit managers who would agree to Tier 1 or equivalent reimbursement status, including the most favorable co-pay level in return for price parity with available generic products, or a partnership with a U.S.-based or global generic pharmaceutical manufacturer and distributor, or pursuing a strategic transaction. We may also license the international commercial rights to APADAZ to one or more collaborators.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LAT Prodrug Platform Technology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employ our LAT platform technology to create prodrugs that are new molecules by chemically attaching one or more molecules, referred to as ligands, to an FDA-approved parent drug. We typically use ligands that have been demonstrated to be safe in toxicological studies or have been granted Generally Recognized as Safe, or GRAS, status by the FDA. When the prodrug is administered, human metabolic processes, such as those in the gastrointestinal, or GI, tract, separate the ligand from the prodrug and release the parent drug, which can then exert its therapeutic effect. We select ligands that, when combined with the parent drug, create prodrugs believed to have improved drug attributes while maintaining efficacy potentially equivalent to the parent drug.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LAT platform technology offers the following potential benefits:</w:t>
      </w:r>
    </w:p>
    <w:p>
      <w:pPr>
        <w:spacing w:after="0" w:line="225" w:lineRule="exact"/>
        <w:rPr>
          <w:sz w:val="20"/>
          <w:szCs w:val="20"/>
          <w:color w:val="auto"/>
        </w:rPr>
      </w:pPr>
    </w:p>
    <w:p>
      <w:pPr>
        <w:ind w:left="460" w:hanging="223"/>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Improved drug properties</w:t>
      </w:r>
      <w:r>
        <w:rPr>
          <w:rFonts w:ascii="Arial" w:cs="Arial" w:eastAsia="Arial" w:hAnsi="Arial"/>
          <w:sz w:val="18"/>
          <w:szCs w:val="18"/>
          <w:color w:val="auto"/>
        </w:rPr>
        <w:t>. We seek to discover and develop prodrugs that are new molecules with potentially improved attributes over FDA-approved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such as enhanced bioavailability, extended duration of action, increased safety and reduced susceptibility to abuse.</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Our prodrugs are new molecules and thus may be eligible for patent protection as novel compositions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provided that all other applicable requirements are met. We seek patent protection not only for our prodrug product candidates, but also for related compounds with the intention of creating potential heightened barriers to market entry.</w:t>
      </w:r>
    </w:p>
    <w:p>
      <w:pPr>
        <w:spacing w:after="0" w:line="182"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 for 505(b)(2) NDA pathway</w:t>
      </w:r>
      <w:r>
        <w:rPr>
          <w:rFonts w:ascii="Arial" w:cs="Arial" w:eastAsia="Arial" w:hAnsi="Arial"/>
          <w:sz w:val="18"/>
          <w:szCs w:val="18"/>
          <w:color w:val="auto"/>
        </w:rPr>
        <w:t>. Our LAT platform technology allows us to discover and develop prodrugs that may be eligible to 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505(b)(2) NDA pathway. Under that regulatory pathway, if we are able to provide an adequate bridge between our product candidates and appropriate approved drugs, we will then be able to reference the FDA’s previous findings of safety and effectiveness of the approved drugs in our 505(b)(2) NDA submissions. This may allow us to avoid the significant time and expense of conducting large clinical trials and eliminate the need for some preclinical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Unmet Need for Addressing Early Morning Behavioral Deficits and Maintaining Consistent, Sustained Efficacy in Daily ADHD Treatment</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ADHD market is relatively well served by a number of methylphenidate and amphetamine stimulant products. However, we believe there is a significant need for longer duration products. While many of the currently marketed methylphenidate products provide good symptom control for up to 12 hours post-dose, there is increasing attention to addressing late afternoon/early evening behavioral deficits, while maintaining early symptom control.</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study published in a peer-reviewed journal characterized the frequency and severity of ADHD symptoms throughout the day in children and adolescents treated with stable doses of stimulant medications. Results of that particular study indicated that the time from awakening to arriving at school can comprise up to 20% of waking hours per day (2-3 hours), and therefore such symptoms can cause significant distress for both children and caregivers. As a result, we believe there is a need to develop a methylphenidate product that provides early-morning control of symptoms.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early onset, patients require sustained, consistent efficacy throughout the day and into the early evening hours. While currently marketed methylphenidate products offer efficacy for up to 12 hours, this duration may not be sufficient for all patients. Particularly adolescents and adults may often require longer effects as they have longer waking hours compared to younger patients. It has been reported in a peer-reviewed journal that these patients are typically using dose-augmentation strategies by taking additional doses of stimulant later in the day. We believe a single dose therapy that provides effective symptom control without requiring additional doses may have several benefits including, potentially, improved dosage compliance by regularly and consistently taking medication as indicated, reduced social embarrassment by avoiding the need to take medication during working hours, and overall improvement in quality of life through more consistent therapy. Based on this evidence, we believe there is a need to develop a methylphenidate product that can deliver long duration of efficacy. There may also be a need to develop a long-duration stimulant with and without very early onset depending on individual patient preference and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Epidemic of Prescription Drug Abuse in the United States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is facing an epidemic of prescription drug abuse. According to the U.S. Department of Health and Human Services, or HHS, prescription drug overdose death rates in the United States have increased five-fold since 1980, and by 2009, drug overdose deaths outnumbered deaths due to motor vehicle crashes. HHS also estimates that opioid analgesics were involved in approximately 60% of U.S. drug overdose deaths where a drug was specified in 2010. The economic costs of this public health problem are significant. A study published in 2011 in a peer-reviewed medical journal estimated that the costs of the non-medical use of prescription opioids in the United States are over $50 billion annually, including medical and substance abuse treatment costs, lost work productivity and criminal justice costs.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increasing negative social consequences and costs of prescription drug abuse have led to a number of regulatory and legislative actions and proposals, including:</w:t>
      </w:r>
    </w:p>
    <w:p>
      <w:pPr>
        <w:spacing w:after="0" w:line="170" w:lineRule="exact"/>
        <w:rPr>
          <w:sz w:val="20"/>
          <w:szCs w:val="20"/>
          <w:color w:val="auto"/>
        </w:rPr>
      </w:pPr>
    </w:p>
    <w:p>
      <w:pPr>
        <w:jc w:val="both"/>
        <w:ind w:left="460" w:hanging="223"/>
        <w:spacing w:after="0" w:line="30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FDA Guidance</w:t>
      </w:r>
      <w:r>
        <w:rPr>
          <w:rFonts w:ascii="Arial" w:cs="Arial" w:eastAsia="Arial" w:hAnsi="Arial"/>
          <w:sz w:val="16"/>
          <w:szCs w:val="16"/>
          <w:color w:val="auto"/>
        </w:rPr>
        <w:t>. In January 2013, the FDA published draft guidance with regard to the evaluation and labeling of abuse-deterrent opioids. The guidance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published in final form in April 2015. The FDA guidance provides direction as to the studies and data required for obtaining abuse-deterrent claims in a product label. The draft guidance describes four categories of label claims for abuse-deterrent products. Depending on product and study data, a combination of categories can be included in the label claims. The FDA guidance lists the following theoretical examples:</w:t>
      </w:r>
    </w:p>
    <w:p>
      <w:pPr>
        <w:spacing w:after="0" w:line="156" w:lineRule="exact"/>
        <w:rPr>
          <w:rFonts w:ascii="Arial" w:cs="Arial" w:eastAsia="Arial" w:hAnsi="Arial"/>
          <w:sz w:val="16"/>
          <w:szCs w:val="16"/>
          <w:color w:val="auto"/>
        </w:rPr>
      </w:pPr>
    </w:p>
    <w:p>
      <w:pPr>
        <w:ind w:left="460" w:right="20" w:hanging="223"/>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Category 1–in vitro data demonstrate the product has physical and chemical properties that are expected to deter intravenous abuse. However, abuse is still possible by the oral and nasal routes.</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Category 1 and 2–in vitro data demonstrate that the product has physical and chemical properties that are expected to deter oral, nasal and intravenous abuse. However, abuse of intact product is still possible by the oral route.</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Category 2 and 3–pharmacokinetic and clinical abuse potential studies indicate that the product has properties that are expected to deter abuse via the oral, intranasal and intravenous routes. However, abuse of product by these routes is still possible.</w:t>
      </w:r>
    </w:p>
    <w:p>
      <w:pPr>
        <w:spacing w:after="0" w:line="169" w:lineRule="exact"/>
        <w:rPr>
          <w:rFonts w:ascii="Arial" w:cs="Arial" w:eastAsia="Arial" w:hAnsi="Arial"/>
          <w:sz w:val="18"/>
          <w:szCs w:val="18"/>
          <w:color w:val="auto"/>
        </w:rPr>
      </w:pPr>
    </w:p>
    <w:p>
      <w:pPr>
        <w:jc w:val="both"/>
        <w:ind w:left="460" w:hanging="223"/>
        <w:spacing w:after="0" w:line="30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Category 4–data demonstrated a reduction in the abuse of the product in the community setting compared to the levels of abuse, overdose, and death that occurred when only formulations of the same opioid without abuse-deterrent properties were available. This reduction in abuse appears to be attributable to the product’s formulation, which deters abuse by injection or snorting of the manipulated product. However, such abuse of this product is still possible, and the product’s abuse deterrence properties do not deter abuse associated with swallowing the intact formulation.</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product is approved by the FDA to include such claims in its label, the applicant may use information about the abuse-deterrent features of the product in its marketing efforts to physicians.</w:t>
      </w:r>
    </w:p>
    <w:p>
      <w:pPr>
        <w:spacing w:after="0" w:line="170" w:lineRule="exact"/>
        <w:rPr>
          <w:sz w:val="20"/>
          <w:szCs w:val="20"/>
          <w:color w:val="auto"/>
        </w:rPr>
      </w:pPr>
    </w:p>
    <w:p>
      <w:pPr>
        <w:jc w:val="both"/>
        <w:ind w:left="460" w:hanging="223"/>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FDA Authority</w:t>
      </w:r>
      <w:r>
        <w:rPr>
          <w:rFonts w:ascii="Arial" w:cs="Arial" w:eastAsia="Arial" w:hAnsi="Arial"/>
          <w:sz w:val="18"/>
          <w:szCs w:val="18"/>
          <w:color w:val="auto"/>
        </w:rPr>
        <w:t>. In an April 2013 letter to the U.S. House of Representatives’ Committee on Energy and Commerce, the FDA outlined its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the issue of prescription opioid abuse in the United States. The FDA asserted that, if it determines that a formulation of an extended-release opioid drug product has abuse-deterrent properties, it has the authority to refrain from approving non-abuse-deterrent formulations of the drug and to initiate procedures to withdraw the non-abuse-deterrent formulations already on the market.</w:t>
      </w:r>
    </w:p>
    <w:p>
      <w:pPr>
        <w:spacing w:after="0" w:line="185"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FDA Action</w:t>
      </w:r>
      <w:r>
        <w:rPr>
          <w:rFonts w:ascii="Arial" w:cs="Arial" w:eastAsia="Arial" w:hAnsi="Arial"/>
          <w:sz w:val="18"/>
          <w:szCs w:val="18"/>
          <w:color w:val="auto"/>
        </w:rPr>
        <w:t>. The FDA has approved the inclusion of language regarding the ability to deter abuse in the product labels for ten abuse-deterrent opioids,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OxyContin, Targiniq ER, Embeda, Hysingla, MorphaBond, Xtampza, Troxyca, Arymo, Vantrela and RoxyBond. These actions reinforce the FDA’s public statement that the development of abuse-deterrent opioid analgesics is a public health priority.</w:t>
      </w:r>
    </w:p>
    <w:p>
      <w:pPr>
        <w:spacing w:after="0" w:line="182" w:lineRule="exact"/>
        <w:rPr>
          <w:rFonts w:ascii="Arial" w:cs="Arial" w:eastAsia="Arial" w:hAnsi="Arial"/>
          <w:sz w:val="18"/>
          <w:szCs w:val="18"/>
          <w:color w:val="auto"/>
        </w:rPr>
      </w:pPr>
    </w:p>
    <w:p>
      <w:pPr>
        <w:jc w:val="both"/>
        <w:ind w:left="460" w:hanging="223"/>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FDA Public Meetings</w:t>
      </w:r>
      <w:r>
        <w:rPr>
          <w:rFonts w:ascii="Arial" w:cs="Arial" w:eastAsia="Arial" w:hAnsi="Arial"/>
          <w:sz w:val="16"/>
          <w:szCs w:val="16"/>
          <w:color w:val="auto"/>
        </w:rPr>
        <w:t>. In October 2014, the FDA hosted a public meeting to discuss the development, assessment and regulation of abuse-deterrent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formulations of opioid medications. In the announcement for the public meeting, the FDA anticipated that, after abuse-deterrent formulations become available for a number of different opioid medications and after it gains more experience with formulations with meaningful abuse-deterrent properties, the FDA may determine that the risks outweigh the benefits for all or most opioid products without abuse-deterrent properties. On October 31 and November 1, 2016, the FDA convened a public meeting for Abuse-Deterrent Generic Products and Standardization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The public meeting was held to review and evaluate FDA draft guidance to establish a pathway for generic abuse-deterrent formulation approvals and to standardize testing requirements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regimes. The FDA has not indicated a timeline for finalizing this draft guidance.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Prodrug Product and Product Candidates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employed our LAT platform technology to create a portfolio of product candidates that we believe will offer significant improvements over FDA-approved and widely-prescribed drugs. On February 23, 2018, we announced that the FDA approved our NDA for APADAZ for the short-term (no more than 14 days) management of acute pain severe enough to require an opioid analgesic and for which alternative treatments are inadequate.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and pipeline of product candidates is summarized in the table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KemPharm Prodrug Product and Product Candidates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Key</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Indication / Parent Drug</w:t>
            </w:r>
          </w:p>
        </w:tc>
        <w:tc>
          <w:tcPr>
            <w:tcW w:w="10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ADHD</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NDA Submission - 2019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Methylphenidate (ER)</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KP415</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Clinical</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Pivotal Efficacy Trial Data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2"/>
              </w:rPr>
              <w:t>NDA Submission - 2019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Methylphenidate (ER)</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KP484</w:t>
            </w: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Clinical</w:t>
            </w: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Pivotal Efficacy Trial Data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PAIN</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vMerge w:val="restart"/>
          </w:tcPr>
          <w:p>
            <w:pPr>
              <w:ind w:left="160"/>
              <w:spacing w:after="0"/>
              <w:rPr>
                <w:sz w:val="20"/>
                <w:szCs w:val="20"/>
                <w:color w:val="auto"/>
              </w:rPr>
            </w:pPr>
            <w:r>
              <w:rPr>
                <w:rFonts w:ascii="Arial" w:cs="Arial" w:eastAsia="Arial" w:hAnsi="Arial"/>
                <w:sz w:val="18"/>
                <w:szCs w:val="18"/>
                <w:color w:val="auto"/>
              </w:rPr>
              <w:t>Hydrocodone/APAP</w:t>
            </w:r>
          </w:p>
        </w:tc>
        <w:tc>
          <w:tcPr>
            <w:tcW w:w="10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7"/>
              </w:rPr>
              <w:t>APADAZ</w:t>
            </w:r>
          </w:p>
        </w:tc>
        <w:tc>
          <w:tcPr>
            <w:tcW w:w="8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3"/>
              </w:rPr>
              <w:t>Approved</w:t>
            </w:r>
          </w:p>
        </w:tc>
        <w:tc>
          <w:tcPr>
            <w:tcW w:w="8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2"/>
              </w:rPr>
              <w:t>Potential Commercial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9"/>
              </w:rPr>
              <w:t>Partnerships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NDA Submission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Hydrocodone</w:t>
            </w:r>
          </w:p>
        </w:tc>
        <w:tc>
          <w:tcPr>
            <w:tcW w:w="100" w:type="dxa"/>
            <w:vAlign w:val="bottom"/>
            <w:shd w:val="clear" w:color="auto" w:fill="CCEEFF"/>
          </w:tcPr>
          <w:p>
            <w:pPr>
              <w:spacing w:after="0"/>
              <w:rPr>
                <w:sz w:val="18"/>
                <w:szCs w:val="18"/>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KP201/IR</w:t>
            </w:r>
          </w:p>
        </w:tc>
        <w:tc>
          <w:tcPr>
            <w:tcW w:w="80" w:type="dxa"/>
            <w:vAlign w:val="bottom"/>
            <w:shd w:val="clear" w:color="auto" w:fill="CCEEFF"/>
          </w:tcPr>
          <w:p>
            <w:pPr>
              <w:spacing w:after="0"/>
              <w:rPr>
                <w:sz w:val="18"/>
                <w:szCs w:val="18"/>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Clinical</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Expected Priority Review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vMerge w:val="continue"/>
            <w:shd w:val="clear" w:color="auto" w:fill="CCEEFF"/>
          </w:tcPr>
          <w:p>
            <w:pPr>
              <w:spacing w:after="0"/>
              <w:rPr>
                <w:sz w:val="10"/>
                <w:szCs w:val="10"/>
                <w:color w:val="auto"/>
              </w:rPr>
            </w:pPr>
          </w:p>
        </w:tc>
        <w:tc>
          <w:tcPr>
            <w:tcW w:w="2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Human POC Data - 2019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4"/>
              </w:rPr>
              <w:t>NDA Submission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vMerge w:val="restart"/>
          </w:tcPr>
          <w:p>
            <w:pPr>
              <w:ind w:left="160"/>
              <w:spacing w:after="0"/>
              <w:rPr>
                <w:sz w:val="20"/>
                <w:szCs w:val="20"/>
                <w:color w:val="auto"/>
              </w:rPr>
            </w:pPr>
            <w:r>
              <w:rPr>
                <w:rFonts w:ascii="Arial" w:cs="Arial" w:eastAsia="Arial" w:hAnsi="Arial"/>
                <w:sz w:val="18"/>
                <w:szCs w:val="18"/>
                <w:color w:val="auto"/>
              </w:rPr>
              <w:t>Hydromorphone</w:t>
            </w:r>
          </w:p>
        </w:tc>
        <w:tc>
          <w:tcPr>
            <w:tcW w:w="100" w:type="dxa"/>
            <w:vAlign w:val="bottom"/>
          </w:tcPr>
          <w:p>
            <w:pPr>
              <w:spacing w:after="0"/>
              <w:rPr>
                <w:sz w:val="18"/>
                <w:szCs w:val="18"/>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2"/>
              </w:rPr>
              <w:t>KP511/ER</w:t>
            </w:r>
          </w:p>
        </w:tc>
        <w:tc>
          <w:tcPr>
            <w:tcW w:w="8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6"/>
              </w:rPr>
              <w:t>Clinical</w:t>
            </w: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Expected Priority Review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2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Human POC Data - 2019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NDA Submission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Hydromorphone</w:t>
            </w:r>
          </w:p>
        </w:tc>
        <w:tc>
          <w:tcPr>
            <w:tcW w:w="100" w:type="dxa"/>
            <w:vAlign w:val="bottom"/>
            <w:shd w:val="clear" w:color="auto" w:fill="CCEEFF"/>
          </w:tcPr>
          <w:p>
            <w:pPr>
              <w:spacing w:after="0"/>
              <w:rPr>
                <w:sz w:val="18"/>
                <w:szCs w:val="18"/>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KP511/IR</w:t>
            </w:r>
          </w:p>
        </w:tc>
        <w:tc>
          <w:tcPr>
            <w:tcW w:w="80" w:type="dxa"/>
            <w:vAlign w:val="bottom"/>
            <w:shd w:val="clear" w:color="auto" w:fill="CCEEFF"/>
          </w:tcPr>
          <w:p>
            <w:pPr>
              <w:spacing w:after="0"/>
              <w:rPr>
                <w:sz w:val="18"/>
                <w:szCs w:val="18"/>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Clinical</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Expected Priority Review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20" w:type="dxa"/>
            <w:vAlign w:val="bottom"/>
            <w:vMerge w:val="continue"/>
            <w:shd w:val="clear" w:color="auto" w:fill="CCEEFF"/>
          </w:tcPr>
          <w:p>
            <w:pPr>
              <w:spacing w:after="0"/>
              <w:rPr>
                <w:sz w:val="10"/>
                <w:szCs w:val="10"/>
                <w:color w:val="auto"/>
              </w:rPr>
            </w:pPr>
          </w:p>
        </w:tc>
        <w:tc>
          <w:tcPr>
            <w:tcW w:w="2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23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Human POC Data - 2019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Oxycodone</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KP606</w:t>
            </w: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Preclinical</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Oxymorphone</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KP746</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Preclinical</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MULTIPLE CNS DISORDERS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Quetiapine</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KP303</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Preclinical</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KP415 and KP484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prodrug in KP415 and KP484 is our prodrug of methylphenidate, which we are developing for the treatment of ADHD. The ADHD market is largely served by the stimulant products methylphenidate and amphetamine. KP415 and KP484 are designed to be controlled release, or CR, methylphenidate products.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seek approval of KP415 and KP484 under the 505(b)(2) NDA pathway, which will allow us to rely on the FDA's previous findings of safety and effectiveness for one or more approved products. We anticipate reporting additional pharmacokinetic, or PK, and pivotal efficacy trial data for KP415 in 2018 and KP484 in 2019 and submitting a 505(b)(2) NDA for both KP415 and KP484 in 2019.</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asset purchase agreement with Shire Pharmaceuticals, LLC, or Shire, we granted Shire a right of first refusal to acquire, license or commercialize KP415 and KP484. The right of first refusal may be exercised by Shire for a period of 30 business days following Shire's receipt of written notice from us of the existence of a bona fide offer from a third party to acquire, license or commercialize KP415 and KP484.</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party to an agreement with MonoSol Rx, LLC, or MonoSol, pursuant to which MonoSol has the right to receive an amount equal to a percentage in the low teens of any value generated by KP415 and KP484, and any product candidates arising therefrom, including royalty payments on any license of KP415 or KP484, the sale of KP415 or KP484 to a third party or the commercialization of KP415 or KP484.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ADHD market would be receptive to new branded drugs that have improved properties when compared to current treatments. We believe a new product in the form of a prodrug that has differentiated features and potentially a more consistent controlled release drug delivery mechanism may provide a new treatment option in this large market segment. While methylphenidate is available as a generic product, the branded formulations, FOCALIN XR, CONCERTA, QUILLIVANT XR and DAYTRANA, accounted for sales of $1.0 billion in 2017.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Key Features of KP415</w:t>
      </w:r>
    </w:p>
    <w:p>
      <w:pPr>
        <w:spacing w:after="0" w:line="225"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Based on our preclinical and clinical data, we believe KP415, if approved by the FDA, may have valuable product features and may provide significant benefits to patients, physicians, and society when compared to other FDA-approved and widely-prescribed methylphenidate products:</w:t>
      </w:r>
    </w:p>
    <w:p>
      <w:pPr>
        <w:spacing w:after="0" w:line="147" w:lineRule="exact"/>
        <w:rPr>
          <w:sz w:val="20"/>
          <w:szCs w:val="20"/>
          <w:color w:val="auto"/>
        </w:rPr>
      </w:pPr>
    </w:p>
    <w:p>
      <w:pPr>
        <w:jc w:val="both"/>
        <w:ind w:left="460" w:hanging="223"/>
        <w:spacing w:after="0" w:line="275"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Faster early-morning symptom control and sustained effectiveness</w:t>
      </w:r>
      <w:r>
        <w:rPr>
          <w:rFonts w:ascii="Arial" w:cs="Arial" w:eastAsia="Arial" w:hAnsi="Arial"/>
          <w:sz w:val="17"/>
          <w:szCs w:val="17"/>
          <w:color w:val="auto"/>
        </w:rPr>
        <w:t>. In December 2016, we announced the results of our Phase 1 POC clinical trial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KP415. This trial was designed to assess the relative PK of 32 mg of KP415 compared with 36 mg of Concerta after oral administration under fasted conditions. Following an analysis of the data, dexmethylphenidate was added to the formulation to provide a PK profile that may provide quicker onset of action than existing alternatives, thereby providing faster control of symptoms following administration early in the morning, as well as sustained, consistent effectiveness through the day and into the early evening hours.</w:t>
      </w:r>
    </w:p>
    <w:p>
      <w:pPr>
        <w:spacing w:after="0" w:line="175" w:lineRule="exact"/>
        <w:rPr>
          <w:rFonts w:ascii="Arial" w:cs="Arial" w:eastAsia="Arial" w:hAnsi="Arial"/>
          <w:sz w:val="17"/>
          <w:szCs w:val="17"/>
          <w:color w:val="auto"/>
        </w:rPr>
      </w:pPr>
    </w:p>
    <w:p>
      <w:pPr>
        <w:jc w:val="both"/>
        <w:ind w:left="460" w:hanging="223"/>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Reduced abuse potential</w:t>
      </w:r>
      <w:r>
        <w:rPr>
          <w:rFonts w:ascii="Arial" w:cs="Arial" w:eastAsia="Arial" w:hAnsi="Arial"/>
          <w:sz w:val="18"/>
          <w:szCs w:val="18"/>
          <w:color w:val="auto"/>
        </w:rPr>
        <w:t>. In order to evaluate the potential for reduced abuse of our prodrug of methylphenidate in the formulation of KP415,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preclinical studies in rats to compare the exposure to methylphenidate following intranasal and intravenous, or IV, administration of the prodrug as compared to intranasal and IV administration of methylphenidate hydrochloride. We observed significantly lower concentrations of methylphenidate following intranasal and IV administration of the prodrug compared to intranasal and IV administered methylphenidate hydrochloride. Our prodrug of methylphenidate incorporates our LAT platform technology and, based on our preclinical and clinical studies, we believe it may have lower abuse potential compared to methylphenidate.</w:t>
      </w:r>
    </w:p>
    <w:p>
      <w:pPr>
        <w:spacing w:after="0" w:line="191"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Once-daily dosing</w:t>
      </w:r>
      <w:r>
        <w:rPr>
          <w:rFonts w:ascii="Arial" w:cs="Arial" w:eastAsia="Arial" w:hAnsi="Arial"/>
          <w:sz w:val="18"/>
          <w:szCs w:val="18"/>
          <w:color w:val="auto"/>
        </w:rPr>
        <w:t>. PK data from our preclinical studies suggest that the time to maximum plasma concentration of methylphenidate after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KP415 is approximately three times longer than that after oral administration of currently marketed IR methylphenidate. We believe this continual release, or CR, attribute of KP415 may allow for convenient, once-daily dosing.</w:t>
      </w:r>
    </w:p>
    <w:p>
      <w:pPr>
        <w:spacing w:after="0" w:line="182" w:lineRule="exact"/>
        <w:rPr>
          <w:rFonts w:ascii="Arial" w:cs="Arial" w:eastAsia="Arial" w:hAnsi="Arial"/>
          <w:sz w:val="18"/>
          <w:szCs w:val="18"/>
          <w:color w:val="auto"/>
        </w:rPr>
      </w:pPr>
    </w:p>
    <w:p>
      <w:pPr>
        <w:jc w:val="both"/>
        <w:ind w:left="460" w:hanging="223"/>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Amenable to patient-friendly formulations</w:t>
      </w:r>
      <w:r>
        <w:rPr>
          <w:rFonts w:ascii="Arial" w:cs="Arial" w:eastAsia="Arial" w:hAnsi="Arial"/>
          <w:sz w:val="18"/>
          <w:szCs w:val="18"/>
          <w:color w:val="auto"/>
        </w:rPr>
        <w:t>. We believe our prodrug in KP415 may possess a lower abuse potential, our preclinical and clinical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shows that KP415 could ultimately be used in a variety of patient-friendly dosage forms such as oral thin film, orally dissolving tablets, chewable tablets and liquids as a means of increasing patient convenience and dosage compliance by regularly and consistently taking the medication as indicated.</w:t>
      </w:r>
    </w:p>
    <w:p>
      <w:pPr>
        <w:spacing w:after="0" w:line="185" w:lineRule="exact"/>
        <w:rPr>
          <w:rFonts w:ascii="Arial" w:cs="Arial" w:eastAsia="Arial" w:hAnsi="Arial"/>
          <w:sz w:val="18"/>
          <w:szCs w:val="18"/>
          <w:color w:val="auto"/>
        </w:rPr>
      </w:pPr>
    </w:p>
    <w:p>
      <w:pPr>
        <w:jc w:val="both"/>
        <w:ind w:left="460" w:hanging="223"/>
        <w:spacing w:after="0" w:line="272"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Composition-of-matter patent protection</w:t>
      </w:r>
      <w:r>
        <w:rPr>
          <w:rFonts w:ascii="Arial" w:cs="Arial" w:eastAsia="Arial" w:hAnsi="Arial"/>
          <w:sz w:val="17"/>
          <w:szCs w:val="17"/>
          <w:color w:val="auto"/>
        </w:rPr>
        <w:t>. We have a U.S. composition-of-matter patent that will expire, after utilizing all appropriate patent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adjustments but excluding possible term extensions, in 2032 that generally covers at least one component of KP415. Our patent strategy is focused primarily on key geographic markets, and, as of December 31, 2017, we have composition-of-matter patents in over 30 countries in Europe, Malaysia, Mexico, Indonesia, Israel, China, Japan, Philippines, South Korea, Russia, Singapore, New Zealand, Vietnam and South Africa, and additional patent filings were pending in the United States and an additional 15 foreign jurisdictions. In addition, subject to further discussions with the FDA, we believe additional patent protection may be eligible for new chemical entity, or NCE, exclusivity status, which could allow for five years of U.S. market exclusivity following the FDA's approval of an NDA for KP415.</w:t>
      </w:r>
    </w:p>
    <w:p>
      <w:pPr>
        <w:spacing w:after="0" w:line="175"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KP415 contains a prodrug that we believe will be given a new chemical name by the U.S. Adopted Names Council,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USAN, which could mean that there would be no generic equivalent product for KP415 in most states, making drug-equivalent substitution potentially difficult at the pharmacy.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KP484</w:t>
      </w:r>
    </w:p>
    <w:p>
      <w:pPr>
        <w:spacing w:after="0" w:line="225"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Based on our preclinical and clinical data, we believe KP484, if approved by the FDA, may have valuable product features and may provide significant benefits to patients, physicians, and society when compared to other FDA-approved and widely-prescribed methylphenidate products:</w:t>
      </w:r>
    </w:p>
    <w:p>
      <w:pPr>
        <w:spacing w:after="0" w:line="147" w:lineRule="exact"/>
        <w:rPr>
          <w:sz w:val="20"/>
          <w:szCs w:val="20"/>
          <w:color w:val="auto"/>
        </w:rPr>
      </w:pPr>
    </w:p>
    <w:p>
      <w:pPr>
        <w:ind w:left="460" w:hanging="223"/>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Super-extended release</w:t>
      </w:r>
      <w:r>
        <w:rPr>
          <w:rFonts w:ascii="Arial" w:cs="Arial" w:eastAsia="Arial" w:hAnsi="Arial"/>
          <w:sz w:val="16"/>
          <w:szCs w:val="16"/>
          <w:color w:val="auto"/>
        </w:rPr>
        <w:t>. We believe that this KP484 may provide sustained, consistent effectiveness through the day and into the evening hours.</w:t>
      </w:r>
    </w:p>
    <w:p>
      <w:pPr>
        <w:spacing w:after="0" w:line="247" w:lineRule="exact"/>
        <w:rPr>
          <w:rFonts w:ascii="Arial" w:cs="Arial" w:eastAsia="Arial" w:hAnsi="Arial"/>
          <w:sz w:val="16"/>
          <w:szCs w:val="16"/>
          <w:color w:val="auto"/>
        </w:rPr>
      </w:pPr>
    </w:p>
    <w:p>
      <w:pPr>
        <w:jc w:val="both"/>
        <w:ind w:left="460" w:hanging="223"/>
        <w:spacing w:after="0" w:line="279"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Reduced abuse potential</w:t>
      </w:r>
      <w:r>
        <w:rPr>
          <w:rFonts w:ascii="Arial" w:cs="Arial" w:eastAsia="Arial" w:hAnsi="Arial"/>
          <w:sz w:val="17"/>
          <w:szCs w:val="17"/>
          <w:color w:val="auto"/>
        </w:rPr>
        <w:t>. The preclinical studies of the prodrug of methylphenidate discussed above in the KP415 “Reduced Abuse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subsection are used for the abuse potential evaluation of the KP484 product candidate. As such, we believe our prodrug of methylphenidate may have abuse-deterrent characteristics as observed in the preclinical studies in rats exposed to methylphenidate following intranasal and intravenous, or IV, administration of the prodrug as compared to intranasal and IV administration of methylphenidate hydrochloride</w:t>
      </w:r>
    </w:p>
    <w:p>
      <w:pPr>
        <w:spacing w:after="0" w:line="170"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Once-daily dosing</w:t>
      </w:r>
      <w:r>
        <w:rPr>
          <w:rFonts w:ascii="Arial" w:cs="Arial" w:eastAsia="Arial" w:hAnsi="Arial"/>
          <w:sz w:val="18"/>
          <w:szCs w:val="18"/>
          <w:color w:val="auto"/>
        </w:rPr>
        <w:t>. PK data from our clinical studies suggest that under fasted conditions, the time to maximum plasma concentration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methylphenidate after oral administration of KP484 is potentially five to seven times longer compared to oral administration of currently marketed IR methylphenidate. We believe this CR attribute of KP484 may allow for convenient, once-daily dosing.</w:t>
      </w:r>
    </w:p>
    <w:p>
      <w:pPr>
        <w:spacing w:after="0" w:line="182"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Amenable to patient-friendly formulations</w:t>
      </w:r>
      <w:r>
        <w:rPr>
          <w:rFonts w:ascii="Arial" w:cs="Arial" w:eastAsia="Arial" w:hAnsi="Arial"/>
          <w:sz w:val="18"/>
          <w:szCs w:val="18"/>
          <w:color w:val="auto"/>
        </w:rPr>
        <w:t>. Our preclinical and clinical data shows that KP484 could ultimately be used in a variety of patient-friendly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dosage forms such as oral thin film, orally dissolving tablets, chewable tablets and liquids as a means of increasing patient convenience and dosage compliance by regularly and consistently taking the medications as indicated.</w:t>
      </w:r>
    </w:p>
    <w:p>
      <w:pPr>
        <w:spacing w:after="0" w:line="182" w:lineRule="exact"/>
        <w:rPr>
          <w:rFonts w:ascii="Arial" w:cs="Arial" w:eastAsia="Arial" w:hAnsi="Arial"/>
          <w:sz w:val="18"/>
          <w:szCs w:val="18"/>
          <w:color w:val="auto"/>
        </w:rPr>
      </w:pPr>
    </w:p>
    <w:p>
      <w:pPr>
        <w:jc w:val="both"/>
        <w:ind w:left="460" w:hanging="223"/>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KP484 is generally protected by a U.S. composition-of-matter patent that will expire, after utilizing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patent term adjustments but excluding possible term extensions, in 2032. Our patent strategy is focused primarily on key geographic markets, and, as of December 31, 2017, we have composition-of-matter patents on KP484 in New Zealand and South Africa, and additional KP484 patent filings were pending in the United States and an additional 23 foreign jurisdictions. In addition, subject to further discussions with the FDA, we believe KP484 may be eligible for new chemical entity, or NCE, exclusivity status, which could allow for five years of U.S. market exclusivity following the FDA's approval of an NDA for KP484.</w:t>
      </w:r>
    </w:p>
    <w:p>
      <w:pPr>
        <w:spacing w:after="0" w:line="191" w:lineRule="exact"/>
        <w:rPr>
          <w:rFonts w:ascii="Arial" w:cs="Arial" w:eastAsia="Arial" w:hAnsi="Arial"/>
          <w:sz w:val="18"/>
          <w:szCs w:val="18"/>
          <w:color w:val="auto"/>
        </w:rPr>
      </w:pPr>
    </w:p>
    <w:p>
      <w:pPr>
        <w:ind w:left="460" w:hanging="223"/>
        <w:spacing w:after="0" w:line="34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No generic equivalent product</w:t>
      </w:r>
      <w:r>
        <w:rPr>
          <w:rFonts w:ascii="Arial" w:cs="Arial" w:eastAsia="Arial" w:hAnsi="Arial"/>
          <w:sz w:val="16"/>
          <w:szCs w:val="16"/>
          <w:color w:val="auto"/>
        </w:rPr>
        <w:t>. KP484 contains a prodrug that we believe will be given a new chemical name by the USAN which could mean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would be no generic equivalent product for KP484 in most states, making drug-equivalent substitution potentially difficult at the pharmacy.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59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APADAZ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23, 2018, we announced that the FDA approved our NDA for APADAZ for the short-term (no more than 14 days) management of acute pain severe enough to require an opioid analgesic and for which alternative treatments are inadequate. APADAZ is an IR combination of our prodrug, benzhydrocodone, and APAP. Benzhydrocodone was developed with our proprietary LAT platform technology. We are evaluating potential U.S. commercialization options for APADAZ, including pursuing a commercial collaboration with pharmacy benefit managers who would agree to Tier 1 or equivalent reimbursement status, including the most favorable co-pay level in return for price parity with available generic products, or as parnership with a U.S.-based or global generic pharmaceutical manufacturer and distributor, or pursuing a strategic transaction. We may also license the international commercial rights to APADAZ to one or more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IMS Health estimates that in 2017, IR hydrocodone/APAP combination products represented the most frequently prescribed opioid products in the United States, accounting for 73 million U.S. prescriptions, representing 4.8 billion tablets. Typically, patients are instructed to take four pills per day and prescriptions provide approximately 14 days of therapy. Hydrocodone is associated with more drug abuse and diversion than any other opioid and IR hydrocodone abuse results in more emergency department visits than any other prescription opioid. Currently, there are no IR hydrocodone/APAP combination products approved in the United States with an abuse-deterrent label.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Product Features of APADAZ</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believe APADAZ has many valuable product features and may provide significant benefits to patients, physicians and society when compared to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FDA-approved and widely-prescribed IR hydrocodone/APAP combination products:</w:t>
      </w:r>
    </w:p>
    <w:p>
      <w:pPr>
        <w:spacing w:after="0" w:line="210" w:lineRule="exact"/>
        <w:rPr>
          <w:sz w:val="20"/>
          <w:szCs w:val="20"/>
          <w:color w:val="auto"/>
        </w:rPr>
      </w:pPr>
    </w:p>
    <w:p>
      <w:pPr>
        <w:jc w:val="both"/>
        <w:ind w:left="460" w:hanging="223"/>
        <w:spacing w:after="0" w:line="279"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Composition-of-matter patent protection</w:t>
      </w:r>
      <w:r>
        <w:rPr>
          <w:rFonts w:ascii="Arial" w:cs="Arial" w:eastAsia="Arial" w:hAnsi="Arial"/>
          <w:sz w:val="17"/>
          <w:szCs w:val="17"/>
          <w:color w:val="auto"/>
        </w:rPr>
        <w:t>. APADAZ is protected by a U.S. composition-of-matter patent on KP201, the prodrug of hydrocodone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contained in APADAZ, that will expire, after utilizing all appropriate patent term adjustments but excluding possible patent term extensions, in 2031. Our patent strategy is focused primarily on key geographic markets, and, as of December 31, 2017, KP201 had received granted, issued or allowed patent status in 20 foreign jurisdictions and patent applications covering KP201 were pending in an additional 11 foreign jurisdictions.</w:t>
      </w:r>
    </w:p>
    <w:p>
      <w:pPr>
        <w:spacing w:after="0" w:line="170" w:lineRule="exact"/>
        <w:rPr>
          <w:rFonts w:ascii="Arial" w:cs="Arial" w:eastAsia="Arial" w:hAnsi="Arial"/>
          <w:sz w:val="17"/>
          <w:szCs w:val="17"/>
          <w:color w:val="auto"/>
        </w:rPr>
      </w:pPr>
    </w:p>
    <w:p>
      <w:pPr>
        <w:jc w:val="both"/>
        <w:ind w:left="460" w:hanging="223"/>
        <w:spacing w:after="0" w:line="279"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No generic equivalent product</w:t>
      </w:r>
      <w:r>
        <w:rPr>
          <w:rFonts w:ascii="Arial" w:cs="Arial" w:eastAsia="Arial" w:hAnsi="Arial"/>
          <w:sz w:val="17"/>
          <w:szCs w:val="17"/>
          <w:color w:val="auto"/>
        </w:rPr>
        <w:t>. KP201, the APADAZ active pharmaceutical ingredient, or API, is a prodrug with a new chemical name given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USAN, benzhydrocodone. APADAZ has a lower prescribed milligram strength of KP201 than the therapeutic equivalent amount of hydrocodone bitartrate used in existing IR hydrocodone/APAP combination products. The difference in chemical structure and prescription strength means that there is no generic equivalent product for APADAZ in most states, making substitution difficult at the pharmacy.</w:t>
      </w:r>
    </w:p>
    <w:p>
      <w:pPr>
        <w:spacing w:after="0" w:line="170" w:lineRule="exact"/>
        <w:rPr>
          <w:rFonts w:ascii="Arial" w:cs="Arial" w:eastAsia="Arial" w:hAnsi="Arial"/>
          <w:sz w:val="17"/>
          <w:szCs w:val="17"/>
          <w:color w:val="auto"/>
        </w:rPr>
      </w:pPr>
    </w:p>
    <w:p>
      <w:pPr>
        <w:ind w:left="460" w:hanging="223"/>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Convenient dosing</w:t>
      </w:r>
      <w:r>
        <w:rPr>
          <w:rFonts w:ascii="Arial" w:cs="Arial" w:eastAsia="Arial" w:hAnsi="Arial"/>
          <w:sz w:val="18"/>
          <w:szCs w:val="18"/>
          <w:color w:val="auto"/>
        </w:rPr>
        <w:t>. Based on data from our food-effect clinical trial, APADAZ can be administered under both fed and fasting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APADAZ will be as convenient as existing IR hydrocodone/APAP combination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KP201/IR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KP201/IR, is an IR formulation of APADAZ without any APAP. We are developing KP201/IR for the short-term management of acute pain. KP201/IR is designed to be a differentiated opioid product that offers comparable efficacy to the existing standard-of-care, IR hydrocodone/APAP combination products, such as Vicodin, Norco and Lortab, but with the potential safety advantage of having no added APAP.</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anticipate conducting human clinical trials in 2019, including an intranasal human abuse liability study. Based on our current development timelines, we anticipate submitting an NDA utilizing the 505(b)(2) pathway for KP201/IR in 2019. We believe that KP201/IR, will receive priority review. KP201/IR has received "Fast Track" designation by the FDA.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there are no IR hydrocodone products approved in the United States that are formulated APAP-free, with or without an abuse-deterrent label. We believe KP201/IR, if approved, would provide physicians an APAP-free hydrocodone product not currently available, thereby offering an alternative treatment option to patients with acute pain. We believe such an alternative would be particularly valuable to patients who already take other APAP-containing products concomitantly or have liver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KP201/IR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KP201/IR, if approved by the FDA, may have many valuable product features and may provide significant benefits to patients, physicians and society:</w:t>
      </w:r>
    </w:p>
    <w:p>
      <w:pPr>
        <w:spacing w:after="0" w:line="170" w:lineRule="exact"/>
        <w:rPr>
          <w:sz w:val="20"/>
          <w:szCs w:val="20"/>
          <w:color w:val="auto"/>
        </w:rPr>
      </w:pPr>
    </w:p>
    <w:p>
      <w:pPr>
        <w:ind w:left="460" w:hanging="223"/>
        <w:spacing w:after="0" w:line="34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Abuse-deterrent technology</w:t>
      </w:r>
      <w:r>
        <w:rPr>
          <w:rFonts w:ascii="Arial" w:cs="Arial" w:eastAsia="Arial" w:hAnsi="Arial"/>
          <w:sz w:val="16"/>
          <w:szCs w:val="16"/>
          <w:color w:val="auto"/>
        </w:rPr>
        <w:t>. KP201/IR uses our KP201 prodrug, which incorporates our LAT platform technology, as well as additional formulation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barriers which we believe may potentially provide a higher level of abuse deterrence than many existing abuse-deterrent formulation products.</w:t>
      </w:r>
    </w:p>
    <w:p>
      <w:pPr>
        <w:spacing w:after="0" w:line="124" w:lineRule="exact"/>
        <w:rPr>
          <w:rFonts w:ascii="Arial" w:cs="Arial" w:eastAsia="Arial" w:hAnsi="Arial"/>
          <w:sz w:val="16"/>
          <w:szCs w:val="16"/>
          <w:color w:val="auto"/>
        </w:rPr>
      </w:pPr>
    </w:p>
    <w:p>
      <w:pPr>
        <w:jc w:val="both"/>
        <w:ind w:left="460" w:hanging="223"/>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No added APAP</w:t>
      </w:r>
      <w:r>
        <w:rPr>
          <w:rFonts w:ascii="Arial" w:cs="Arial" w:eastAsia="Arial" w:hAnsi="Arial"/>
          <w:sz w:val="18"/>
          <w:szCs w:val="18"/>
          <w:color w:val="auto"/>
        </w:rPr>
        <w:t>. KP201/IR contains no acetaminophen. According to the FDA, overdoses of APAP are the most common cause of drug-related 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injury. In 2011, the FDA limited the amount of APAP in prescription combination products and required warnings be added to all APAP prescription products.</w:t>
      </w:r>
    </w:p>
    <w:p>
      <w:pPr>
        <w:spacing w:after="0" w:line="182"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KP201/IR is protected by a U.S. composition-of-matter patent on KP201 that will expire, after utilizing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patent term adjustments but excluding possible patent term extensions, no earlier than 2030.</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No generic equivalent product</w:t>
      </w:r>
      <w:r>
        <w:rPr>
          <w:rFonts w:ascii="Arial" w:cs="Arial" w:eastAsia="Arial" w:hAnsi="Arial"/>
          <w:sz w:val="18"/>
          <w:szCs w:val="18"/>
          <w:color w:val="auto"/>
        </w:rPr>
        <w:t>. We believe the difference in chemical name, prescription strength and lack of APAP in the formulation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mean that there will be no generic equivalent product for KP201/IR in most states, making drug equivalent substitution potentially difficult at the pharmacy.</w:t>
      </w:r>
    </w:p>
    <w:p>
      <w:pPr>
        <w:spacing w:after="0" w:line="182"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Convenient dosing</w:t>
      </w:r>
      <w:r>
        <w:rPr>
          <w:rFonts w:ascii="Arial" w:cs="Arial" w:eastAsia="Arial" w:hAnsi="Arial"/>
          <w:sz w:val="18"/>
          <w:szCs w:val="18"/>
          <w:color w:val="auto"/>
        </w:rPr>
        <w:t>. We believe that KP201/IR will be as convenient as existing IR hydrocodone/APAP combination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KP511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KP511 is our prodrug of hydromorphone, which we are developing for the management of pain severe enough to require daily, around-the-clock, long-term opioid treatment and for which alternative treatment options are inadequate. KP511 combines hydromorphone with one or more ligands. We believe KP511 does not release its hydromorphone component until it is metabolized in the GI tract following oral administration. We believe KP511 is highly tamper-resistant and is stable under most tampering conditions that can potentially defeat many formulation-based abuse-deterrent technologies. We are currently working on an ER and IR formulation of KP511. KP511 will be formulated as an abuse-deterrent opioid product that offers equivalent efficacy to approved hydromorphone products.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plan to seek approval of KP511/ER and KP511/IR under the 505(b)(2) NDA pathway. Based on our preclinical data, we believe that KP511 may release hydromorphone after oral administration in humans in a manner that is comparable to the appropriate approved hydromorphone drug. We anticipate reporting additional human data for KP511/ER and KP511/IR in 2019 and submitting a 505(b)(2) NDA for KP511/ER and KP511/IR in 2019.</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we announced results from a Phase 1 POC trial of KP511. In the trial, we observed comparable hydromorphone exposure between 4 mg Dilaudid Oral Liquid and an equimolar 8 mg dose of KP511. Additionally, in January 2017, we announced the results of our exploratory Phase 1, double-blind, single-dose, 2-treatment, 2-period, randomized, crossover study, intended to assess the PK, safety and intranasal abuse potential of KP511, compared to equivalent doses of hydromorphone hydrochloride, or HM. In this trial, KP511 produced statistically significant reduction in peak and overall hydromorphone exposure with KP511 versus HM. The improved PK of KP511 resulted in meaningful, statistically lower scores in the exploratory pharmacodynamic measures of "Drug Liking," "Feeling High," "Overall Drug Liking" and "Take Drug Again" when compared to HM.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 oral hydromorphone products are typically used for the management of pain severe enough to require daily, around-the-clock, long-term opioid treatment in opioid tolerant patients and for which alternative treatment options are inadequate. SHS estimates that in 2017 there were nearly 2.6 million dispensed prescriptions of hydromorphone in the United States. Currently, there are no hydromorphone products approved in the United States with an abuse-deterrent label.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KP511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clinical and preclinical data, we believe KP511/ER and KP511/IR, if approved by the FDA, may have valuable product features and provide significant benefits to patients, physicians and society when compared to FDA-approved hydromorphone products:</w:t>
      </w:r>
    </w:p>
    <w:p>
      <w:pPr>
        <w:spacing w:after="0" w:line="170" w:lineRule="exact"/>
        <w:rPr>
          <w:sz w:val="20"/>
          <w:szCs w:val="20"/>
          <w:color w:val="auto"/>
        </w:rPr>
      </w:pPr>
    </w:p>
    <w:p>
      <w:pPr>
        <w:jc w:val="both"/>
        <w:ind w:left="460" w:hanging="223"/>
        <w:spacing w:after="0" w:line="272"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Abuse-deterrent technology</w:t>
      </w:r>
      <w:r>
        <w:rPr>
          <w:rFonts w:ascii="Arial" w:cs="Arial" w:eastAsia="Arial" w:hAnsi="Arial"/>
          <w:sz w:val="17"/>
          <w:szCs w:val="17"/>
          <w:color w:val="auto"/>
        </w:rPr>
        <w:t>. In order to evaluate the abuse-deterrent qualities of KP511, we conducted clinical and preclinical studies of KP511.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above, our Phase 1 POC trial of KP511 produced meaningful, statistically lower scores in the exploratory pharmacodynamic measures of "Drug Liking," "Feeling High," "Overall Drug Liking" and "Take Drug Again" when compared to HM. We also conducted preclinical studies in rats to compare the exposure to hydromorphone following intranasal and IV administration of KP511 as compared to intranasal and IV administration of hydromorphone hydrochloride. We observed significantly lower concentrations of hydromorphone following IV administration of KP511 compared to intranasal and IV administered hydromorphone hydrochloride. KP511 incorporates our LAT platform technology to create its abuse-deterrent properties and, based on our preclinical and clinical studies, we believe it may have abuse-deterrent characteristics.</w:t>
      </w:r>
    </w:p>
    <w:p>
      <w:pPr>
        <w:spacing w:after="0" w:line="175" w:lineRule="exact"/>
        <w:rPr>
          <w:rFonts w:ascii="Arial" w:cs="Arial" w:eastAsia="Arial" w:hAnsi="Arial"/>
          <w:sz w:val="17"/>
          <w:szCs w:val="17"/>
          <w:color w:val="auto"/>
        </w:rPr>
      </w:pPr>
    </w:p>
    <w:p>
      <w:pPr>
        <w:jc w:val="both"/>
        <w:ind w:left="460" w:hanging="223"/>
        <w:spacing w:after="0" w:line="30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Oral overdose protection</w:t>
      </w:r>
      <w:r>
        <w:rPr>
          <w:rFonts w:ascii="Arial" w:cs="Arial" w:eastAsia="Arial" w:hAnsi="Arial"/>
          <w:sz w:val="16"/>
          <w:szCs w:val="16"/>
          <w:color w:val="auto"/>
        </w:rPr>
        <w:t>. In our preclinical studies, we observed that hydromorphone blood levels in rats increased more slowly and to a lesser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oral administration of increasing excessively large doses of KP511, as compared to increasing equimolar oral doses of hydromorphone hydrochloride. Thus, as to KP511, we believe it is possible that the metabolic processes of releasing hydromorphone from the prodrug become saturated at excessively large oral doses. If confirmed by further studies, this could potentially mean that KP511 may reduce the risk of oral overdosing.</w:t>
      </w:r>
    </w:p>
    <w:p>
      <w:pPr>
        <w:spacing w:after="0" w:line="156" w:lineRule="exact"/>
        <w:rPr>
          <w:rFonts w:ascii="Arial" w:cs="Arial" w:eastAsia="Arial" w:hAnsi="Arial"/>
          <w:sz w:val="16"/>
          <w:szCs w:val="16"/>
          <w:color w:val="auto"/>
        </w:rPr>
      </w:pPr>
    </w:p>
    <w:p>
      <w:pPr>
        <w:jc w:val="both"/>
        <w:ind w:left="460" w:hanging="223"/>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Composition-of-matter patent protection</w:t>
      </w:r>
      <w:r>
        <w:rPr>
          <w:rFonts w:ascii="Arial" w:cs="Arial" w:eastAsia="Arial" w:hAnsi="Arial"/>
          <w:sz w:val="18"/>
          <w:szCs w:val="18"/>
          <w:color w:val="auto"/>
        </w:rPr>
        <w:t>. KP511/ER and KP511/IR are generally protected by a U.S. composition-of-matter patent on KP511 that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 after utilizing all appropriate patent term adjustments but excluding possible patent term extensions, in 2032. Our patent strategy is focused primarily on key geographic markets, and, as of December 31, 2017, we have composition-of-matter patents on KP511 in Australia, Canada, China, Kazakhstan, Japan, Philippines, New Zealand, South Africa, South Korea, Ukraine and Singapore, and applications covering KP511 were pending in the United States and an additional 20 foreign jurisdictions.</w:t>
      </w:r>
    </w:p>
    <w:p>
      <w:pPr>
        <w:spacing w:after="0" w:line="191" w:lineRule="exact"/>
        <w:rPr>
          <w:rFonts w:ascii="Arial" w:cs="Arial" w:eastAsia="Arial" w:hAnsi="Arial"/>
          <w:sz w:val="18"/>
          <w:szCs w:val="18"/>
          <w:color w:val="auto"/>
        </w:rPr>
      </w:pPr>
    </w:p>
    <w:p>
      <w:pPr>
        <w:ind w:left="460" w:hanging="223"/>
        <w:spacing w:after="0" w:line="34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No generic equivalent product</w:t>
      </w:r>
      <w:r>
        <w:rPr>
          <w:rFonts w:ascii="Arial" w:cs="Arial" w:eastAsia="Arial" w:hAnsi="Arial"/>
          <w:sz w:val="16"/>
          <w:szCs w:val="16"/>
          <w:color w:val="auto"/>
        </w:rPr>
        <w:t>. KP511 is a prodrug that was given a new chemical name by the USAN, asalhydromorphone, which means that there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no generic equivalent product for KP511/ER or KP511/IR in most states, making drug equivalent substitution difficult at the pharmacy.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using our LAT platform technology to develop other product candidates in pain. One example is KP606, an IR formulation of KP606, our prodrug of oxycodone, which we are developing for the management of moderate to severe pain where the use of an opioid analgesic is appropriate. KP606 is designed to be an IR abuse-deterrent opioid product that may potentially offer equivalent efficacy to OXYCONTIN. KP606 combines oxycodone with one or more ligands. Another example is KP746, our prodrug of oxymorphone, which is currently in preclinical development. We are developing KP746 for the management of moderate to severe pain where the use of an opioid analgesic is appropriate.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product candidates in pain, we are using our LAT platform technology to develop product candidates for the treatment of CNS disorders. KP303, a prodrug of an antipsychotic, is our product candidate for the treatment of CNS disorders including, for example, schizophrenia and bipolar disorder. Existing therapies for these disorders may result in side effects that can include weight gain, fatigue, high cholesterol and triglycerides, diabetes and low blood pressure/dizziness when standing up. Compliance and side effects, which may be triggered by undesirable metabolites, are some challenges associated with current therapies. Early research suggests that KP303 may allow for more compliant dosage forms and/or demonstrate changes in the metabolism that could improve the adverse events of existing treatments.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58"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intellectual property strategy includes seeking composition-of-matter patents, among other patents, for our prodrugs and product candidates and conjugates of our prodrugs while also protecting, where appropriate as trade secrets, our LAT platform technology, the process by which we identify, screen, evaluate and select ligands to be conjugated with parent drugs to create our prodrugs. Our current prodrugs all consist of an approved parent drug and one or more ligands that we have selected using our LAT platform technology. The parent drug and ligand or ligands together may potentially constitute a new molecule and thus may be eligible for composition-of-matter patent protection, among other patent protections, in the United States and abroad.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2017, we have been granted 23 issued patents within the United States, and an additional 64 foreign patents covering our prodrugs or product candidates. The terms of the 23 issued U.S. patents extend to various dates ranging, for example, between 2030 and 2032. The term of our overall domestic and foreign patent portfolio related to our prodrugs and product candidates, including patent term adjustments but excluding possible patent term extensions, extend to various dates ranging, for example, between 2030 and 2032, if pending patent applications in each of our patent families issue as patents. As of December 31, 2017, we had filed 14 pending patent applications under active prosecution in the United States, and an additional 101 pending foreign patent applications potentially covering our prodrugs and product candidates. Our issued and granted patents provide protection in jurisdictions that include the United States, Australia, Canada, China, Colombia, Cuba, Europe, Israel, Japan, Kazakhstan, Malaysia, Mexico, New Zealand, Philippines, Russia, Ukraine, Vietnam, Singapore, Indonesia, South Africa and South Korea.</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the United States Patent and Trademark Office, or the USPTO, issued a composition-of-matter patent covering KP201, which will expire, after utilizing all appropriate patent term adjustments but excluding possible patent term extensions, no earlier than 2030. Further, there are granted or recently allowed compositions-of-matter patents covering KP201 in Australia, Belarus, Canada, Chile, China, Colombia, Cuba, Israel, Japan, Kazakhstan, Malaysia, Mexico, New Zealand, Russia, Ukraine, Indonesia, Philippines, Singapore, South Africa and South Korea. In addition, five U.S. patent applications covering KP201-related compositions-of-matter were pending as of December 31, 2017, and patent applications covering KP201 were pending as of December 31, 2017, in the United Arab Emirates, Brazil, Costa Rica, Egypt, Europe, Hong Kong, India, Oman, Thailand and Vietnam.</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2014, the USPTO issued a composition-of-matter patent covering KP511, which will expire, after utilizing all appropriate patent term adjustments but excluding possible patent term extensions, in 2032. We have received composition-of-matter patents and also additionally filed composition-of-matter patent applications related to the KP415, KP484 and KP511 families in the United States and in Argentina, Australia, Brazil, Canada, Chile, China, Egypt, Hong Kong, Europe, India, Israel, Indonesia, Japan, South Korea, Kazakhstan, Mexico, Malaysia, New Zealand, Philippines, Russia, Singapore, Thailand, Ukraine, Vietnam and South Africa. We anticipate filing additional patent applications for our prodrug product candidates.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depend upon the skills, knowledge and experience of our scientific and technical personnel, as well as that of our advisors, consultants and other contractors. To help protect our LAT platform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2018, we announced that the FDA approved our NDA for APADAZ for the short-term (no more than 14 days) management of acute pain severe enough to require an opioid analgesic and for which alternative treatments are inadequate. We are evaluating potential U.S. commercialization options for APADAZ, including pursuing a commercial collaboration with pharmacy benefit managers who would agree to Tier 1 or equivalent reimbursement status, including the most favorable co-pay level in return for price parity with available generic products, or a partnership with a U.S.-based or global generic pharmaceutical manufacturer and distributor, or pursuing a strategic transaction. We may also license the international commercial rights to APADAZ to one or more collaborators.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exception of APADAZ, we have not yet begun commercialization activities for our product candidates in active development. Because many of our product candidates may have large potential market opportunities, and may require significant marketing resources, we may conclude that the most appropriate approach to their commercialization, if they receive regulatory approval, will involve forming a commercial collaboration or strategic relationship, or consummating some type of strategic transaction, with a larger pharmaceutical or other marketing organization. Alternatively, we may conclude that building our own focused sales and marketing organization will be most appropriate, perhaps as part of a co-promotional arrangement, or some other form of collaboration. As we get closer to potential approval of our product candidates, we will work to identify and implement the commercialization strategies that we conclude are the most desirable with regard to the specific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Historically, we have devoted a significant amount of resources to develop our product and product candidates. For the years ended December 31, 2017, 2016 and 2015, we recorded $20.6 million, $20.5 million and $13.9 million, respectively, in research and development expenses. We plan to increase our research and development expense for the foreseeable future as we continue our efforts to further advance the development of our product candidates and commercialize APADAZ and our product candidates, if approved, subject to the availability of additional funding.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We believe the key competitive factors that will affect the development and commercial success of our products and product candidates include their potential degree of abuse deterrence, onset of action, bioavailability, therapeutic efficacy, convenience of dosing, safety, tolerability and cost. 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differentiated products for the treatment of ADHD, the short-term management of acute pain, or for other indications we are pursuing or may pursue in the future, and such competitors’ products may be more effective, better tolerated and less costly than our products or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approved, KP415 and KP484 will compete against currently marketed, branded and generic methylphenidate products for the treatment of ADHD. Some of these currently marketed products include Johnson &amp; Johnson's Concerta, Novartis AG's RITALIN, Pfizer's Quillivant, FOCALIN and Focalin XR, UCB S.A.'s METADATE CD, and Noven Pharmaceuticals' Daytrana, in addition to multiple other branded and generic methylphenidate products marketed by companies including Allergan plc and Mallinckrodt plc. In addition, if approved, KP415 and KP484 will face potential competition from any other methylphenidate products for the treatment of ADHD that are currently in or which may enter into clinical development.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APADAZ and, if approved, KP201/IR, will compete against currently marketed, branded and generic IR hydrocodone/APAP combination products indicated for the short-term management of acute pain. Some of these currently marketed products include AbbVie's VICODIN, Allergan's NORCO, Shionogi's XODOL and UCB Pharma's LORTAB, in addition to multiple other branded and generic hydrocodone/APAP combination products marketed by companies including Allergan plc, Endo International plc and Mallinckrodt plc. In addition, APADAZ and, if approved, KP201/IR, will face potential competition from any IR or hydrocodone/APAP combination or other APAP-free products for the short-term management of acute pain that are currently in or may enter into clinical development.</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approved, KP511/ER and KP511/IR will compete against currently marketed, branded and generic, ER and IR hydromorphone products. KP511/ER would compete against products approved for use in opioid-tolerant patients for the management of pain severe enough to require daily, around-the-clock, long-term opioid treatment and for which alternative treatment options are inadequate. KP511/IR would compete against products approved for use in patients for the management of pain severe enough to require opioid analgesic and for which alternative treatments are inadequate. Some of these currently marketed products include Purdue Pharma L.P.’s DILAUDID and Mallinckrodt plc’s EXALGO, in addition to multiple other branded and generic IR and ER hydromorphone products marketed by companies including Allergan plc, Mallinckrodt plc, Rhodes Pharmaceuticals L.P. and Roxanne Laboratories, Inc. In addition, if approved, KP511/ER and KP511/IR will face potential competition from any abuse-deterrent or other IR and ER hydromorphone products for the treatment of pain that are currently in or which may enter into clinical development.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approved, our other opioid product candidates will face competition from commercially available branded and generic opioid drugs, including hydrocodone, hydromorphone, oxycodone, fentanyl, morphine, oxymorphone and methadone, as well as other marketed non-opioid products for the treatment of pain, and potential competition from opioid and non-opioid products for the treatment of pain that are currently in clinical development. In addition, our product candidates will face competition from approved and abuse-deterrent labeled opioid drugs and potential competition from abuse-deterrent opioid drugs that are currently in clinical development. We may compete with multiple companies that have developed and are developing abuse-deterrent technologies that may be applied to a variety of drugs, including those being developed for the short-term management of acute pain as well as for other indications that we are pursuing or may pursue in the future. If approved, our other opioid product candidates may face competition from opioid products or abuse-deterrent technologies from companies including Allergan plc, Acura Pharmaceuticals, Inc., Cara Therapeutics, Inc., Collegium Pharmaceutical, Inc., Depomed, Inc., DURECT Corporation, Egalet Corporation, Elite Pharmaceuticals, Inc., Endo International plc, Grünenthal Group, Inspirion Delivery Technologies, LLC, IntelliPharmaceutics International Inc., Mallinckrodt plc, Mylan Inc., Nektar Therapeutics, Pain Therapeutics, Inc., Pfizer Inc., Purdue Pharma L.P., Signature Pharmaceuticals, Teva Pharmaceutical Industries Ltd., Trevena Inc. and UCB S.A.</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approved, KP303 will compete against currently marketed, branded and generic, quetiapine and olanzine products approved for use in the treatment of multiple CNS disorders. Some of these currently marketed products include AstraZeneca's SEROQUEL and SEROQUEL XR and Eli Lilly's ZYPREXA and ZYPREXA ZYDIS, in addition to multiple other branded and generic quetiapine and olanzine products marketed by companies Teva Pharmaceutical Industries Ltd. and Dr. Reddy's Laboratories Ltd. In addition, if approved, KP303 will face potential competition from any abuse-deterrent or other quetiapine or olanzine products for the treatment of multiple CNS disorders which are currently in or which may enter into clinical development.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manufacturing strategy is to rely on contract manufacturers to produce our prodrug product candidates for clinical trials and, if approved, drug product for commercial sale. We currently have no manufacturing facilities and limited personnel with manufacturing experience. We rely on Johnson Matthey Inc., or JMI, a third-party manufacturer, to produce the bulk quantities of KP201 required to manufacture APADAZ and KP201/IR used in our clinical trials and pre-commercial activity under a supply agreement. JMI is also currently contracted to manufacture KP511 to be used in our non-clinical, clinical and formulation development programs needed to support an NDA filing. We have contracted with another third-party manufacturer to supply KP415 and KP484 to be used in our non-clinical, clinical and formulation development programs necessary to support an NDA filing. We plan to continue to rely on these manufacturers to manufacture commercial quantities of KP201, KP511, KP415 and KP484, respectively, for sale in the United States, if and when we receive approval by the FDA. We expect to contract with third-party manufacturers for the manufacture of all API supply needs outside the United States if and when we receive approval by regulatory authorities outside the United States.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current and any future third-party manufacturers, their facilities and all lots of drug substance and drug products used in our clinical trials are required to be in compliance with current good manufacturing practices, or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 with Johnson Matthey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supply agreement with JMI, or the Supply Agreement, JMI has agreed to supply us with all of the KP201 necessary for clinical trials and commercial sale for a price equal to JMI’s manufacturing cost and to provide process development services for KP201. In exchange, we issued shares of our common stock to JMI, provided that the commercial supply arrangement for KP201 would be exclusive to them in the United States. In addition, for further process optimization and manufacture of NDA registration batches, we agreed to pay a minimum royalty on the net sales on the commercial sale of any products which utilize KP201 as the API, if approved by the FDA. The percentage royalty rate ranges from the high teens at low volumes to the mid-single digits at higher volumes. Under the agreement, JMI has completed manufacture of our registration batches of any products which utilize KP201 as the API, and stability testing for those batches is in process.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Supply Agreement, we retain sole ownership of KP201 and are required to use commercially reasonable efforts to develop and to pursue FDA marketing approval of any products which utilize KP201 as the API. We are responsible for product development, including formulation, preclinical studies and clinical trials, and for regulatory approval, quality assurance and commercialization. If any products which utilize KP201 as the API are subject to a U.S. Drug Enforcement Agency, or DEA, scheduling quota, then each quarter, both we and JMI are responsible for using commercially reasonable efforts to obtain a quota from the DEA for the production of KP201 for use with any products that utilize KP201 as an API.</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JMI is responsible for all costs of any KP201 manufactured during a specified validation process for any products which utilize KP201 as an API. After completion of the validation process, but prior to the commercial launch of any products that utilize KP201 as the API, JMI will manufacture batches of KP201 at a negotiated price. Upon commercial launch, JMI will manufacture and supply KP201 at a price equal to JMI’s fully allocated manufacturing cost after commercial launch of APADAZ, as well as for KP201/IR or any other product that may utilize KP201 as an API, should we obtain approval for marketing from the FDA.</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must purchase all of our U.S. KP201 needs from JMI and JMI cannot supply KP201 to other companies. After the commercial launch of any product that utilizes KP201 as the API, JMI is required to identify a secondary manufacturing site and qualify and validate that site for the production of KP201.</w:t>
      </w:r>
    </w:p>
    <w:p>
      <w:pPr>
        <w:spacing w:after="0" w:line="14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term of the Supply Agreement extends as long as we hold a valid and enforceable patent for KP201 or until the tenth anniversary of the commercial launch of any product that utilizes KP201 as the API, whichever date is later. Upon the expiration of such term, the agreement will automatically renew for a period of two years unless either party provides 12 months’ prior notice of its intent not to renew.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 with Shire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2012, as a result of a litigation settlement, we and our chief executive officer, Travis C. Mickle, Ph. D., entered into an asset purchase agreement with Shire pursuant to which we sold assets and intellectual property to Shire for proceeds of $5.1 million. Pursuant to this agreement, we also granted Shire a right of first refusal to acquire, license or commercialize KP415 and KP484.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Coverage, reimbursements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and Medicaid Services, or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the Patient Protection and Affordable Care Act as amended by the Health Care Education and Reconciliation Act, or the ACA, will reduce this patient coverage gap, known as the “donut hole”, by transitioning patient responsibility in that coverage range from 100% in 2010 to only 25% in 2019. To help achieve this reduction, pharmaceutical manufacturers are required to provide quarterly discounts of 50%, and 70% commencing January 1, 2019, off the negotiated price of branded drugs dispensed to Medicare Part D patients in the donut hole.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or the OBRA, and the Veterans Health Care Act of 1992, or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Third-party payors,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25"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an investigational new drug application, or IND, which must be received by the FDA and become effective before human clinical trials may begin;</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 NDA to the FDA;</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GCPs;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approval of an NDA to permit commercial marketing for particular indications for use.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commencement of marketing of controlled substances, the DEA must also determine the controlled substance schedule, taking into account the recommendation of the FDA.</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Additional non-clinical studies may be required even after the IND is submitted. 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225" w:lineRule="exact"/>
        <w:rPr>
          <w:sz w:val="20"/>
          <w:szCs w:val="20"/>
          <w:color w:val="auto"/>
        </w:rPr>
      </w:pPr>
    </w:p>
    <w:p>
      <w:pPr>
        <w:jc w:val="both"/>
        <w:ind w:left="460" w:hanging="223"/>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to test the product candidate for safety, dosage tolerance, structure-activity relationships, mechanism of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and excretion in healthy volunteers or subjects with the target disease or condition. If possible, Phase 1 trials may also be used to gain an initial indication of product effectiveness.</w:t>
      </w:r>
    </w:p>
    <w:p>
      <w:pPr>
        <w:spacing w:after="0" w:line="182"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with groups of subjects with a specified disease or condition to provide enough data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efficacy, optimal dosages and dosing schedule and expanded evidence of safety. Multiple Phase 2 clinical trials may be conducted to obtain information prior to beginning larger and more expensive Phase 3 clinical trials.</w:t>
      </w:r>
    </w:p>
    <w:p>
      <w:pPr>
        <w:spacing w:after="0" w:line="182"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—These clinical trials are undertaken in larger subject populations to provide statistically significant evidence of clinical efficacy and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test for safety in an expanded subject population at multiple clinical trial sites.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above-described studies and preclinical studies may not be required or may be abbreviated. Bridging studies may be needed, however, to demonstrate the relevance of the studies that were previously conducted by other sponsors to the drug that is the subject of the NDA.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or post-market, studies may be made a condition to be satisfied after approval. The results of Phase 4 studies can confirm the effectiveness of a product candidate and can provide important safety information.</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Progress reports detailing the results of the clinical trials must be submitted at least annually to the FDA and the IRB and more frequently if serious adverse events occur.</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Approval Process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505(b)(2) of the FFDCA,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effectiveness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176"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Our current and anticipated product candidates are or will be based on already approved APIs in combination with a ligand. Accordingly, we have and expect to be able to continue to rely on information from studies previously conducted by the companies that obtained approval for drugs containing such APIs.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Orange Book Listing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 NDA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(Class 1 or Class 2).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FDA approval of any NDA submitted by us will be at a time the FDA chooses. Also, if regulatory approval of a product is granted, such approval may entail limitations on the indicated uses for which such product may be marketed or may include contraindications, warnings or precautions in the product labeling, including a black box warning. If the FDA requires a boxed warning, we would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022"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 For example, we are required to conduct pediatric studies related to Apadaz, which was approved by the FDA in February 2018, to determine the safety and effectiveness of Apadaz for the claimed indication in pediatric patients.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annual user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Risk Evaluation and Mitigation Strategy</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FDA has the authority to require a REMS to ensure the safe use of the drug.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 new molecule. If the FDA determines a REMS is necessary, the drug sponsor must develop the REMS program, which the FDA reviews and approves. A REMS may be required for a single drug or an entire class of drugs.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REMS may be required to include various elements, including, but not limited to, a medication guide or patient package insert, a communication plan to educate healthcare providers of the drug’s risks, limitations on who may prescribe or dispense the drug, elements to assure safe use, or ETASU, an implementation system, or other measures that the FDA deems necessary to assure the safe use of the drug. ETASU can include, but are not limited to, special training or certification for prescribing or dispensing, dispensing only under specified circumstances, special monitoring, and the use of patient registries. In addition, the REMS must include a timetable to periodically assess the strategy. The FDA may also impose a REMS requirement on a drug already on the market if the FDA determines, based on new safety information, that a REMS is necessary to ensure that the drug’s benefits outweigh its risks. The requirement for a REMS can materially affect the potential market and profitability of a drug.</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upon currently approved product REMS programs and class-wide REMS programs, including the class-wide REMS programs for extended-release and long-acting opioid analgesics, we believe that most of our products and product candidates, if approved, may be subject to a REMS. Accordingly, we expect to have to take prescribed measures to ensure the safe use of our products, once they are approved. For example, we are required to prepare a REMS program for Apadaz, the plan for which was approved by the FDA, along with the NDA for Apadaz, in February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Drug Program Fees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each applicant named in a human drug application is required to pay an annual prescription drug program fee for each prescription drug product that is identified in such a human drug application approved as of October 1 of such fiscal year. Applicants may not be assessed more than five prescription drug program fees for a fiscal year for prescription drug products identified in a single approved application.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prescription drug product is not assessed a prescription drug program fee if the product is on the list compiled under section 505(j)(7) with a potency described in terms of per 100 milliliters (large volume parenteral), the product is the same as another product approved under an application filed under sections 505(b) or 505(j) of the Federal Food, Drug and Cosmetic Act and that other product is not in the list of discontinued products compiled under 505(j)</w:t>
      </w:r>
    </w:p>
    <w:p>
      <w:pPr>
        <w:spacing w:after="0" w:line="2" w:lineRule="exact"/>
        <w:rPr>
          <w:sz w:val="20"/>
          <w:szCs w:val="20"/>
          <w:color w:val="auto"/>
        </w:rPr>
      </w:pPr>
    </w:p>
    <w:p>
      <w:pPr>
        <w:ind w:firstLine="8"/>
        <w:spacing w:after="0" w:line="260"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Federal Food, Drug and Cosmetic Act or an abbreviated application filed under section 507 of the Federal Food, Drug and Cosmetic Act, or an ANDA prior the implementation of the Drug Price Competition and Patent Term Restoration Act of 1984.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Like application user fees, fee waivers or reductions are available for prescription drug program fees in some circumstances.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DEA Regulation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our products and product candidates, if approved, will be regulated as “controlled substances” as defined in the Controlled Substances Act of 1970, or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86" w:lineRule="exact"/>
        <w:rPr>
          <w:sz w:val="20"/>
          <w:szCs w:val="20"/>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drug has a currently accepted medical use in treatment in the United States or a currently accepted medical use with severe restrictions; and</w:t>
      </w:r>
    </w:p>
    <w:p>
      <w:pPr>
        <w:spacing w:after="0" w:line="263" w:lineRule="exact"/>
        <w:rPr>
          <w:rFonts w:ascii="Arial" w:cs="Arial" w:eastAsia="Arial" w:hAnsi="Arial"/>
          <w:sz w:val="17"/>
          <w:szCs w:val="17"/>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DEA has determined that APADAZ will be listed as a Schedule II controlled substance under the CSA, and we expect that most of our other products and product candidates may be listed in the same manner, if approved. In 2014, the DEA rescheduled hydrocodone combination products into Schedule II from Schedule III. If our product candidates are ultimately listed as Schedule II controlled substances, then the importation of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w:t>
      </w:r>
    </w:p>
    <w:p>
      <w:pPr>
        <w:spacing w:after="0" w:line="1" w:lineRule="exact"/>
        <w:rPr>
          <w:sz w:val="20"/>
          <w:szCs w:val="20"/>
          <w:color w:val="auto"/>
        </w:rPr>
      </w:pPr>
    </w:p>
    <w:p>
      <w:pPr>
        <w:jc w:val="both"/>
        <w:ind w:firstLine="8"/>
        <w:spacing w:after="0" w:line="252" w:lineRule="auto"/>
        <w:tabs>
          <w:tab w:leader="none" w:pos="1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most of our current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opioids and stimulants that the DEA allows to be produced in the United States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Healthcare Regulations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ACA amended the intent requirement of the federal Anti-Kickback Statute, and some other healthcare criminal fraud statutes, so that a person or entity no longer needs to have actual knowledge of the federal Anti-Kickback Statute, or the specific intent to violate it, to have violated those statutes. The ACA also provided that a violation of the federal Anti-Kickback Statute is grounds for the government or a whistleblower to assert that a claim for payment of items or services resulting from such violation constitutes a false or fraudulent claim for purposes of the False Claims Act.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federal civil and criminal false claims laws, including the federal False Claims Act, which can be enforced by private citizens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federal Open Payments program,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and teaching hospitals, or to entities or individuals at the request of, or designated on behalf of, the physicians and teaching hospitals and to report annually specified ownership and investment interests held by physicians and their immediate family members.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submit timely, accurately and completely the required information for all payments, transfers of value and ownership or investment interests may result in significant civil monetary penalties.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requirements covered entities, including certain healthcare providers, health plans and healthcare clearinghouses, and their respective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 Among other things, HITECH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and may not have the same effect, thus complicating compliance efforts.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third-party payor, including commercial insurers. Several states and local jurisdictions have also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Depending on the circumstances, failure to comply with these laws can result in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58"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example, in March 2010, the ACA was passed. The ACA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There have been judicial and congressional challenges to certain aspects of the ACA. Since January 2017, President Trump has signed two Executive Orders designed to delay the implementation of certain provisions of the ACA or otherwise circumvent some of the requirements for health insurance mandated by ACA. Concurrently, Congress has considered legislation to repeal or repeal and replace all or part of the ACA. While Congress has not passed comprehensive repeal legislation, two bills affecting the implementation of certain taxes under the ACA have been signed into law. The Tax Cuts and Jobs Act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We continue to evaluate the effect that the ACA has on our business. Final regulations, guidance, amendments and judicial orders are anticipated in the future and we will continue to assess the ACA’s impact on us as final regulations, guidance, amendments and judicial orders are issued.</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including the BBA, will remain in effect through 2027 unless additional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As of December 31, 2017, we employed 32 full-time employees. We have never had a work stoppage, and none of our employees are represented by a labor organization or under any collective bargaining arrangements.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Information</w:t>
      </w:r>
    </w:p>
    <w:p>
      <w:pPr>
        <w:spacing w:after="0" w:line="229" w:lineRule="exact"/>
        <w:rPr>
          <w:sz w:val="20"/>
          <w:szCs w:val="20"/>
          <w:color w:val="auto"/>
        </w:rPr>
      </w:pPr>
    </w:p>
    <w:p>
      <w:pPr>
        <w:jc w:val="both"/>
        <w:ind w:right="100"/>
        <w:spacing w:after="0" w:line="307" w:lineRule="auto"/>
        <w:rPr>
          <w:sz w:val="20"/>
          <w:szCs w:val="20"/>
          <w:color w:val="auto"/>
        </w:rPr>
      </w:pPr>
      <w:r>
        <w:rPr>
          <w:rFonts w:ascii="Arial" w:cs="Arial" w:eastAsia="Arial" w:hAnsi="Arial"/>
          <w:sz w:val="17"/>
          <w:szCs w:val="17"/>
          <w:color w:val="auto"/>
        </w:rPr>
        <w:t>We view our operations and manage our business as one operating segment. See our financial statements for a discussion of revenues, operating loss, net loss and total assets. All of our assets were held in the United States for the years ended December 31, 2017, 2016 and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00"/>
        <w:spacing w:after="0" w:line="341" w:lineRule="auto"/>
        <w:rPr>
          <w:sz w:val="20"/>
          <w:szCs w:val="20"/>
          <w:color w:val="auto"/>
        </w:rPr>
      </w:pPr>
      <w:r>
        <w:rPr>
          <w:rFonts w:ascii="Arial" w:cs="Arial" w:eastAsia="Arial" w:hAnsi="Arial"/>
          <w:sz w:val="16"/>
          <w:szCs w:val="16"/>
          <w:color w:val="auto"/>
        </w:rPr>
        <w:t>We were incorporated under the laws of the State of Iowa in October 2006 and were reincorporated under the laws of the State of Delaware in May 2014. Our principal executive offices are located at 2500 Crosspark Road, Suite E126, Coralville, IA 52241 and our telephone number is (319) 665-2575.</w:t>
      </w:r>
    </w:p>
    <w:p>
      <w:pPr>
        <w:spacing w:after="0" w:line="1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www.kempharm.com</w:t>
      </w:r>
      <w:r>
        <w:rPr>
          <w:rFonts w:ascii="Arial" w:cs="Arial" w:eastAsia="Arial" w:hAnsi="Arial"/>
          <w:sz w:val="18"/>
          <w:szCs w:val="18"/>
          <w:color w:val="auto"/>
        </w:rPr>
        <w:t>. The information contained on our website is not incorporated by reference into this Annual Report on Form 10-K.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20"/>
          </w:cols>
          <w:pgMar w:left="240" w:top="584" w:right="139" w:bottom="1440" w:gutter="0" w:footer="0" w:header="0"/>
        </w:sectPr>
      </w:pPr>
    </w:p>
    <w:bookmarkStart w:id="27" w:name="page28"/>
    <w:bookmarkEnd w:id="27"/>
    <w:p>
      <w:pPr>
        <w:spacing w:after="0"/>
        <w:tabs>
          <w:tab w:leader="none" w:pos="680" w:val="left"/>
        </w:tabs>
        <w:rPr>
          <w:sz w:val="20"/>
          <w:szCs w:val="20"/>
          <w:color w:val="auto"/>
        </w:rPr>
      </w:pPr>
      <w:r>
        <w:rPr>
          <w:rFonts w:ascii="Arial" w:cs="Arial" w:eastAsia="Arial" w:hAnsi="Arial"/>
          <w:sz w:val="18"/>
          <w:szCs w:val="18"/>
          <w:b w:val="1"/>
          <w:bCs w:val="1"/>
          <w:color w:val="auto"/>
        </w:rPr>
        <w:t>ITEM</w:t>
        <w:tab/>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We expect to incur operating losses over the next several years and may never achieve or maintain profitability.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operating losses since our inception and, as of December 31, 2017, had an accumulated deficit of $164.7 million. Our loss from operations for the years ended December 31, 2017, 2016 and 2015, were $33.4 million, $37.5 million and $22.8 million, respectively. We have financed our operations to date with $25.3 million raised in private placements of redeemable convertible preferred stock, $115.9 million in convertible promissory notes and term debt and $59.9 million in aggregate net proceeds from our initial public offering. In addition, as of March 28, 2018, we have raised $2.9 million in gross proceeds from the sales of 446,111 shares of our common stock under our Common Stock Sales Agreement, or ATM Agreement, with Cowen and Company, LLC, or Cowen.</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devoted substantially all of our financial resources and efforts to research and development, including preclinical studies and clinical trials. We are still in the early stages of development of many of our product candidates, and we have only completed development of, and received regulatory approval for, one of our product candidates, APADAZ.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56" w:lineRule="exact"/>
        <w:rPr>
          <w:sz w:val="20"/>
          <w:szCs w:val="20"/>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product candidates that successfully complete clinical trials;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establish a commercialization infrastructure and scale up external manufacturing and distribution capabilities to commercialize APADAZ and any of our product candidates for which we may obtain regulatory approval;</w:t>
      </w:r>
    </w:p>
    <w:p>
      <w:pPr>
        <w:spacing w:after="0" w:line="169"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chemistry, manufacturing and controls, or CMC, activities related to the potential commercialization of APADAZ and any of our product candidates for which we may obtain regulatory approval;</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systems and personnel, including systems and personnel, if needed, to support any future commercialization efforts.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APADAZ and any of our product candidates for which we may obtain regulatory approval, as well as discovering and developing additional product candidates. We are only in the preliminary stages of most of these activities. For instance, we have not yet determined our strategy for commercializing APADAZ, and we cannot guarantee that any strategy we adopt will be successful. We may never succeed in these activities and, even if we do, may never generate revenue that is significant enough to achieve profitability.</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806"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The auditor's opinion on our audited financial statements for the fiscal year ended December 31, 2017, included in this annual report on Form 10-K, contains an explanatory paragraph relating to our ability to continue as a going concern.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auditor's opinion on our audited financial statements for the year ended December 31, 2017 includes an explanatory paragraph stating that our recurring losses from operations, stockholders' deficit and negative operating cash flows raise substantial doubt about our ability to continue as a going concern. While we believe that we will be able to raise the capital we need to continue our operations, there can be no assurances that we will be successful in these efforts or will be able to resolve our liquidity issues or eliminate our operating losses.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consolidated financial statements, and it is likely that investors will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to pursue our business objectives. If we are unable to raise capital when needed, we could be forced to delay, reduce or altogether cease our prodrug development programs or commercialization efforts.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Based on our current operating plan, existing resources are not expected to be sufficient to fund operating expense and capital investment requirements through the first quarter of 2019. Because of this, the auditor's opinion on our audited financial statements for the year ended December 31, 2017, includes an explanatory paragraph stating that our recurring losses from operations and negative cash flows raise substantial doubt about our ability to continue as a going concern. We will need to obtain substantial additional funding in connection with our continuing operations from one or more equity offerings, including pursuant to our ATM Agreement, debt financings or other third-party funding, including potential strategic alliances and licensing or collaboration arrangements, and we cannot guarantee that we will be able to generate sufficient proceeds from sales under our ATM Agreement or otherwise, or be successful in completing other transactions, that will fund our operating expenses. Our future capital requirements will depend on many factors, including:</w:t>
      </w:r>
    </w:p>
    <w:p>
      <w:pPr>
        <w:spacing w:after="0" w:line="165" w:lineRule="exact"/>
        <w:rPr>
          <w:sz w:val="20"/>
          <w:szCs w:val="20"/>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CMC and other product development and commercialization activities;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APADAZ and any of our product candidates for which we receive marketing approval;</w:t>
      </w:r>
    </w:p>
    <w:p>
      <w:pPr>
        <w:spacing w:after="0" w:line="169" w:lineRule="exact"/>
        <w:rPr>
          <w:rFonts w:ascii="Arial" w:cs="Arial" w:eastAsia="Arial" w:hAnsi="Arial"/>
          <w:sz w:val="18"/>
          <w:szCs w:val="18"/>
          <w:color w:val="auto"/>
        </w:rPr>
      </w:pPr>
    </w:p>
    <w:p>
      <w:pPr>
        <w:jc w:val="both"/>
        <w:ind w:left="460" w:hanging="223"/>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APADAZ or our product candidates for which we receive marketing approval, which may be affected by market conditions, including obtaining coverage and adequate reimbursement of APADAZ or our product candidates from third-party payors, including government programs and managed care organizations, and competition within the therapeutic class to which APADAZ or our product candidates are assigned;</w:t>
      </w:r>
    </w:p>
    <w:p>
      <w:pPr>
        <w:spacing w:after="0" w:line="185"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APADAZ or our product candidates, if approved, may not achieve commercial success. Our commercial revenue, if any, will be derived from sales of prodrug products and we do not currently know when, APADAZ or any of our product candidates will be commercially available. We have not yet determined our strategy for commercializing APADAZ, and we cannot guarantee that any strategy we adopt will be successful.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these securities or this debt may restrict our ability to operate. On June 2, 2014 ,we entered into a $60 million facility agreement, or the Deerfield Facility Agreement, with Deerfield Private Design Fund III, LP, or Deerfield. The Deerfield Facility Agreement includes, and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Additionally, in February 2016, we issued 5.50% senior convertible notes due 2021, or the 2021 Notes. We are required to make periodic interest payments to the holders of the 2021 Notes and to make payments of principal upon maturity. In this regard, if holders of the 2021 Notes do not convert their 2021 Notes prior to the maturity date, we will be required to repay the principal amount of all then outstanding 2021 Notes plus any accrued and unpaid interest. We may also be required to repurchase the 2021 Notes for cash upon the occurrence of a change of control or certain other fundamental changes involving us. If our capital resources are insufficient to satisfy our debt service obligations, we will be required to seek to sell additional equity or debt or to obtain debt financing.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operating history may make it difficult for you to evaluate the success of our business to date and to assess our future viability.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To date, we have only had one of our product candidates approved by the FDA. For instance, on February 23, 2018, we announced that the FDA approved our NDA for APADAZ for the short-term (no more than 14 days) management of acute pain severe enough to require an opioid analgesic and for which alternative treatments are inadequate. We have not yet demonstrated an ability to manufacture a prodrug on a commercial scale, or arrange for a third party to do so, or conduct sales and marketing activities necessary for successful commercialization or enter into a collaboration for that purpose. We have not yet determined our strategy for commercializing APADAZ, and we cannot guarantee that any strategy we adopt will be successful. Consequently, any predictions you make about our future success or viability may not be as accurate as they could be if we had a longer operating history.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key element of our strategy is to use our LAT platform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For instance, in June 2016, we received a CRL from the FDA for our APADAZ NDA. In November 2016, we elected to continue the regulatory review process for APADAZ with the submission of a FDRR to the FDA. In September 2017, we announced completion of the FDRR process with the FDA for APADAZ. Following detailed discussions with the FDA, we responded to the CRL we received in June 2016 by submitting an amended NDA for APADAZ. On February 23, 2018, we announced that the FDA approved our NDA for APADAZ. If we do not successfully commercialize APADAZ and develop and commercialize our product candidates based upon our LAT platform technology, we will not be able to obtain product revenue in future periods, which likely would result in significant harm to our financial position and adversely affect our stock price.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our product candidates, we will not be able to commercialize them and our ability to generate revenue or profits or to raise future capital could be limited.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regulatory approval is obtained, subsequent safety, efficacy, quality or other issues can result in a product approval being suspended or withdrawn. On February 23, 2018, we announced that the FDA approved our NDA for APADAZ. Even with the regulatory approval of APADAZ by the FDA, we cannot guarantee that the FDA will approve any of our other product candidates for commercial sale. If our development efforts for our product candidates, including regulatory approval, are not successful for their planned indications or are delayed, or if adequate demand for our product candidates that are approved for marketing, if any, is not generated, our business will be harmed.</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70" w:lineRule="exact"/>
        <w:rPr>
          <w:sz w:val="20"/>
          <w:szCs w:val="20"/>
          <w:color w:val="auto"/>
        </w:rPr>
      </w:pPr>
    </w:p>
    <w:p>
      <w:pPr>
        <w:ind w:left="460" w:right="2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dosing in a particular clinical trial may not be at an optimal level;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submissions to regulatory authorities or to obtain regulatory approval in the United States or elsewhere;</w:t>
      </w:r>
    </w:p>
    <w:p>
      <w:pPr>
        <w:spacing w:after="0" w:line="169"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 For example, in May 2016, the Anesthetic and Analgesic Drug Products Advisory Committee and the Drug Safety and Risk Management Advisory Committee of the FDA voted 16 to four for the approval of APADAZ, but voted 18 to two against inclusion of abuse-deterrent labeling for APADAZ. Additionally, in June 2016, we received a CRL from the FDA for our APADAZ NDA. In November 2016, we elected to continue the regulatory review process for APADAZ with the submission of a FDRR to the FDA. In September 2017, we announced completion of the FDRR process with the FDA for APADAZ. Following detailed discussions with the FDA, we responded to the CRL we received in June 2016 by submitting an amended NDA for APADAZ. On February 23, 2018, we announced that the FDA approved our NDA for APADAZ.</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968"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have only one product which has completed development and obtained regulatory approval by the FDA, APADAZ. All our other active product candidates are in clinical or preclinical development. If we are unable to commercialize APADAZ or our product candidates, or experience significant delays in doing so, our business will be harmed.</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early in our development efforts and have only one product that has completed development and been approved by the FDA, APADAZ. All of our other active product candidates are in clinical or preclinical development. We currently generate no revenue from the sale of any prodrugs and we may never be able to commercialize a prodrug product. For instance, we have not yet determined our strategy for commercializing APADAZ, and we cannot guarantee that any strategy we adopt will be successful. We have invested substantially all our efforts and financial resources in the development of our LAT platform technology, the identification of potential product candidates and the development of our product candidates. Our ability to generate revenue from APADAZ and our product candidates will depend heavily on their successful development and eventual commercialization. The success of APADAZ and our product candidates will depend on several factors, including:</w:t>
      </w:r>
    </w:p>
    <w:p>
      <w:pPr>
        <w:spacing w:after="0" w:line="176" w:lineRule="exact"/>
        <w:rPr>
          <w:sz w:val="20"/>
          <w:szCs w:val="20"/>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that the risks involved with APADAZ and our product candidates are outweighed by the benefits;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for APADAZ and our product candidates, including entering into and maintaining arrangements with third-party manufacturers;</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an FDA preapproval inspection of the facilities used to manufacture APADAZ and our product candidates, as well as select clinical trial sites;</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 including, if applicable, the determination by the U.S. Drug Enforcement Administration, or DEA, of the controlled substance schedule for APADAZ and a product candidate, taking into account the recommendation of the FDA;</w:t>
      </w:r>
    </w:p>
    <w:p>
      <w:pPr>
        <w:spacing w:after="0" w:line="182"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differentiating claims in the labels for our product candidates;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APADAZ and our product candidates and otherwise protecting our rights in our intellectual property portfolio;</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current good manufacturing practices, or cGMPs;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APADAZ and our product candidates, if and when approved, whether alone or in collaboration with others;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APADAZ and our prodrug product candidates, if approved, by patients, the medical community and third-party payors;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the prodrug products following approval.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APADAZ obtained regulatory approval on February 23, 2018, it is possible that none of our other existing product candidates or any of our future product candidates will ever obtain regulatory approval, even if we expend substantial time and resources seeking such approval.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APADAZ or our product candidates, which would harm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market and promote our products in the United States by describing their abuse-deterrent features will be determined by the FDA-approved labeling for them.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most of our product candidates will depend upon our ability to obtain FDA-approved labeling describing their abuse-deterrent features. Our failure to achieve FDA approval of product labeling containing such information will prevent our advertising and promotion of the abuse-deterrent features of our product candidates in order to differentiate them from other similar products. This would make our products less competitive in the market.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FDA approval is required to make claims that a product has an abuse-deterrent effect. In January 2013, the FDA published draft guidance with regard to the evaluation and labeling of abuse-deterrent opioids. This guidance was published in final form in April 2015. The FDA guidance provides direction as to the studies and data required for obtaining abuse-deterrent claims in a product label. The guidance describes four categories of label claims for abuse-deterrent products. Depending on product and study data, a combination of categories can be included in the label claims. The FDA guidance lists the following theoretical examples:</w:t>
      </w:r>
    </w:p>
    <w:p>
      <w:pPr>
        <w:spacing w:after="0" w:line="191" w:lineRule="exact"/>
        <w:rPr>
          <w:sz w:val="20"/>
          <w:szCs w:val="20"/>
          <w:color w:val="auto"/>
        </w:rPr>
      </w:pPr>
    </w:p>
    <w:p>
      <w:pPr>
        <w:ind w:left="460" w:right="20" w:hanging="223"/>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Category 1–in vitro data demonstrate the product has physical and chemical properties that are expected to deter intravenous abuse. However, abuse is still possible by the oral and nasal routes.</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Category 1 and 2–in vitro data demonstrate that the product has physical and chemical properties that are expected to deter oral, nasal and intravenous abuse. However, abuse of intact product is still possible by the oral route.</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Category 2 and 3–pharmacokinetic and clinical abuse potential studies indicate that the product has properties that are expected to deter abuse via the oral, intranasal and intravenous routes. However, abuse of product by these routes is still possible.</w:t>
      </w:r>
    </w:p>
    <w:p>
      <w:pPr>
        <w:spacing w:after="0" w:line="169" w:lineRule="exact"/>
        <w:rPr>
          <w:rFonts w:ascii="Arial" w:cs="Arial" w:eastAsia="Arial" w:hAnsi="Arial"/>
          <w:sz w:val="18"/>
          <w:szCs w:val="18"/>
          <w:color w:val="auto"/>
        </w:rPr>
      </w:pPr>
    </w:p>
    <w:p>
      <w:pPr>
        <w:jc w:val="both"/>
        <w:ind w:left="460" w:hanging="223"/>
        <w:spacing w:after="0" w:line="30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Category 4–data demonstrated a reduction in the abuse of the product in the community setting compared to the levels of abuse, overdose, and death that occurred when only formulations of the same opioid without abuse-deterrent properties were available. This reduction in abuse appears to be attributable to the product’s formulation, which deters abuse by injection or snorting of the manipulated product. However, such abuse of this product is still possible, and the product’s abuse-deterrent properties do not deter abuse associated with swallowing the intact formulation.</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product is approved by the FDA to include such claims in its label, the applicant may use information about the abuse-deterrent features of the product in its marketing efforts to physicians.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can be no assurance that any of our product candidates will receive FDA-approved labeling that describes the abuse-deterrent features of such products. The FDA may find that our trials do not support abuse-deterrent labeling or that our product candidates do not provide substantial abuse deterrence because, for example, their deterrence mechanisms do not address the way they are most likely to be abused. For instance, in May 2016, the Anesthetic and Analgesic Drug Products Advisory Committee and the Drug Safety and Risk Management Advisory Committee of the FDA voted 18 to two against inclusion of abuse-deterrent labeling for APADAZ. Subsequently, in June 2016, the FDA issued a CRL for our APADAZ NDA indicating that the FDA considered the review cycle for the APADAZ NDA complete and that the application was not ready for approval in its present form. In its CRL, the FDA advised us that it did not believe our proposed labeling included in the application accurately conveyed the outcome of our abuse-deterrent studies of APADAZ. In November 2016, we elected to continue the regulatory review process for APADAZ with the submission of a FDRR to the FDA. In September 2017, we announced completion of the FDRR process with the FDA for APADAZ. Following detailed discussions with the FDA, we responded to the CRL we received in June 2016 by submitting an amended NDA for APADAZ. On February 23, 2018, we announced that the FDA approved our NDA for APADAZ. The final label approved by the FDA for APADAZ determined it was not expected to deter abuse.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with all claims, we will be required to provide adequate substantiation. For example, we will need to demonstrate that our product candidates have abuse-deterrent properties sufficient to achieve abuse-deterrent labeling.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FDA is not required to follow its guidance and could change this guidance, which could require us to conduct additional trials. If the FDA does not approve abuse-deterrent labeling, we will not be able to promote such products based on their abuse-deterrent features and may not be able to differentiate such products from other comparable products.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if we do receive FDA approval for abuse-deterrent claims, the claims may not be broad enough to demonstrate a substantial benefit to health care providers and patients. For instance, the claims may not encompass the more common forms of abuse for products like our product candidates. Moreover, continued investigation in Phase 4 studies following product approval may not support the continued use of abuse-deterrent claims.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ind w:left="20"/>
        <w:spacing w:after="0" w:line="301" w:lineRule="auto"/>
        <w:rPr>
          <w:sz w:val="20"/>
          <w:szCs w:val="20"/>
          <w:color w:val="auto"/>
        </w:rPr>
      </w:pPr>
      <w:r>
        <w:rPr>
          <w:rFonts w:ascii="Arial" w:cs="Arial" w:eastAsia="Arial" w:hAnsi="Arial"/>
          <w:sz w:val="16"/>
          <w:szCs w:val="16"/>
          <w:b w:val="1"/>
          <w:bCs w:val="1"/>
          <w:i w:val="1"/>
          <w:iCs w:val="1"/>
          <w:color w:val="auto"/>
        </w:rPr>
        <w:t>If we attempt to rely on Section 505(b)(2) of the Federal Food, Drug and Cosmetic Act and the FDA does not conclude that our product candidates are sufficiently bioequivalent, or have comparable bioavailability, to approved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56" w:lineRule="exact"/>
        <w:rPr>
          <w:sz w:val="20"/>
          <w:szCs w:val="20"/>
          <w:color w:val="auto"/>
        </w:rPr>
      </w:pPr>
    </w:p>
    <w:p>
      <w:pPr>
        <w:jc w:val="both"/>
        <w:ind w:left="20"/>
        <w:spacing w:after="0" w:line="256" w:lineRule="auto"/>
        <w:rPr>
          <w:sz w:val="20"/>
          <w:szCs w:val="20"/>
          <w:color w:val="auto"/>
        </w:rPr>
      </w:pPr>
      <w:r>
        <w:rPr>
          <w:rFonts w:ascii="Arial" w:cs="Arial" w:eastAsia="Arial" w:hAnsi="Arial"/>
          <w:sz w:val="18"/>
          <w:szCs w:val="18"/>
          <w:color w:val="auto"/>
        </w:rPr>
        <w:t>A key element of our strategy is to seek FDA approval for most of our product candidates under Section 505(b)(2) of the Federal Food, Drug and Cosmetic Act,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91"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For instance, we currently plan on relying on the 505(b)(2) pathway for any NDA we submit for KP415 or KP484 and KP201/IR. However, we do not anticipate that the 505(b)(2) pathway will be available for every product candidate. For instance, it is possible we will only be permitted to utilize the 505(b)(2) NDA pathway for either KP415 or KP484, but not both. If this were to occur, the time and financial resources required to obtain FDA approval for our product candidates, and complications and risks associated with our product candidates, would likely substantially increase.</w:t>
      </w:r>
    </w:p>
    <w:p>
      <w:pPr>
        <w:spacing w:after="0" w:line="17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To rely on the FDA’s previous findings of safety and effectiveness for an approved product in a 505(b)(2) NDA, the approved product must be an NDA product. For our amended APADAZ NDA, because there are no approved NDAs for hydrocodone/APAP combination products, we were required to rely on two NDAs (one containing hydrocodone and another containing APAP) to bridge previous findings of safety and efficacy from those NDAs to APADAZ. We also referenced published medical and scientific literature for hydrocodone and APAP in our amended APADAZ NDA to support the safety and effectiveness of APADAZ and we were required to demonstrate bioequivalence to NORCO to establish that APADAZ is not a new drug combination. If this is deemed insufficient, we may need to conduct additional clinical trials and provide additional data and information regarding the safety and effectiveness of APADAZ.</w:t>
      </w:r>
    </w:p>
    <w:p>
      <w:pPr>
        <w:spacing w:after="0" w:line="193"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abbreviated new drug application, or ANDA, which is used for the development of generic drug products.</w:t>
      </w:r>
    </w:p>
    <w:p>
      <w:pPr>
        <w:spacing w:after="0" w:line="191"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In addition, notwithstanding the approval of several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210"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black box warning, may be subject to other conditions of approval, or may contain requirements for costly post-marketing clinical trials, testing and surveillance to monitor the safety or efficacy of the products, or other post-market requirements, such as a Risk Evaluation and Mitigation Strategy, or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black box warning for at least some of our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4" w:right="2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were to submit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70" w:lineRule="exact"/>
        <w:rPr>
          <w:sz w:val="20"/>
          <w:szCs w:val="20"/>
          <w:color w:val="auto"/>
        </w:rPr>
      </w:pPr>
    </w:p>
    <w:p>
      <w:pPr>
        <w:ind w:left="460" w:hanging="223"/>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NDA is incomplete because it does not on its face contain the information required under the Federal Food, Drug and Cosmetic Act or the FDA’s regulations;</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NDA does not contain a statement that each non-clinical laboratory study was conducted in compliance with good laboratory practices requirements, or for each study not so conducted, a brief statement of the reason for the noncompliance;</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drug is a duplicate of a listed drug approved before receipt of the NDA and is eligible for approval under an ANDA for generic drugs.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its procedures, the FDA has stated that it could find an NDA submitted under the Section 505(b)(2) regulatory pathway incomplete and refuse to file it if the NDA, among other reasons:</w:t>
      </w:r>
    </w:p>
    <w:p>
      <w:pPr>
        <w:spacing w:after="0" w:line="170" w:lineRule="exact"/>
        <w:rPr>
          <w:sz w:val="20"/>
          <w:szCs w:val="20"/>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fails to include appropriate literature or a listed drug citation to support the safety or efficacy of the drug product;</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fails to include data necessary to support any aspects of the proposed drug that represent modifications to the listed drug(s) relied upon;</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fails to provide a bridge, for example by providing comparative bioavailability data, between the proposed drug product and the listed drug product to demonstrate that such reliance is scientifically justified;</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uses an unapproved drug as a reference product for the bioequivalence study; or</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For instance, in June 2016, the FDA issued a CRL for our APADAZ NDA. In its CRL, the FDA advised us that it did not believe our proposed labeling included in the application accurately conveyed the outcome of our abuse-deterrent studies of APADAZ. In November 2016, we elected to continue the regulatory review process for APADAZ with the submission of a FDRR to the FDA. In September 2017, we announced completion of the FDRR process with the FDA for APADAZ. Following detailed discussions with the FDA, we responded to the CRL we received in June 2016 by submitting an amended NDA for APADAZ. On February 23, 2018, we announced that the FDA approved our NDA for APADAZ.</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46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clinical trial protocols as needed;</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2"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9"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69"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69"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3" w:lineRule="exact"/>
        <w:rPr>
          <w:sz w:val="20"/>
          <w:szCs w:val="20"/>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prodrug development costs may also increase if we experience delays in testing or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FDA's approval of such product candidates.</w:t>
      </w:r>
    </w:p>
    <w:p>
      <w:pPr>
        <w:spacing w:after="0" w:line="170"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develop a prodrug-based product that might allow us to seek a rare pediatric disease priority review voucher.</w:t>
      </w:r>
    </w:p>
    <w:p>
      <w:pPr>
        <w:spacing w:after="0" w:line="25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FDA has awarded rare pediatric disease priority review vouchers to sponsors of drug candidates to treat rare pediatric disease, if the treatment sponsors apply for this designation and meet certain criteria. Under this program, upon the approval of a qualifying NDA, for the treatment of a rare pediatric disease, the sponsor of such an application would be eligible for a rare pediatric disease priority review voucher that can be used to obtain priority review for a subsequent NDA. The priority review voucher may be sold or transferred an unlimited number of times.</w:t>
      </w:r>
    </w:p>
    <w:p>
      <w:pPr>
        <w:spacing w:after="0" w:line="170"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recently announced a technology licensing agreement with Genco Sciences, LLC to develop prodrug-based therapy for potential rare pediatric indications of Tourette’s Syndrome with ADHD. We cannot guarantee that we will be successful in this effort to develop such a prodrug-based therapy. Additionally, we cannot guarantee that the FDA would grant us a rare pediatric disease designation for such a prodrug-based product candidate. Even if the FDA grants us a rare pediatric disease designation for one of our prodrug-based product candidates, designation of a drug as a drug for a rare pediatric disease does not guarantee that an NDA for such drug will meet the eligibility criteria for a rare pediatric disease priority review voucher at the time the application is approved.</w:t>
      </w:r>
    </w:p>
    <w:p>
      <w:pPr>
        <w:spacing w:after="0" w:line="191" w:lineRule="exact"/>
        <w:rPr>
          <w:sz w:val="20"/>
          <w:szCs w:val="20"/>
          <w:color w:val="auto"/>
        </w:rPr>
      </w:pPr>
    </w:p>
    <w:p>
      <w:pPr>
        <w:jc w:val="both"/>
        <w:ind w:left="20" w:right="20"/>
        <w:spacing w:after="0" w:line="341" w:lineRule="auto"/>
        <w:rPr>
          <w:sz w:val="20"/>
          <w:szCs w:val="20"/>
          <w:color w:val="auto"/>
        </w:rPr>
      </w:pPr>
      <w:r>
        <w:rPr>
          <w:rFonts w:ascii="Arial" w:cs="Arial" w:eastAsia="Arial" w:hAnsi="Arial"/>
          <w:sz w:val="16"/>
          <w:szCs w:val="16"/>
          <w:b w:val="1"/>
          <w:bCs w:val="1"/>
          <w:i w:val="1"/>
          <w:iCs w:val="1"/>
          <w:color w:val="auto"/>
        </w:rPr>
        <w:t>APADAZ is, and we anticipate most of our current product candidates, if approved by the FDA, will be, subject to mandatory REMS programs, which could increase the cost, burden and liability associated with the commercialization of APADAZ and certain product candidates.</w:t>
      </w:r>
    </w:p>
    <w:p>
      <w:pPr>
        <w:spacing w:after="0" w:line="125"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The FDA has indicated that some opioid drugs formulated with the active ingredients hydrocodone, fentanyl, hydromorphone, methadone, morphine, oxycodone, oxymorphone and others will be required to have a REMS to ensure that the benefits of the drugs continue to outweigh the risks. The FDA has already approved a REMS for ER and long-acting opioids as part of a federal initiative to address inappropriate prescribing and prescription drug abuse and misuse, which the FDA continually updates. The Commissioner of the FDA recently announced his intention to expand the REMS program to include IR opioids in the near future. The REMS plan introduces new safety measures designed to reduce risks and improve the safe use of ER and long-acting opioids, while ensuring access to needed medications for patients in pain. The ER and long-acting opioid REMS affects more than 25 companies that manufacture these opioid analgesics. Under the new REMS, companies are required to make education programs available to prescribers. It is expected that companies will meet this obligation by taking specific steps to ensure that health care providers are aware of the availability of the training and by providing educational grants to continuing education providers, who will develop and deliver the training. The REMS also requires companies to make available FDA-approved patient education materials on the safe use of these drugs. The companies must perform periodic assessments of the implementation of the REMS and the success of the program in meeting its goals. The FDA will review these assessments and may require additional elements to achieve the goals of the program. Independent audits must also be conducted of the educational efforts.</w:t>
      </w:r>
    </w:p>
    <w:p>
      <w:pPr>
        <w:spacing w:after="0" w:line="186" w:lineRule="exact"/>
        <w:rPr>
          <w:sz w:val="20"/>
          <w:szCs w:val="20"/>
          <w:color w:val="auto"/>
        </w:rPr>
      </w:pPr>
    </w:p>
    <w:p>
      <w:pPr>
        <w:jc w:val="both"/>
        <w:ind w:left="20"/>
        <w:spacing w:after="0" w:line="301" w:lineRule="auto"/>
        <w:rPr>
          <w:sz w:val="20"/>
          <w:szCs w:val="20"/>
          <w:color w:val="auto"/>
        </w:rPr>
      </w:pPr>
      <w:r>
        <w:rPr>
          <w:rFonts w:ascii="Arial" w:cs="Arial" w:eastAsia="Arial" w:hAnsi="Arial"/>
          <w:sz w:val="16"/>
          <w:szCs w:val="16"/>
          <w:color w:val="auto"/>
        </w:rPr>
        <w:t>APADAZ is subject to REMS, and we anticipate that most of our product candidates, if approved by the FDA, are likely to also be subject to a REMS requirement. As part of the FDA's approval of the NDA for APADAZ in February 2018, they also approved our plan for the APADAZ REMS program. There may be increased cost, administrative burden and potential liability associated with the marketing and sale of these types of product candidates subject to a REMS requirement, which could increase the costs to us and reduce the commercial benefits to us from the sale of these product candidates.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4"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APADAZ and our product candidates contain controlled substances, the manufacture, use, sale, importation, exportation, prescribing and distribution of which are subject to regulation by the DEA.</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Before we can commercialize any of our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For APADAZ, the DEA has completed its process for determining the controlled substance schedule and determined that it will be a Schedule II drug. We expect that most of our products and our product candidates, KP415, KP484, KP201/IR, KP511/ER, KP511/IR, KP606 and KP746, if approved, will be regulated as “controlled substances” as defined in the Controlled Substances Act, or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6" w:lineRule="exact"/>
        <w:rPr>
          <w:sz w:val="20"/>
          <w:szCs w:val="20"/>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drug has a currently accepted medical use in treatment in the United States or a currently accepted medical use with severe restrictions; and</w:t>
      </w:r>
    </w:p>
    <w:p>
      <w:pPr>
        <w:spacing w:after="0" w:line="263" w:lineRule="exact"/>
        <w:rPr>
          <w:rFonts w:ascii="Arial" w:cs="Arial" w:eastAsia="Arial" w:hAnsi="Arial"/>
          <w:sz w:val="17"/>
          <w:szCs w:val="17"/>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that most of our current product candidates may be listed by the DEA as Schedule II controlled substances under the CSA. If our product candidates are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if our product candidates are approved for marketing.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3" w:lineRule="exact"/>
        <w:rPr>
          <w:sz w:val="20"/>
          <w:szCs w:val="20"/>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and stimulants, including law enforcement concerns over diversion and regulatory efforts to combat abuse, could decrease the potential market for APADAZ or our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our ability to commercialize APADAZ or our product candidates. Aggressive enforcement and unfavorable publicity regarding, for example, the use or misuse of hydrocodone or other opioid drugs,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APADAZ or our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efforts by the FDA and other regulatory bodies to combat abuse of opioids and stimulants may negatively impact the market for APADAZ and our product candidates. For example, in April 2014, the FDA approved class-wide labeling changes to the indications for use of all approved ER and long-acting opioids so that ER and long-acting opioids will be indicated only for the management of pain severe enough to require daily, around-the-clock, long-term opioid treatment and for which alternative treatment options are inadequate. It is possible that such changes could reduce the number of prescriptions for opioids written by physicians and negatively impact the potential market for APADAZ or our product candidates. The FDA also held a public meeting in October 2014, on the development and regulation of abuse-deterrent formulations of opioid medications. Further, the Centers for Disease Control and Prevention recently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APADAZ or our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federal Anti-Kickback Statute.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and product candidates that utilize KP415, KP484, KP201 and KP511 as the API used in our clinical trials and with a sole source supplier for the manufacture of bulk quantities of KP415, KP484, KP201 and KP511 used in products and product candidates that utilize these moieties as the API and we expect to continue to do so. This reliance on third-party manufacturers increases the risk that we will not have sufficient quantities of KP415, KP484, KP201 or KP511, or such quantities at an acceptable cost, which could delay, prevent or impair our development or commercialization efforts.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any manufacturing facilities. We procure the bulk drug substances for KP415, KP484, KP201 and KP511 from sole-source, third-party manufacturers and the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or APADAZ or our product candidates should they receive marketing approval. This reliance on third parties increases the risk that we will not have sufficient quantities of KP415, KP484, KP201, KP511, other bulk drug substances or our products or product candidates, or such quantities at an acceptable cost or quality, which could delay, prevent or impair our ability to timely conduct our clinical trials or our other development or commercialization efforts.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3" w:lineRule="exact"/>
        <w:rPr>
          <w:sz w:val="20"/>
          <w:szCs w:val="20"/>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51"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2"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events could be the basis for FDA action, including injunction, recall, seizure or total or partial suspension of production.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ind w:right="20"/>
        <w:spacing w:after="0" w:line="341" w:lineRule="auto"/>
        <w:rPr>
          <w:sz w:val="20"/>
          <w:szCs w:val="20"/>
          <w:color w:val="auto"/>
        </w:rPr>
      </w:pPr>
      <w:r>
        <w:rPr>
          <w:rFonts w:ascii="Arial" w:cs="Arial" w:eastAsia="Arial" w:hAnsi="Arial"/>
          <w:sz w:val="16"/>
          <w:szCs w:val="16"/>
          <w:b w:val="1"/>
          <w:bCs w:val="1"/>
          <w:i w:val="1"/>
          <w:iCs w:val="1"/>
          <w:color w:val="auto"/>
        </w:rPr>
        <w:t>The facilities used by our contract manufacturers to manufacture APADAZ and our product candidates must be approved by the FDA pursuant to inspections that will be conducted after we submit our marketing application to the FDA, and these facilities could fail to obtain FDA approval.</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While we are ultimately responsible for the manufacturing of APADAZ and our product candidates, we do not, other than through our contractual arrangements, control the manufacturing process of, and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APADAZ or our product candidates or if it withdraws any such approval in the future, we may need to find alternative manufacturing facilities, which would significantly impact our ability to develop, obtain marketing approval for or market APADAZ or our product candidates, if approved.</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for APADAZ and our product candidates, if approved, our suppliers will be subject to regulatory requirements, covering manufacturing, testing, quality control and record keeping relating to APADAZ or our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APADAZ, our product candidates and any prodrugs that we may develop may compete with other product candidates and drugs for access to manufacturing facilities, and we may be unable to obtain access to these facilities on favorable terms.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KP415, KP484, KP201 or KP511 bulk drug substance. If our current contract manufacturer for KP415, KP484, KP201 or KP511 bulk drug substance cannot perform as agreed, we may be required to replace such manufacturer and we may incur added costs and delays in identifying and qualifying any such replacement.</w:t>
      </w:r>
    </w:p>
    <w:p>
      <w:pPr>
        <w:spacing w:after="0" w:line="191"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APADAZ or our product candidates. If those collaborations are not successful, we may not be able to capitalize on the market potential of APADAZ or these product candidates.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not yet determined our strategy for commercializing APADAZ, but we may seek third-party collaborators for the commercialization of APADAZ or the development or commercialization of our product candidates, including for the commercialization of any of our product candidates that are approved for marketing outside the United States. Our likely collaborators include large and mid-size pharmaceutical companies, regional, national and international pharmaceutical companies and biotechnology companies. In addition, we may seek alternative collaborative strategies with pharmacy benefit managers or generic pharmaceutical manufacturers to develop and implement non-traditional commercialization options of APADAZ. If we do enter into any collaboration arrangements with any third parties, we will likely have limited control over the amount and timing of resources that our collaborators dedicate to the development or commercialization of APADAZ or our product candidates. Our ability to generate revenue from these arrangements will depend on our collaborators’ abilities to successfully perform the functions assigned to them in these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APADAZ or our product candidates would pose the following risks to us:</w:t>
      </w:r>
    </w:p>
    <w:p>
      <w:pPr>
        <w:spacing w:after="0" w:line="225" w:lineRule="exact"/>
        <w:rPr>
          <w:sz w:val="20"/>
          <w:szCs w:val="20"/>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1" w:lineRule="exact"/>
        <w:rPr>
          <w:rFonts w:ascii="Arial" w:cs="Arial" w:eastAsia="Arial" w:hAnsi="Arial"/>
          <w:sz w:val="18"/>
          <w:szCs w:val="18"/>
          <w:color w:val="auto"/>
        </w:rPr>
      </w:pPr>
    </w:p>
    <w:p>
      <w:pPr>
        <w:jc w:val="both"/>
        <w:ind w:left="460" w:right="20" w:hanging="223"/>
        <w:spacing w:after="0" w:line="286"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APADAZ or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4" w:lineRule="exact"/>
        <w:rPr>
          <w:rFonts w:ascii="Arial" w:cs="Arial" w:eastAsia="Arial" w:hAnsi="Arial"/>
          <w:sz w:val="17"/>
          <w:szCs w:val="17"/>
          <w:color w:val="auto"/>
        </w:rPr>
      </w:pPr>
    </w:p>
    <w:p>
      <w:pPr>
        <w:ind w:left="460" w:hanging="223"/>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APADAZ or our product candidates if the collaborators believe that competitive products are more likely to be successfully developed or can be commercialized under terms that are more economically attractive than ours;</w:t>
      </w:r>
    </w:p>
    <w:p>
      <w:pPr>
        <w:spacing w:after="0" w:line="182" w:lineRule="exact"/>
        <w:rPr>
          <w:rFonts w:ascii="Arial" w:cs="Arial" w:eastAsia="Arial" w:hAnsi="Arial"/>
          <w:sz w:val="18"/>
          <w:szCs w:val="18"/>
          <w:color w:val="auto"/>
        </w:rPr>
      </w:pPr>
    </w:p>
    <w:p>
      <w:pPr>
        <w:ind w:left="460" w:hanging="223"/>
        <w:spacing w:after="0" w:line="307"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APADAZ or our product candidates;</w:t>
      </w:r>
    </w:p>
    <w:p>
      <w:pPr>
        <w:spacing w:after="0" w:line="147" w:lineRule="exact"/>
        <w:rPr>
          <w:rFonts w:ascii="Arial" w:cs="Arial" w:eastAsia="Arial" w:hAnsi="Arial"/>
          <w:sz w:val="17"/>
          <w:szCs w:val="17"/>
          <w:color w:val="auto"/>
        </w:rPr>
      </w:pPr>
    </w:p>
    <w:p>
      <w:pPr>
        <w:ind w:left="460" w:hanging="223"/>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APADAZ or one or more of our product candidates that achieve regulatory approval may not commit sufficient resources to the marketing and distribution of such products;</w:t>
      </w:r>
    </w:p>
    <w:p>
      <w:pPr>
        <w:spacing w:after="0" w:line="169" w:lineRule="exact"/>
        <w:rPr>
          <w:rFonts w:ascii="Arial" w:cs="Arial" w:eastAsia="Arial" w:hAnsi="Arial"/>
          <w:sz w:val="18"/>
          <w:szCs w:val="18"/>
          <w:color w:val="auto"/>
        </w:rPr>
      </w:pPr>
    </w:p>
    <w:p>
      <w:pPr>
        <w:jc w:val="both"/>
        <w:ind w:left="460" w:hanging="223"/>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APADAZ or our product candidates, might lead to additional responsibilities for us with respect to APADAZ or our product candidates, or might result in litigation or arbitration, any of which would be time-consuming and expensive;</w:t>
      </w:r>
    </w:p>
    <w:p>
      <w:pPr>
        <w:spacing w:after="0" w:line="185" w:lineRule="exact"/>
        <w:rPr>
          <w:rFonts w:ascii="Arial" w:cs="Arial" w:eastAsia="Arial" w:hAnsi="Arial"/>
          <w:sz w:val="18"/>
          <w:szCs w:val="18"/>
          <w:color w:val="auto"/>
        </w:rPr>
      </w:pPr>
    </w:p>
    <w:p>
      <w:pPr>
        <w:ind w:left="460" w:hanging="223"/>
        <w:spacing w:after="0" w:line="307"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47" w:lineRule="exact"/>
        <w:rPr>
          <w:rFonts w:ascii="Arial" w:cs="Arial" w:eastAsia="Arial" w:hAnsi="Arial"/>
          <w:sz w:val="17"/>
          <w:szCs w:val="17"/>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APADAZ or the applicable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APADAZ or our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our development and commercialization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prodrug development programs and the potential commercialization of APADAZ or our product candidates will require substantial additional capital. For some of our product candidates, we may need, and for APADAZ, we anticipate we will need, to collaborate with pharmaceutical and biotechnology companies for the development and potential commercialization of APADAZ or those product candidates.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APADAZ or the subject product candidate, the costs and complexities of manufacturing and delivering APADAZ or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APADAZ or our product candidate.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APADAZ or our product candidates or reduce the scope of any sales or marketing activities of APADAZ or our product candidates, or increase our expenditures and undertake development or commercialization activities at our own expense of APADAZ 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APADAZ or our product candidates to market and generate product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agreements with Shire and MonoSol may inhibit our ability to enter into future collaborations with third parties.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asset purchase agreement with Shire, we granted Shire a right of first refusal to acquire, license or commercialize KP415 and KP484. The right of first refusal may be exercised by Shire for a period of 30 business days following Shire’s receipt of written notice from us of the existence of a bona fide offer from a third party to acquire, license or commercialize KP415 and KP484.</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party to a termination agreement with MonoSol that may limit the value of any sale, license or commercialization of KP415 or KP484. Under this termination agreement, MonoSol has the right to receive an amount equal to a percentage in the low teens of any value generated by KP415 or KP484, and any product candidates arising therefrom, including royalty payments on any license of KP415 or KP484, the sale of KP415 or KP484 to a third party or the commercialization of KP415 or KP484.</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facility agreement with Deerfield may inhibit our ability to enter into specified transactions, including any joint venture, partnership or any other profit sharing arrangement.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Deerfield facility, we may not enter into specified transactions, including any joint venture, partnership or any other profit sharing arrangement, without the prior approval of Deerfield. Deerfield’s interests may not always coincide with our corporate interests or the interests of our other stockholders, and Deerfield may act in a manner with which you may not agree or that may not be in the best interests of our other stockholders. If Deerfield does not approve our entry into specified transactions, it could significantly delay or inhibit the commercialization APADAZ or our product candidates.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trade secret protection or patent protection for our technology, APADAZ and our product candidates or if the scope of the patent protection obtained is not sufficiently broad, our competitors could develop and commercialize technology and drugs similar or identical to ours, and our ability to successfully commercialize our technology, APADAZ and our product candidates may be impaired.</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in large part on our ability to obtain and maintain trade secret protection of our LAT platform technology as well as patent protection in the United States and other countries with respect to APADAZ and our product candidates. We seek to protect our proprietary position by filing patent applications in the United States and abroad related to our product technology and product candidates.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not published until 18 months after the filing date of such patent applications,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5" w:lineRule="exact"/>
        <w:rPr>
          <w:sz w:val="20"/>
          <w:szCs w:val="20"/>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51"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2"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69"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6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w:t>
      </w:r>
    </w:p>
    <w:p>
      <w:pPr>
        <w:spacing w:after="0" w:line="182" w:lineRule="exact"/>
        <w:rPr>
          <w:rFonts w:ascii="Arial" w:cs="Arial" w:eastAsia="Arial" w:hAnsi="Arial"/>
          <w:sz w:val="18"/>
          <w:szCs w:val="18"/>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51" w:lineRule="exact"/>
        <w:rPr>
          <w:rFonts w:ascii="Arial" w:cs="Arial" w:eastAsia="Arial" w:hAnsi="Arial"/>
          <w:sz w:val="18"/>
          <w:szCs w:val="18"/>
          <w:color w:val="auto"/>
        </w:rPr>
      </w:pPr>
    </w:p>
    <w:p>
      <w:pPr>
        <w:jc w:val="both"/>
        <w:ind w:left="460" w:hanging="223"/>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assurance can be given that our patents would be declared by a court to be valid or enforceable or that a competitor’s technology or product would be found by a court to infringe our patents and our patents or patent applications may be challenged by third parties in patent litigation or in proceedings before the United States Patent and Trademark Office, or the USPTO, or its foreign counterparts, and may ultimately be declared invalid or unenforceable or narrowed in scope;</w:t>
      </w:r>
    </w:p>
    <w:p>
      <w:pPr>
        <w:spacing w:after="0" w:line="185"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2" w:lineRule="exact"/>
        <w:rPr>
          <w:rFonts w:ascii="Arial" w:cs="Arial" w:eastAsia="Arial" w:hAnsi="Arial"/>
          <w:sz w:val="18"/>
          <w:szCs w:val="18"/>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dominating patents relevant to our product candidates of which we are not aware;</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69" w:lineRule="exact"/>
        <w:rPr>
          <w:rFonts w:ascii="Arial" w:cs="Arial" w:eastAsia="Arial" w:hAnsi="Arial"/>
          <w:sz w:val="18"/>
          <w:szCs w:val="18"/>
          <w:color w:val="auto"/>
        </w:rPr>
      </w:pPr>
    </w:p>
    <w:p>
      <w:pPr>
        <w:ind w:left="460" w:hanging="223"/>
        <w:spacing w:after="0" w:line="307"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47" w:lineRule="exact"/>
        <w:rPr>
          <w:rFonts w:ascii="Arial" w:cs="Arial" w:eastAsia="Arial" w:hAnsi="Arial"/>
          <w:sz w:val="17"/>
          <w:szCs w:val="17"/>
          <w:color w:val="auto"/>
        </w:rPr>
      </w:pPr>
    </w:p>
    <w:p>
      <w:pPr>
        <w:ind w:left="460" w:hanging="223"/>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a third party may misappropriate or reverse engineer our LAT platform technology, which could limit our ability to stop others from using or commercializing similar or identical technology and resultant product candidates, product technology or prodrugs, or limit the duration of the trade secret protection of our LAT platform technology.</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we may be subject to a third-party pre-issuance submission of prior art to the USPTO, or become involved in opposition,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issuance of a patent is not conclusive as to its inventorship, ownership, scope,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85"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For instance, the Leahy-Smith Act established the inter partes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reduce the scope of our intellectual property due to third-party intellectual property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 third-party files with the USPTO first and could become involved in proceedings before the USPTO to resolve disputes related to inventorship. We may also become involved in similar proceedings in other jurisdictions.</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recent changes in U.S. patent law under the Leahy-Smith Act allows for post-issuance challenges to U.S. patents, including ex parte re-examinations, inter partes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that can result in changes in scope or cancellation of patent claims.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rely on trademarks as one means to distinguish APADAZ and any of our product candidates that are approved for marketing from the products of our competitors. We have solicited and applied for trademarks for APADAZ and LAT. For our other product candidates, we have not yet solicited trademarks and have not yet begun the process of applying to register trademarks. Once we select trademarks and apply to register them, our trademark applications may not be approved.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seeking patent and trademark protection for our APADAZ and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Outside of the U.S. we cannot be certain that any country’s patent or trademark office will not implement new rules that could seriously affect how we draft, file, prosecute and maintain patents, trademarks and patent and trademark applications.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to save costs. We may be forced to abandon or return the rights to specific patents due to a lack of financial resources.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the Commercialization of Our Product and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APADAZ or any other product candidates, if approved, we may not be successful in commercializing APADAZ or any approved product candidate in the United States.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only a limited sales and marketing infrastructure and have no experience in the sale, marketing or distribution of pharmaceutical products. To achieve commercial success for APADAZ, or any product candidate for which we may obtain marketing approval in the United States, we will need to enter into collaborations with one or more parties or establish our own sales and marketing organization. We have not yet determined our commercialization strategy for APADAZ or any of our product candidates. Should we decide to establish our own sales, marketing and distribution capabilities, we would encounter a number of risks. For example, recruiting and training a sales force is expensive and time consuming and could delay any product launch. If the commercial launch of APADAZ, or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APADAZ, or our product candidates, on our own include:</w:t>
      </w:r>
    </w:p>
    <w:p>
      <w:pPr>
        <w:spacing w:after="0" w:line="225" w:lineRule="exact"/>
        <w:rPr>
          <w:sz w:val="20"/>
          <w:szCs w:val="20"/>
          <w:color w:val="auto"/>
        </w:rPr>
      </w:pPr>
    </w:p>
    <w:p>
      <w:pPr>
        <w:ind w:left="460" w:hanging="223"/>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inability to access government and commercial health plan formularies or secure preferred coverage and adequate reimbursement levels;</w:t>
      </w:r>
    </w:p>
    <w:p>
      <w:pPr>
        <w:spacing w:after="0" w:line="263" w:lineRule="exact"/>
        <w:rPr>
          <w:rFonts w:ascii="Arial" w:cs="Arial" w:eastAsia="Arial" w:hAnsi="Arial"/>
          <w:sz w:val="17"/>
          <w:szCs w:val="17"/>
          <w:color w:val="auto"/>
        </w:rPr>
      </w:pPr>
    </w:p>
    <w:p>
      <w:pPr>
        <w:ind w:left="460" w:hanging="223"/>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74" w:lineRule="exact"/>
        <w:rPr>
          <w:rFonts w:ascii="Arial" w:cs="Arial" w:eastAsia="Arial" w:hAnsi="Arial"/>
          <w:sz w:val="16"/>
          <w:szCs w:val="16"/>
          <w:color w:val="auto"/>
        </w:rPr>
      </w:pPr>
    </w:p>
    <w:p>
      <w:pPr>
        <w:ind w:left="460" w:right="20" w:hanging="223"/>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APADAZ, or any product candidates that we develop, ourselves. In addition, we may not be successful in entering into arrangements with third parties to sell, market and distribute APADAZ, or our product candidates, or may be unable to do so on terms that are favorable to us, including as a result of restrictions in the Deerfield facility. We likely will have little control over such third parties, and any of them may fail to devote the necessary resources and attention to sell and market APADAZ, or our product candidates, effectively. Further, we may be liable for conduct of third parties acting on our behalf, including failure to comply with legal requirements applicable to sales and marketing of our products. If we do not establish sales, marketing and distribution capabilities successfully, either on our own or in collaboration with third parties, we will not be successful in commercializing APADAZ, or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APADAZ, or any of our product candidates that may receive marketing approval,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APADAZ, or any of our product candidates that may receive marketing approval, may fail to gain sufficient market acceptance by physicians, patients, third-party payors and others in the medical community. If APADAZ, or our product candidates, do not achieve an adequate level of market acceptance, we may not generate significant product revenue and we may not become profitable. The degree of market acceptance of APADAZ, or our product candidates if approved for commercial sale, will depend on a number of factors, including:</w:t>
      </w:r>
    </w:p>
    <w:p>
      <w:pPr>
        <w:spacing w:after="0" w:line="186" w:lineRule="exact"/>
        <w:rPr>
          <w:sz w:val="20"/>
          <w:szCs w:val="20"/>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most of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steps that prescribers and dispensers must take, since APADAZ and most of our product candidates are controlled substances, as well as the perceived risks based upon their controlled substance status;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on the use, sale or distribution of APADAZ or our product candidates, including through REMS;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and these competitors may also be more successful than us in manufacturing and marketing their products. See </w:t>
      </w:r>
      <w:r>
        <w:rPr>
          <w:rFonts w:ascii="Arial" w:cs="Arial" w:eastAsia="Arial" w:hAnsi="Arial"/>
          <w:sz w:val="18"/>
          <w:szCs w:val="18"/>
          <w:i w:val="1"/>
          <w:iCs w:val="1"/>
          <w:color w:val="auto"/>
        </w:rPr>
        <w:t>"Item 1 - Business - Competition"</w:t>
      </w:r>
      <w:r>
        <w:rPr>
          <w:rFonts w:ascii="Arial" w:cs="Arial" w:eastAsia="Arial" w:hAnsi="Arial"/>
          <w:sz w:val="18"/>
          <w:szCs w:val="18"/>
          <w:color w:val="auto"/>
        </w:rPr>
        <w:t xml:space="preserve"> of this Annual Report on Form 10-K for more information about our potential competitors.</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either five-year FDA regulatory exclusivity as a new chemical entity or three-year FDA regulatory exclusivity.</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APADAZ, or any of our product candidates, they may be subject to unfavorable pricing regulations, third-party coverage and reimbursement policies.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commercialize APADAZ, or any of our product candidates successfully will depend, in part, on the extent to which coverage and adequate reimbursement for APADAZ, or our product candidates,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APADAZ, or any product candidate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APADAZ, or any product candidates for which marketing approval is obtained.</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APADAZ, or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APADAZ, or our product candidates profitably if they are approved for sale.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58"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APADAZ or any products that we may develop.</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as we commercialize APADAZ, and any prodrug products that may be approved in the future. This includes the risk that our products may be misused. For example, APADAZ does, and we anticipate that our other product candidates if approved may, carry a boxed warning regarding lethality if our oral tablets are prepared for injection and hepatotoxicity, as is commonly done by abusers of opioids. If we cannot successfully defend ourselves against claims that APADAZ, and our product candidates or products caused injuries, we will incur substantial liabilities. Regardless of merit or eventual outcome, liability claims may result in:</w:t>
      </w:r>
    </w:p>
    <w:p>
      <w:pPr>
        <w:spacing w:after="0" w:line="191" w:lineRule="exact"/>
        <w:rPr>
          <w:sz w:val="20"/>
          <w:szCs w:val="20"/>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APADAZ and any product candidates or products that we may develop;</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APADAZ or any prodrug products that we may develop.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when we commence commercialization of APADAZ, or any other product approved in the future. Insurance coverage is increasingly expensive. We may not be able to maintain insurance coverage at a reasonable cost or in an amount adequate to satisfy any liability that may arise.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941"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APADAZ and our product candidates from being marketed abroad.</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APADAZ and our product candidates internationally could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seek regulatory approval for APADAZ and our product candidates outside of the United States and, accordingly, we expect that we will be subject to additional risks related to operating in foreign countries if we obtain the necessary approvals, including:</w:t>
      </w:r>
    </w:p>
    <w:p>
      <w:pPr>
        <w:spacing w:after="0" w:line="170" w:lineRule="exact"/>
        <w:rPr>
          <w:sz w:val="20"/>
          <w:szCs w:val="20"/>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1"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251"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9"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b w:val="1"/>
          <w:bCs w:val="1"/>
          <w:i w:val="1"/>
          <w:iCs w:val="1"/>
          <w:color w:val="auto"/>
        </w:rPr>
        <w:t>APADAZ is, and 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APADAZ, or our product candidates when and if any of them are approved.</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APADAZ is, and any product candidate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For example, we are required to conduct pediatric studies related to Apadaz to determine the safety and effectiveness of Apadaz for the claimed indication in pediatric patients.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APADAZ is, and if marketing approval of a product candidate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Our plan for the APADAZ REMS program was approved by the FDA as part of the NDA approval for APADAZ received in February 2018.</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APADAZ does, and if any of our product candidates receive marketing approval it may, have a label that limits its approved uses, including more limited subject populations, than we request, and regulatory authorities may require that contraindications, warnings or precautions be included in the product labeling, including a black box warning, or may approve a product candidate with a label that does not include the labeling claims necessary or desirable for the successful commercialization of that product candidate, which could limit sales of the product. For instance, we expect that at least some of our product candidates would likely be required to carry black box warnings, including warnings regarding tampering, lethality if our oral tablets are prepared for injection and hepatotoxicity.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0" w:lineRule="exact"/>
        <w:rPr>
          <w:sz w:val="20"/>
          <w:szCs w:val="20"/>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warnings or otherwise restrict the product’s indicated use, label, or marketing;</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90" w:lineRule="exact"/>
        <w:rPr>
          <w:rFonts w:ascii="Arial" w:cs="Arial" w:eastAsia="Arial" w:hAnsi="Arial"/>
          <w:sz w:val="17"/>
          <w:szCs w:val="17"/>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78"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196"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both"/>
        <w:spacing w:after="0" w:line="380"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jc w:val="both"/>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65" w:lineRule="exact"/>
        <w:rPr>
          <w:sz w:val="20"/>
          <w:szCs w:val="20"/>
          <w:color w:val="auto"/>
        </w:rPr>
      </w:pPr>
    </w:p>
    <w:p>
      <w:pPr>
        <w:jc w:val="both"/>
        <w:ind w:left="460" w:hanging="223"/>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212" w:lineRule="exact"/>
        <w:rPr>
          <w:rFonts w:ascii="Arial" w:cs="Arial" w:eastAsia="Arial" w:hAnsi="Arial"/>
          <w:sz w:val="18"/>
          <w:szCs w:val="18"/>
          <w:color w:val="auto"/>
        </w:rPr>
      </w:pPr>
    </w:p>
    <w:p>
      <w:pPr>
        <w:jc w:val="both"/>
        <w:ind w:left="460" w:hanging="223"/>
        <w:spacing w:after="0" w:line="29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90" w:lineRule="exact"/>
        <w:rPr>
          <w:rFonts w:ascii="Arial" w:cs="Arial" w:eastAsia="Arial" w:hAnsi="Arial"/>
          <w:sz w:val="16"/>
          <w:szCs w:val="16"/>
          <w:color w:val="auto"/>
        </w:rPr>
      </w:pPr>
    </w:p>
    <w:p>
      <w:pPr>
        <w:jc w:val="both"/>
        <w:ind w:left="460" w:hanging="223"/>
        <w:spacing w:after="0" w:line="26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9" w:lineRule="exact"/>
        <w:rPr>
          <w:rFonts w:ascii="Arial" w:cs="Arial" w:eastAsia="Arial" w:hAnsi="Arial"/>
          <w:sz w:val="18"/>
          <w:szCs w:val="18"/>
          <w:color w:val="auto"/>
        </w:rPr>
      </w:pPr>
    </w:p>
    <w:p>
      <w:pPr>
        <w:jc w:val="both"/>
        <w:ind w:left="460" w:hanging="223"/>
        <w:spacing w:after="0" w:line="27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203" w:lineRule="exact"/>
        <w:rPr>
          <w:rFonts w:ascii="Arial" w:cs="Arial" w:eastAsia="Arial" w:hAnsi="Arial"/>
          <w:sz w:val="17"/>
          <w:szCs w:val="17"/>
          <w:color w:val="auto"/>
        </w:rPr>
      </w:pPr>
    </w:p>
    <w:p>
      <w:pPr>
        <w:jc w:val="both"/>
        <w:ind w:left="460" w:hanging="223"/>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212" w:lineRule="exact"/>
        <w:rPr>
          <w:rFonts w:ascii="Arial" w:cs="Arial" w:eastAsia="Arial" w:hAnsi="Arial"/>
          <w:sz w:val="18"/>
          <w:szCs w:val="18"/>
          <w:color w:val="auto"/>
        </w:rPr>
      </w:pPr>
    </w:p>
    <w:p>
      <w:pPr>
        <w:jc w:val="both"/>
        <w:ind w:left="460" w:hanging="223"/>
        <w:spacing w:after="0" w:line="275"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the ACA, and its implementing regulations, which imposes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and teaching hospitals, or to entities or individuals at the request of, or designated on behalf of, the physicians and teaching hospitals, and to report annually certain ownership and investment interests held by physicians and their immediate family members; and</w:t>
      </w:r>
    </w:p>
    <w:p>
      <w:pPr>
        <w:spacing w:after="0" w:line="202" w:lineRule="exact"/>
        <w:rPr>
          <w:rFonts w:ascii="Arial" w:cs="Arial" w:eastAsia="Arial" w:hAnsi="Arial"/>
          <w:sz w:val="17"/>
          <w:szCs w:val="17"/>
          <w:color w:val="auto"/>
        </w:rPr>
      </w:pPr>
    </w:p>
    <w:p>
      <w:pPr>
        <w:ind w:right="120" w:firstLine="237"/>
        <w:spacing w:after="0" w:line="546" w:lineRule="auto"/>
        <w:tabs>
          <w:tab w:leader="none" w:pos="4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comparable state and foreign laws, which may be broader in scope than the analogous federal laws and may differ from each other in significant ways. These laws may affect our sales, marketing, and other promotional activities by imposing administrative and compliance burdens on us.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penalties and potential exclusion from participation in healthcare programs as a result of their non-compliance.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Recently enacted and future legislation may increase the difficulty and cost for us to obtain marketing approval of our product candidates and to commercialize APADAZ and any of our product candidates that may be approved in the future and affect the prices we may obtain.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APADAZ and any product candidates for which we obtain marketing approval.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9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commencing January 1, 2019)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21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20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20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7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numerous provisions of the ACA, and we expect there will be additional challenges and amendments in the future. Since January 2017, President Trump has signed two Executive Orders and other directives designed to delay the implementation of certain provision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close the coverage gap in most Medicare drug plans, commonly referred to as the “donut hole”. Congress will likely consider additional legislation to repeal or repeal and replace other elements of the ACA. We continue to evaluate the effect that the ACA and its possible repeal and replacement could have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due to subsequent legislative amendments, including the BBA, will stay in effect through 2027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third parties on which we rely, are vulnerable to damage from malicious human acts, unauthorized access, natural disasters, terrorism, war and telecommunication and electrical failures. Moreover, despite network security and back-up measures, some of our and our vendors' servers are potentially vulnerable to physical or electronic break-ins, including cyber-attacks, computer viruses and similar disruptive problems.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highly dependent on the management, research and development, clinical, financial and business development expertise of Travis C. Mickle, Ph.D., our president and chief executive officer, Gordon K. Johnson, our chief business officer, R. LaDuane Clifton, CPA, our chief financial officer, Sven Guenther, Ph.D., our executive vice president research and development, and Daniel L. Cohen, our executive vice president government and public relations,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approval of APADAZ, we may experience growth in the number of our employees and the scope of our operations, particularly in the areas including sales, marketing and/or distribution. To manage potential future growth, we must continue to implement and improve our managerial, operational and financial systems, expand our facilities and continue to recruit and train additional qualified personnel, depending on the commercialization strategy ultimately adopted.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our limited financial resources and the limited experience of our management team in managing a company with such potential growth, we may not be able to effectively manage the expansion of our operations or recruit and train additional qualified personnel. The potential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70"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Prior to our initial public offering, or IPO, there had been no public market for our common stock. An active trading market for our shares may not be sustained. If an active market for our common stock is not sustained, it may be difficult for you to sell our shares at an attractive price or at all.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stock price has been, and is likely to continue to be, volatile. Since shares of our common stock were sold in our IPO in April 2015 at a price of $11.00 per share, our stock price has ranged from $2.45 to $26.15 through March 28, 2018.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91" w:lineRule="exact"/>
        <w:rPr>
          <w:sz w:val="20"/>
          <w:szCs w:val="20"/>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pharmaceutical industry;</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announcements or determinations regarding our product candidates;</w:t>
      </w:r>
    </w:p>
    <w:p>
      <w:pPr>
        <w:spacing w:after="0" w:line="251"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the factors described above are not within our control. For instance, in May 2016, we announced that the Anesthetic and Analgesic Drug Products Advisory Committee and the Drug Safety and Risk Management Advisory Committee of the FDA voted 16 to four for the approval of APADAZ but voted 18 to two against inclusion of abuse-deterrent labeling for APADAZ. The announcement was followed by a substantial decrease in the trading price of our common stock on The NASDAQ Global Market. Additionally, when we announced in June 2016 that the FDA had issued a CRL for our APADAZ NDA, the trading price of our common stock on The NASDAQ Global Market was subject to another substantial decrease. We cannot guarantee that future announcements will not have similar effects on the trading price of our common stock.</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IPO,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The plaintiff does not quantify any alleged damages in his complaint but, in addition to attorneys' fees and costs, the plaintiff seeks to recover damages and obtain other relief on behalf of himself and all other persons who purchased our common stock pursuant or traceable to the offering and the registration statement and who were allegedly damaged thereby. In January 2017, the suit was removed to the U.S. District Court for the Southern District of Iowa. The plaintiff subsequently filed a motion to remand the case to the Iowa District Court, and that motion was granted. In January 2018, the Iowa District Court issued an order postponing all deadlines and the setting of any schedule in the case pending a decision by the United States Supreme Court in </w:t>
      </w:r>
      <w:r>
        <w:rPr>
          <w:rFonts w:ascii="Arial" w:cs="Arial" w:eastAsia="Arial" w:hAnsi="Arial"/>
          <w:sz w:val="16"/>
          <w:szCs w:val="16"/>
          <w:i w:val="1"/>
          <w:iCs w:val="1"/>
          <w:color w:val="auto"/>
        </w:rPr>
        <w:t>Cyan, Inc.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Beaver County Employees Retirement Fund. </w:t>
      </w:r>
      <w:r>
        <w:rPr>
          <w:rFonts w:ascii="Arial" w:cs="Arial" w:eastAsia="Arial" w:hAnsi="Arial"/>
          <w:sz w:val="16"/>
          <w:szCs w:val="16"/>
          <w:color w:val="auto"/>
        </w:rPr>
        <w:t>On March 20, 2018, the Supreme Court issued its decision in</w:t>
      </w:r>
      <w:r>
        <w:rPr>
          <w:rFonts w:ascii="Arial" w:cs="Arial" w:eastAsia="Arial" w:hAnsi="Arial"/>
          <w:sz w:val="16"/>
          <w:szCs w:val="16"/>
          <w:i w:val="1"/>
          <w:iCs w:val="1"/>
          <w:color w:val="auto"/>
        </w:rPr>
        <w:t xml:space="preserve"> Cyan </w:t>
      </w:r>
      <w:r>
        <w:rPr>
          <w:rFonts w:ascii="Arial" w:cs="Arial" w:eastAsia="Arial" w:hAnsi="Arial"/>
          <w:sz w:val="16"/>
          <w:szCs w:val="16"/>
          <w:color w:val="auto"/>
        </w:rPr>
        <w:t>and held that state courts have subject matter</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over putative class actions like the one filed against us, which assert claims arising under the Securities Act. Accordingly, the case will proceed in Iowa District Court. The suit against us is still in a preliminary stage and has not yet been set for trial. As such, we are unable to predict the timing or outcome of this litigation as of the date of this report. Such litigation could cause us to incur substantial costs and divert management’s attention and resources from our business. Further, companies listed on The NASDAQ Global Market, and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both"/>
        <w:ind w:left="8"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compliance with the listing requirements of The NASDAQ Global Market, we may be delisted and the price of our common stock and our ability to access the capital markets could be negatively impacted.</w:t>
      </w:r>
    </w:p>
    <w:p>
      <w:pPr>
        <w:spacing w:after="0" w:line="170" w:lineRule="exact"/>
        <w:rPr>
          <w:sz w:val="20"/>
          <w:szCs w:val="20"/>
          <w:color w:val="auto"/>
        </w:rPr>
      </w:pPr>
    </w:p>
    <w:p>
      <w:pPr>
        <w:jc w:val="both"/>
        <w:ind w:left="8" w:right="140"/>
        <w:spacing w:after="0" w:line="284" w:lineRule="auto"/>
        <w:rPr>
          <w:sz w:val="20"/>
          <w:szCs w:val="20"/>
          <w:color w:val="auto"/>
        </w:rPr>
      </w:pPr>
      <w:r>
        <w:rPr>
          <w:rFonts w:ascii="Arial" w:cs="Arial" w:eastAsia="Arial" w:hAnsi="Arial"/>
          <w:sz w:val="16"/>
          <w:szCs w:val="16"/>
          <w:color w:val="auto"/>
        </w:rPr>
        <w:t>Our common stock is currently listed on The NASDAQ Global Market. To maintain the listing of our common stock on The NASDAQ Global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 On September 18, 2017, we received a notice from The NASDAQ Stock Market indicating we were not in compliance with NASDAQ Listing Rule 5450(b)(2)</w:t>
      </w:r>
    </w:p>
    <w:p>
      <w:pPr>
        <w:spacing w:after="0" w:line="3" w:lineRule="exact"/>
        <w:rPr>
          <w:sz w:val="20"/>
          <w:szCs w:val="20"/>
          <w:color w:val="auto"/>
        </w:rPr>
      </w:pPr>
    </w:p>
    <w:p>
      <w:pPr>
        <w:jc w:val="both"/>
        <w:ind w:left="8" w:right="140" w:hanging="8"/>
        <w:spacing w:after="0" w:line="273"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continued listing on the NASDAQ Global Market, as the market value of our listed securities was less than $50.0 million for the previous 30 consecutive business days, and , if we were unable to demonstrate compliance with this requirement during the applicable grace periods, our common stock would be delisted after that time. We were notified that we had regained compliance with NASDAQ Listing Rule 5450(b)(2)(a) on September 29, 2017, because the market value of our listed securities was at least $50.0 million for the previous 10 consecutive business days.</w:t>
      </w:r>
    </w:p>
    <w:p>
      <w:pPr>
        <w:spacing w:after="0" w:line="175" w:lineRule="exact"/>
        <w:rPr>
          <w:sz w:val="20"/>
          <w:szCs w:val="20"/>
          <w:color w:val="auto"/>
        </w:rPr>
      </w:pPr>
    </w:p>
    <w:p>
      <w:pPr>
        <w:ind w:left="28" w:right="100"/>
        <w:spacing w:after="0" w:line="255" w:lineRule="auto"/>
        <w:rPr>
          <w:sz w:val="20"/>
          <w:szCs w:val="20"/>
          <w:color w:val="auto"/>
        </w:rPr>
      </w:pPr>
      <w:r>
        <w:rPr>
          <w:rFonts w:ascii="Arial" w:cs="Arial" w:eastAsia="Arial" w:hAnsi="Arial"/>
          <w:sz w:val="18"/>
          <w:szCs w:val="18"/>
          <w:color w:val="auto"/>
        </w:rPr>
        <w:t>Notwithstanding our ability to regain compliance with NASDAQ Listing Rule 5450(b)(2)(a) within the applicable grace period, we may fail to satisfy one or more NASDAQ Global Market requirements for continued listing of our common stock in the future. There can be no assurance that we will be successful in maintaining the listing of our common stock on the NASDAQ Global Market, or, if transferred, on the NASDAQ Capital Market. This could impair the liquidity and market price of its common stock. In addition, the delisting of our common stock from a national exchange could have a material adverse effect on our access to capital markets, and any limitation on market liquidity or reduction in the price of our common stock as a result of that delisting could adversely affect our ability to raise capital on terms acceptable to us, or at all.</w:t>
      </w:r>
    </w:p>
    <w:p>
      <w:pPr>
        <w:spacing w:after="0" w:line="191" w:lineRule="exact"/>
        <w:rPr>
          <w:sz w:val="20"/>
          <w:szCs w:val="20"/>
          <w:color w:val="auto"/>
        </w:rPr>
      </w:pPr>
    </w:p>
    <w:p>
      <w:pPr>
        <w:jc w:val="both"/>
        <w:ind w:left="28"/>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jc w:val="both"/>
        <w:ind w:left="28"/>
        <w:spacing w:after="0" w:line="279" w:lineRule="auto"/>
        <w:rPr>
          <w:sz w:val="20"/>
          <w:szCs w:val="20"/>
          <w:color w:val="auto"/>
        </w:rPr>
      </w:pPr>
      <w:r>
        <w:rPr>
          <w:rFonts w:ascii="Arial" w:cs="Arial" w:eastAsia="Arial" w:hAnsi="Arial"/>
          <w:sz w:val="17"/>
          <w:szCs w:val="17"/>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70" w:lineRule="exact"/>
        <w:rPr>
          <w:sz w:val="20"/>
          <w:szCs w:val="20"/>
          <w:color w:val="auto"/>
        </w:rPr>
      </w:pPr>
    </w:p>
    <w:p>
      <w:pPr>
        <w:ind w:left="28"/>
        <w:spacing w:after="0"/>
        <w:rPr>
          <w:sz w:val="20"/>
          <w:szCs w:val="20"/>
          <w:color w:val="auto"/>
        </w:rPr>
      </w:pPr>
      <w:r>
        <w:rPr>
          <w:rFonts w:ascii="Arial" w:cs="Arial" w:eastAsia="Arial" w:hAnsi="Arial"/>
          <w:sz w:val="18"/>
          <w:szCs w:val="18"/>
          <w:b w:val="1"/>
          <w:bCs w:val="1"/>
          <w:i w:val="1"/>
          <w:iCs w:val="1"/>
          <w:color w:val="auto"/>
        </w:rPr>
        <w:t>We may incur substantial costs as a result of ongoing litigation.</w:t>
      </w:r>
    </w:p>
    <w:p>
      <w:pPr>
        <w:spacing w:after="0" w:line="225" w:lineRule="exact"/>
        <w:rPr>
          <w:sz w:val="20"/>
          <w:szCs w:val="20"/>
          <w:color w:val="auto"/>
        </w:rPr>
      </w:pPr>
    </w:p>
    <w:p>
      <w:pPr>
        <w:jc w:val="both"/>
        <w:ind w:left="28"/>
        <w:spacing w:after="0" w:line="286" w:lineRule="auto"/>
        <w:rPr>
          <w:sz w:val="20"/>
          <w:szCs w:val="20"/>
          <w:color w:val="auto"/>
        </w:rPr>
      </w:pPr>
      <w:r>
        <w:rPr>
          <w:rFonts w:ascii="Arial" w:cs="Arial" w:eastAsia="Arial" w:hAnsi="Arial"/>
          <w:sz w:val="16"/>
          <w:szCs w:val="16"/>
          <w:color w:val="auto"/>
        </w:rPr>
        <w:t xml:space="preserve">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The plaintiff does not quantify any alleged damages in his complaint but, in addition to attorneys' fees and costs, the plaintiff seeks to recover damages and obtain other relief on behalf of himself and all other persons who purchased our common stock pursuant or traceable to the offering and the registration statement and who were allegedly damaged thereby. In January 2017, the suit was removed to the U.S. District Court for the Southern District of Iowa. The plaintiff subsequently filed a motion to remand the case to the Iowa District Court, and that motion was granted. In January 2018, the Iowa District Court issued an order postponing all deadlines and the setting of any schedule in the case pending a decision by the United States Supreme Court in </w:t>
      </w:r>
      <w:r>
        <w:rPr>
          <w:rFonts w:ascii="Arial" w:cs="Arial" w:eastAsia="Arial" w:hAnsi="Arial"/>
          <w:sz w:val="16"/>
          <w:szCs w:val="16"/>
          <w:i w:val="1"/>
          <w:iCs w:val="1"/>
          <w:color w:val="auto"/>
        </w:rPr>
        <w:t>Cyan, Inc. v. Beaver County Employees 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Fund. </w:t>
      </w:r>
      <w:r>
        <w:rPr>
          <w:rFonts w:ascii="Arial" w:cs="Arial" w:eastAsia="Arial" w:hAnsi="Arial"/>
          <w:sz w:val="16"/>
          <w:szCs w:val="16"/>
          <w:color w:val="auto"/>
        </w:rPr>
        <w:t>On March 20, 2018, the Supreme Court issued its decision in</w:t>
      </w:r>
      <w:r>
        <w:rPr>
          <w:rFonts w:ascii="Arial" w:cs="Arial" w:eastAsia="Arial" w:hAnsi="Arial"/>
          <w:sz w:val="16"/>
          <w:szCs w:val="16"/>
          <w:i w:val="1"/>
          <w:iCs w:val="1"/>
          <w:color w:val="auto"/>
        </w:rPr>
        <w:t xml:space="preserve"> Cyan </w:t>
      </w:r>
      <w:r>
        <w:rPr>
          <w:rFonts w:ascii="Arial" w:cs="Arial" w:eastAsia="Arial" w:hAnsi="Arial"/>
          <w:sz w:val="16"/>
          <w:szCs w:val="16"/>
          <w:color w:val="auto"/>
        </w:rPr>
        <w:t>and held that state courts have subject matter jurisdiction over putative class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one filed against us, which assert claims arising under the Securities Act. Accordingly, the case will proceed in Iowa District Court. The suit against us is still in a preliminary stage and has not yet been set for trial. We cannot predict the timing or outcome of this litigation and irrespective of its outcome, this litigation may cause us to incur substantial costs in related legal fees and divert management's attention and resources from our business.</w:t>
      </w:r>
    </w:p>
    <w:p>
      <w:pPr>
        <w:spacing w:after="0" w:line="171" w:lineRule="exact"/>
        <w:rPr>
          <w:sz w:val="20"/>
          <w:szCs w:val="20"/>
          <w:color w:val="auto"/>
        </w:rPr>
      </w:pPr>
    </w:p>
    <w:p>
      <w:pPr>
        <w:jc w:val="both"/>
        <w:ind w:left="28"/>
        <w:spacing w:after="0" w:line="277" w:lineRule="auto"/>
        <w:rPr>
          <w:sz w:val="20"/>
          <w:szCs w:val="20"/>
          <w:color w:val="auto"/>
        </w:rPr>
      </w:pPr>
      <w:r>
        <w:rPr>
          <w:rFonts w:ascii="Arial" w:cs="Arial" w:eastAsia="Arial" w:hAnsi="Arial"/>
          <w:sz w:val="18"/>
          <w:szCs w:val="18"/>
          <w:b w:val="1"/>
          <w:bCs w:val="1"/>
          <w:i w:val="1"/>
          <w:iCs w:val="1"/>
          <w:color w:val="auto"/>
        </w:rPr>
        <w:t>A significant portion of our outstanding warrants and convertible securities are entitled to certain anti-dilution protections which, if triggered, may cause substantial dilution to your investment.</w:t>
      </w:r>
    </w:p>
    <w:p>
      <w:pPr>
        <w:spacing w:after="0" w:line="170" w:lineRule="exact"/>
        <w:rPr>
          <w:sz w:val="20"/>
          <w:szCs w:val="20"/>
          <w:color w:val="auto"/>
        </w:rPr>
      </w:pPr>
    </w:p>
    <w:p>
      <w:pPr>
        <w:jc w:val="both"/>
        <w:ind w:left="28"/>
        <w:spacing w:after="0" w:line="268" w:lineRule="auto"/>
        <w:rPr>
          <w:sz w:val="20"/>
          <w:szCs w:val="20"/>
          <w:color w:val="auto"/>
        </w:rPr>
      </w:pPr>
      <w:r>
        <w:rPr>
          <w:rFonts w:ascii="Arial" w:cs="Arial" w:eastAsia="Arial" w:hAnsi="Arial"/>
          <w:sz w:val="17"/>
          <w:szCs w:val="17"/>
          <w:color w:val="auto"/>
        </w:rPr>
        <w:t>In June 2014, we issued to Deerfield (i) a warrant to purchase 14,423,076 shares of Series D redeemable convertible preferred stock at an exercise price of $0.78 per share, which is exercisable until June 2, 2024, or the Deerfield Warrant, and (ii) a convertible note under the Deerfield Facility Agreement, in the principal amount of $10.0 million, which bears interest at 9.75% per annum, or the Deerfield Note. Upon completion of our IPO, the Deerfield Warrant automatically converted into a warrant to purchase 1,923,077 shares of our common stock at an exercise price of $5.85 per share and the outstanding principal and accrued interest under the Deerfield Note became convertible into shares of our common stock at a conversion price of $5.85 per share. The Deerfield Warrant and Deerfield Note each include an exercise or conversion, as applicable, price protection provision, pursuant to which the exercise or conversion, as applicable, price of the warrant or note will be adjusted downward on a broad-based weighted-average basis if we issue or sell any shares of common stock, convertible securities, warrants or options at a sale or exercise price per share less than the greater of the Deerfield Warrant's exercise price or the Deerfield Note's conversion price, as applicable, or the closing sale price of our common stock as reported on The NASDAQ Global Market on the last trading date immediately prior to such issuance or, in the case of a firm commitment underwritten offering, on the date of execution of the underwriting agreement between us and the underwriters for such offering. Additionally, pursuant to the terms of our fourth amendment to the Deerfield Warrant and Deerfield Note, if we effect an "at the market offering" as defined in Rule 415 of the Securities Act, of our common stock, the exercise price of the Deerfield Warrant and conversion price of the Deerfield Note will be adjusted downward pursuant to this anti-dilution adjustment only if such sales are made at a price less than $5.85 per share.</w:t>
      </w:r>
    </w:p>
    <w:p>
      <w:pPr>
        <w:spacing w:after="0" w:line="182"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8"/>
          </w:cols>
          <w:pgMar w:left="212"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we will need significant additional capital in the future to fund our planned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previously issued to Deerfield the Deerfield Note in the principal amount of $10.0 million. The Deerfield Note bears interest at 9.75% per annum. Deerfield may convert all or any portion of the outstanding principal and any accrued but unpaid interest on the Deerfield Note into shares of our common stock at a conversion price of $5.85 per share.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According to the terms of the Deerfield Note, in no event may Deerfield convert the Deerfield Note to the extent such conversion would result in Deerfield beneficially owning more than 9.985% of the then issued and outstanding shares of our common stock. This conversion limitation may not be waived and any purported conversion that is inconsistent with this conversion limitation will be null and void. This conversion limitation will not apply to any conversion made immediately prior to a change of control transaction. If Deerfield is only able to convert the Deerfield Note into a limited number of shares due to this conversion limitation, the Deerfield Note could subsequently become convertible into the remainder of the shares as a result of a variety of events. This could occur, for example, if we issue more shares or Deerfield sells some of its existing shares. Without regard to this conversion limitation, the Deerfield Note is convertible into 1,751,410 shares of our common stock, assuming a conversion date of December 31, 2017. The conversion price of the Deerfield Note will be adjusted downward if we issue or sell any shares of common stock, convertible securities, warrants or options at a sale or exercise price per share less than the greater of the Deerfield Note’s conversion price or the closing sale price of our common stock as reported on The NASDAQ Global Market on the last trading date immediately prior to such issuance, or, in the case of a firm commitment underwritten offering, on the date of execution of the underwriting agreement between us and the underwriters for such offering. Although, if we effect an "at the market offering" as defined in Rule 415 of the Securities Act, of our common stock, the exercise price of the Deerfield Warrant and conversion price of the Deerfield Note will be adjusted downward pursuant to this anti-dilution adjustment only if such sales are made at a price less than $5.85 per share.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in February 2016, we issued the 2021 Notes. The 2021 Notes are convertible at an initial conversion rate of 58.4454 shares of our common stock per $1,000 principal amount of the 2021 Notes, subject to adjustment under the indenture governing the 2021 Notes, which is equal to an initial conversion price of approximately $17.11 per share of our common stock. Upon conversion, the 2021 Notes will be settled in shares of our common stock, together with a cash payment in lieu of delivering any fractional shares.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2021 Notes in connection with such a corporate event in certain circumstances. Holders who convert on or after the date that is one year after the last date of original issuance of the 2021 Notes may also be entitled to receive, under certain circumstances, an interest make-whole payment payable in shares of common stock. Without regard to this conversion, the 2021 Notes are convertible into 5,040,914 shares of our common stock, assuming a conversion date of December 31, 2017.</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Deerfield or the holders of the 2021 Notes elect to convert the Deerfield Note or the 2021 Notes, your ownership interest will be diluted and the market price of our common stock may be materially and adversely effected.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our stockholders may experience additional dilution, which could cause our stock price to fall.</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in October 2016, we entered into the ATM Agreement with Cowen under which we may offer and sell, from time to time at our sole discretion, shares of our common stock having an aggregate offering price of up to $50,000,000 through Cowen as our sales agent. Cowen may sell common stock under the ATM Agreement by any method permitted by law deemed to be an "at the market offering" as defined in Rule 415 of the Securities Act, including without limitation sales made by means of ordinary brokers' transactions on The NASDAQ Global Market or otherwise at market prices prevailing at the time of sale, in block transactions, or as otherwise directed by us. Cowen will use commercially reasonable efforts to sell the common stock from time to time, based upon instructions from us (including any price, time or size limits or other customary parameters or conditions we may impose). To the extent that we direct Cowen to make any sales of our common stock under the ATM Agreement, our stockholders may experience additional dilution, which could cause our stock price to fall. As of March 28, 2018, we have sold 446,111 shares of common stock under the ATM Agreement, resulting in gross proceeds of $2.9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Our substantial indebtedness may limit cash flow available to invest in the ongoing needs of our business.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December 31, 2017, we had $96.3 million of convertible notes outstanding, consisting of the $10 million Deerfield Note and $86.3 million of 2021 Notes.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Deerfield Note bears interest at 9.75% per annum. Interest accrued on outstanding debt under the Deerfield Note is due quarterly in arrears. Upon notice to Deerfield, we may choose to have one or more of the first eight of such scheduled interest payments added to the outstanding principal amount of the debt issued under the Deerfield Note, provided that all such interest was due on July 1, 2016. We elected this option on all eight of the scheduled interest payments through June 30, 2016 and paid such interest on July 1, 2016. We must repay one-third of the outstanding principal amount of all debt issued under the Deerfield Note on the fourth and fifth anniversaries of the Deerfield Note. We are then obligated to repay the balance of the outstanding principal amount on February 14, 2020. If we are required to pay additional outstanding amounts due under the Deerfield Note prior to maturity or otherwise incur unanticipated monetary obligations under the Deerfield Note, our cash flow available to invest in the ongoing needs of our business may be limited.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we issued the 2021 Notes. Our ability to make payments on, and to refinance, the 2021 Notes, and to fund planned capital expenditures, sales and marketing efforts, research and development efforts, working capital and other general corporate purposes depends on our ability to generate cash in the future. This, to a certain extent, is subject to general economic, financial, competitive, legislative, regulatory and other factors, some of which are beyond our control. If we do not ever generate sufficient cash flow from operations or if future borrowings are not available to us in an amount sufficient to repay our indebtedness, including any amounts due under the 2021 Notes at their maturity, or to fund our liquidity needs, we may be forced to refinance all or a portion of the 2021 Notes, on or before the maturity thereof, sell assets, reduce or delay capital expenditures, seek to raise additional capital or take other similar actions. We may not be able to affect any of these actions on commercially reasonable terms or at all. Our ability to refinance our indebtedness will depend on our financial condition at the time, the restrictions in the instruments governing our present and potential future indebtedness and other factors, including market conditions. In addition, in the event of a default with respect to the 2021 Notes, the holders of the 2021 Notes and/or the trustee under the indenture governing the 2021 Notes may accelerate the payment of our obligations under 2021 Notes. A default under the indenture governing the 2021 Notes could also lead to a default under agreements governing future indebtedness. Our inability to generate sufficient cash flow to satisfy our debt service obligations, or to refinance or restructure our obligations on commercially reasonable terms or at all, would likely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Despite our current debt levels, we may still incur substantially more debt or take other actions which would intensify the risks discussed above.</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our current debt levels, we and our future subsidiaries may incur substantial additional debt in the future, subject to the restrictions contained in our debt instruments, some of which may be secured debt. We are not restricted under the terms of the indenture governing the 2021 Notes from incurring additional debt, securing existing or future debt, recapitalizing our debt or taking a number of other actions that are not limited by the terms of the indenture governing the 2021 Notes that could have the effect of diminishing our ability to make payments on the notes when due. The Deerfield facility restricts our ability to incur additional indebtedness, including secured indebtedness, subject to certain exceptions, but if the facility matures or is repaid, we may not be subject to such restrictions under the terms of any subsequent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Deerfield Warrant, Deerfield Note and 2021 Notes could have a material effect on our reported financial results.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Deerfield Warrant, Deerfield Note and 2021 Notes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Additionally, certain features of the 2021 Notes may result in the yield on the 2021 Notes not being deductible by us for tax purposes.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holders of shares of our common stock and shares of our common stock issuable upon the exercise of outstanding warrants, including Deerfield,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91" w:lineRule="exact"/>
        <w:rPr>
          <w:sz w:val="20"/>
          <w:szCs w:val="20"/>
          <w:color w:val="auto"/>
        </w:rPr>
      </w:pPr>
    </w:p>
    <w:p>
      <w:pPr>
        <w:ind w:left="460" w:hanging="223"/>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301" w:lineRule="exact"/>
        <w:rPr>
          <w:rFonts w:ascii="Arial" w:cs="Arial" w:eastAsia="Arial" w:hAnsi="Arial"/>
          <w:sz w:val="16"/>
          <w:szCs w:val="16"/>
          <w:color w:val="auto"/>
        </w:rPr>
      </w:pPr>
    </w:p>
    <w:p>
      <w:pPr>
        <w:ind w:left="460" w:hanging="223"/>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301" w:lineRule="exact"/>
        <w:rPr>
          <w:rFonts w:ascii="Arial" w:cs="Arial" w:eastAsia="Arial" w:hAnsi="Arial"/>
          <w:sz w:val="16"/>
          <w:szCs w:val="16"/>
          <w:color w:val="auto"/>
        </w:rPr>
      </w:pPr>
    </w:p>
    <w:p>
      <w:pPr>
        <w:ind w:left="460" w:hanging="223"/>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6" w:lineRule="exact"/>
        <w:rPr>
          <w:rFonts w:ascii="Arial" w:cs="Arial" w:eastAsia="Arial" w:hAnsi="Arial"/>
          <w:sz w:val="18"/>
          <w:szCs w:val="18"/>
          <w:color w:val="auto"/>
        </w:rPr>
      </w:pPr>
    </w:p>
    <w:p>
      <w:pPr>
        <w:ind w:left="460" w:hanging="223"/>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301" w:lineRule="exact"/>
        <w:rPr>
          <w:rFonts w:ascii="Arial" w:cs="Arial" w:eastAsia="Arial" w:hAnsi="Arial"/>
          <w:sz w:val="16"/>
          <w:szCs w:val="16"/>
          <w:color w:val="auto"/>
        </w:rPr>
      </w:pPr>
    </w:p>
    <w:p>
      <w:pPr>
        <w:ind w:left="460" w:hanging="223"/>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provisions of our termination agreement with MonoSol and our agreements with Deerfield and the holders of our 2021 Notes may discourage, delay or prevent a change in control of our company. For example, if we enter into a merger, an asset sale or any other change of control transaction, then MonoSol will be entitled to a percentage in the low teens of the price being paid to us and our stockholders in such transaction which is attributable to the value of KP415 or KP484. Pursuant to the Deerfield facility, we may not enter into any major transaction without the prior approval of Deerfield, including a merger, asset sale or change of control transaction, and pursuant to the Deerfield Note, Deerfield has the option to demand repayment of all outstanding principal, and any unpaid interest accrued thereon, of the Deerfield Note immediately prior to consummation of such event.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Furthermore, the indenture governing the 2021 Notes requires us to repurchase the 2021 Notes for cash if we undergo certain fundamental changes. A takeover of us may trigger the requirement that we repurchase the 2021 Notes, which could make it more costly for a potential acquirer to engage in a business combination transaction with us.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certificate of incorporation or our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to be inapplicable or unenforceable in an action, we may incur additional costs associated with resolving such action in other jurisdictions.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7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are an “emerging growth company” as defined in the Jump Start Our Business Startups Act, or the JOBS Act, and we take advantage of some of the exemptions from reporting requirements that are applicable to other public companies that are not emerging growth companies, including:</w:t>
      </w:r>
    </w:p>
    <w:p>
      <w:pPr>
        <w:spacing w:after="0" w:line="147" w:lineRule="exact"/>
        <w:rPr>
          <w:sz w:val="20"/>
          <w:szCs w:val="20"/>
          <w:color w:val="auto"/>
        </w:rPr>
      </w:pPr>
    </w:p>
    <w:p>
      <w:pPr>
        <w:ind w:left="460" w:hanging="223"/>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8" w:lineRule="exact"/>
        <w:rPr>
          <w:rFonts w:ascii="Arial" w:cs="Arial" w:eastAsia="Arial" w:hAnsi="Arial"/>
          <w:sz w:val="18"/>
          <w:szCs w:val="18"/>
          <w:color w:val="auto"/>
        </w:rPr>
      </w:pPr>
    </w:p>
    <w:p>
      <w:pPr>
        <w:ind w:left="460" w:hanging="223"/>
        <w:spacing w:after="0" w:line="307"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4" w:lineRule="exact"/>
        <w:rPr>
          <w:rFonts w:ascii="Arial" w:cs="Arial" w:eastAsia="Arial" w:hAnsi="Arial"/>
          <w:sz w:val="17"/>
          <w:szCs w:val="17"/>
          <w:color w:val="auto"/>
        </w:rPr>
      </w:pPr>
    </w:p>
    <w:p>
      <w:pPr>
        <w:ind w:left="460" w:hanging="223"/>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78"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$1.00 billion in non-convertible debt during the prior three-year period.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2017, we had federal net operating loss carryforwards of approximately $137.3 million, due to prior period losses, which if not utilized will begin to expire in 2027. These net operating loss carryforwards could expire unused and be unavailable to offset future income tax liabilities, which could adversely affect our profitability. In addition, under Section 382 of the Internal Revenue Code of 1986, as amended,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December 22, 2017, and effective January 1, 2018, the U.S. government enacted H.R. 1, “An Act to provide for reconciliation pursuant to titles II and V of the concurrent resolution on the budget for fiscal year 2018” (informally titled the Tax Cuts and Jobs Act) which includes significant changes to the taxation of business entities. The Tax Cuts and Jobs Act,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Tax Cuts and Jobs Act remains subject to interpretation and further guidance from U.S. taxing authorities and as a result, the overall impact of this tax reform is uncertain and may change due to interpretation changes, and our business and financial condition could be adversely affected. The impact of the Tax Cuts and Jobs Act on holders of our common stock is also uncertain and could be adverse. 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have operations and have an adverse effect on our overall tax rate in the future, along with increasing the complexity, burden and cost of tax compliance. We urge our stockholders to consult with their legal and tax advisors with respect to the Tax Cuts and Jobs Act and the potential tax consequences of investing in or holding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controls over financial reporting. For our fiscal year ending December 31, 2017, we performed system and process evaluation and testing of our internal controls over financial reporting to allow management to report on the effectiveness of our internal controls over financial reporting in our Annual Report on Form 10-K, as required by Section 404 of the Sarbanes-Oxley Act. We will be required to perform this evaluation and testing of our internal controls over financial reporting to allow management to report on the effectiveness of our internal controls over financial reporting on an annual basis. This requires that we incur substantial additional professional fees and internal costs and that we expend significant management efforts on an annual basis. We have and will be required to test our internal controls within a specified period, and, as a result, we may experience difficulty in meeting these reporting requirements.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U.S. Securities and Exchange Commission, or SEC, or other regulatory authorities.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the Deerfield facility, and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which we estimate to be between $1.0 million and $2.0 million annually, that we did not incur as a private company.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spacing w:after="0"/>
        <w:tabs>
          <w:tab w:leader="none" w:pos="680" w:val="left"/>
        </w:tabs>
        <w:rPr>
          <w:sz w:val="20"/>
          <w:szCs w:val="20"/>
          <w:color w:val="auto"/>
        </w:rPr>
      </w:pPr>
      <w:r>
        <w:rPr>
          <w:rFonts w:ascii="Arial" w:cs="Arial" w:eastAsia="Arial" w:hAnsi="Arial"/>
          <w:sz w:val="18"/>
          <w:szCs w:val="18"/>
          <w:b w:val="1"/>
          <w:bCs w:val="1"/>
          <w:color w:val="auto"/>
        </w:rPr>
        <w:t>ITEM</w:t>
        <w:tab/>
        <w:t>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1B.</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occupy 1,000 square feet of headquarters office and laboratory space in Coralville, Iowa, under a non-cancelable lease agreement that expires in September 2018, and we have the right to extend the term of the lease for successive one-year terms upon expiration. We also occupy approximately 17,000 square feet of office space in Celebration, Florida, comprised of two contiguous office suites, under a non-cancelable lease agreement that expires in August 2025 and February 2026, respectively. We have the right to extend the term of the lease for two successive five-year terms upon expiration. In addition, we occupy leased space in Blacksburg, Virginia. We believe that our facilities are adequate for our current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2016, a class action suit was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The plaintiff does not quantify any alleged damages in his complaint but, in addition to attorneys' fees and costs, the plaintiff seeks to recover damages and obtain other relief on behalf of himself and all other persons who purchased our common stock pursuant or traceable to the offering and the registration statement and who were allegedly damaged thereby.</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January 2017, the suit was removed to the U.S. District Court for the Southern District of Iowa. The plaintiff subsequently filed a motion to remand the case to the Iowa District Court, and that motion was granted. In January 2018, the Iowa District Court issued an order postponing all deadlines and the setting of any schedule in the case pending a decision by the United States Supreme Court in </w:t>
      </w:r>
      <w:r>
        <w:rPr>
          <w:rFonts w:ascii="Arial" w:cs="Arial" w:eastAsia="Arial" w:hAnsi="Arial"/>
          <w:sz w:val="16"/>
          <w:szCs w:val="16"/>
          <w:i w:val="1"/>
          <w:iCs w:val="1"/>
          <w:color w:val="auto"/>
        </w:rPr>
        <w:t>Cyan, Inc. v. Beaver County Employees Retirement Fund.</w:t>
      </w:r>
      <w:r>
        <w:rPr>
          <w:rFonts w:ascii="Arial" w:cs="Arial" w:eastAsia="Arial" w:hAnsi="Arial"/>
          <w:sz w:val="16"/>
          <w:szCs w:val="16"/>
          <w:color w:val="auto"/>
        </w:rPr>
        <w:t xml:space="preserve"> On March 20, 2018, the Supreme Court issued its decision in </w:t>
      </w:r>
      <w:r>
        <w:rPr>
          <w:rFonts w:ascii="Arial" w:cs="Arial" w:eastAsia="Arial" w:hAnsi="Arial"/>
          <w:sz w:val="16"/>
          <w:szCs w:val="16"/>
          <w:i w:val="1"/>
          <w:iCs w:val="1"/>
          <w:color w:val="auto"/>
        </w:rPr>
        <w:t>Cyan</w:t>
      </w:r>
      <w:r>
        <w:rPr>
          <w:rFonts w:ascii="Arial" w:cs="Arial" w:eastAsia="Arial" w:hAnsi="Arial"/>
          <w:sz w:val="16"/>
          <w:szCs w:val="16"/>
          <w:color w:val="auto"/>
        </w:rPr>
        <w:t xml:space="preserve"> and held that state courts have subject matter jurisdiction over putative class actions like the one filed against us, which assert claims arising under the Securities Act. Accordingly, the case will proceed in Iowa District Court. The suit against us is still in a preliminary stage and has not yet been set for trial. Accordingly, we are unable to predict the timing or outcome of this litigation as of the date of this report.</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As of the date of this report we are unable to predict whether the pending litigation described above could have a material adverse effect on our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700" w:hanging="687"/>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common stock has been listed on The NASDAQ Global Market under the symbol “KMPH” since April 16, 2015. Prior to that date, there was no public trading market for our common stock. The following table sets forth for the periods indicated the high and low sales prices per share of our common stock as reported on The NASDAQ Global Market:</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High</w:t>
            </w: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First Quarter</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Third Quarter</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Second Quarter</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Fourth Quarter</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28, 2018, we had 142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 The terms of the Deerfield facility, limits our ability to pay dividends.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securities authorized for issuance under equity compensation plans is included in Part III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specialty pharmaceutical company focused on the discovery and development of proprietary prodrugs to treat serious medical conditions through our LAT, platform technology. We utilize our proprietary LAT platform technology to generate improved prodrug versions of FDA-approved drugs in the high need areas of ADHD, pain and other CNS disorders. Our co-lead clinical development candidates are KP415 and KP484, both based on a prodrug of methylphenidate, but with differing ER effect profiles for the treatment of ADHD. In addition, we have received FDA approval for APADAZ, and IR combination product of our prodrug, benzhydrocodone, and APAP. We are also advancing KP201/IR, an APAP-free IR formulation of our benzhydrocodone prodrug. Both APADAZ and KP201/IR are intended for the treatment of acute pain severe enough to require an opioid analgesic and for which alternative treatments are inadequate.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generated any revenue. We have incurred operating losses since our inception and, as of December 31, 2017, had an accumulated deficit of $164.7 million. Our losses from operations for the years ended December 31, 2017, 2016 and 2015 were $33.4 million, $37.5 million and $22.8 million, respectively.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and those expenses and losses may fluctuate significantly from quarter-to-quarter and year-to-year. We anticipate that our expenses will increase substantially as we: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continue our ongoing preclinical studies, clinical trials and our product development activities for our pipeline of product candidates;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seek regulatory approvals for any product candidates that successfully complete clinical trials;</w:t>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 continue research and preclinical development and initiate clinical trials of our other product candidates;</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seek to discover and develop additional product candidates either internally or in partnership with other pharmaceutical companies;</w:t>
      </w:r>
    </w:p>
    <w:p>
      <w:pPr>
        <w:spacing w:after="0" w:line="279" w:lineRule="exact"/>
        <w:rPr>
          <w:sz w:val="20"/>
          <w:szCs w:val="20"/>
          <w:color w:val="auto"/>
        </w:rPr>
      </w:pPr>
    </w:p>
    <w:p>
      <w:pPr>
        <w:ind w:left="460" w:hanging="219"/>
        <w:spacing w:after="0" w:line="277" w:lineRule="auto"/>
        <w:tabs>
          <w:tab w:leader="none" w:pos="440" w:val="left"/>
        </w:tabs>
        <w:rPr>
          <w:sz w:val="20"/>
          <w:szCs w:val="20"/>
          <w:color w:val="auto"/>
        </w:rPr>
      </w:pPr>
      <w:r>
        <w:rPr>
          <w:rFonts w:ascii="Arial" w:cs="Arial" w:eastAsia="Arial" w:hAnsi="Arial"/>
          <w:sz w:val="18"/>
          <w:szCs w:val="18"/>
          <w:color w:val="auto"/>
        </w:rPr>
        <w:t>●</w:t>
        <w:tab/>
        <w:t>potentially establish a commercialization infrastructure and scale up external manufacturing and distribution capabilities to commercialize APADAZ and any of our other product candidates for which we may obtain regulatory approval;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adapt our regulatory compliance efforts to incorporate requirements applicable to marketed products;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maintain, expand and protect our intellectual property portfolio;</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incur additional legal, accounting and other expenses in operating as a public company; and</w:t>
      </w:r>
    </w:p>
    <w:p>
      <w:pPr>
        <w:spacing w:after="0" w:line="211" w:lineRule="exact"/>
        <w:rPr>
          <w:sz w:val="20"/>
          <w:szCs w:val="20"/>
          <w:color w:val="auto"/>
        </w:rPr>
      </w:pPr>
    </w:p>
    <w:p>
      <w:pPr>
        <w:ind w:left="460" w:right="220" w:hanging="228"/>
        <w:spacing w:after="0" w:line="185" w:lineRule="auto"/>
        <w:rPr>
          <w:sz w:val="20"/>
          <w:szCs w:val="20"/>
          <w:color w:val="auto"/>
        </w:rPr>
      </w:pPr>
      <w:r>
        <w:rPr>
          <w:rFonts w:ascii="Arial" w:cs="Arial" w:eastAsia="Arial" w:hAnsi="Arial"/>
          <w:sz w:val="43"/>
          <w:szCs w:val="43"/>
          <w:color w:val="auto"/>
          <w:vertAlign w:val="subscript"/>
        </w:rPr>
        <w:t>●</w:t>
      </w:r>
      <w:r>
        <w:rPr>
          <w:rFonts w:ascii="Arial" w:cs="Arial" w:eastAsia="Arial" w:hAnsi="Arial"/>
          <w:sz w:val="22"/>
          <w:szCs w:val="22"/>
          <w:color w:val="auto"/>
        </w:rPr>
        <w:t xml:space="preserve"> add operational systems and personnel, including systems and personnel, if needed, to support any future commercialization efforts.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commercial revenue, if any, will be derived from sales of APADAZ or our other prodrug product candidates for which we obtain regulatory approval and we do not currently know when, if ever, APADAZ or our other product candidates will be commercially available. Accordingly, we will need to continue to rely on additional financing to achieve our business objectives.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Third-Party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2009, we entered into a supply agreement, or the Supply Agreement, with Johnson Matthey Inc., or JMI, whereby JMI has agreed to supply us with all the KP201 necessary for clinical trials and commercial sale for a price equal to JMI's manufacturing cost and to provide process optimization and development services for KP201. In exchange, we issued shares of our common stock to JMI, provided that the commercial supply arrangement for KP201 would be exclusive to JMI in the United States and agreed to pay JMI royalties on the net sales of any products that utilize KP201 as the active pharmaceutical ingredient, or API. The percentage royalty rate ranges from the high teens at low volumes to the mid-single digits at higher volumes. Our FDA-approved drug, APADAZ, and product candidate, KP201/IR, both contain KP201.</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responsible for all costs of any KP201 manufactured during a specified validation process for APADAZ and KP201/IR. After completion of the validation process, but prior to the commercial launch of any products that utilize KP201 as the API, JMI will manufacture batches of KP201 at a price to be negotiated. Failure to agree upon this pricing would result in JMI supplying these batches to us free of charge and we would pay JMI an additional royalty payment on such batches. The percentage royalty rate ranges from the low teens at low volumes to the low single digits at higher volumes and is additive to any minimum royalty we may owe JMI on such batch. JMI will manufacture and supply KP201 at a price equal to JMI's fully allocated manufacturing cost after commercial launch of APADAZ, as well as for KP201/IR should we obtain approval for marketing from the FDA.</w:t>
      </w:r>
    </w:p>
    <w:p>
      <w:pPr>
        <w:spacing w:after="0" w:line="17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must purchase all our U.S. KP201 needs from JMI and JMI cannot supply KP201 to other companies. After the commercial launch of any product that utilizes KP201 as the API, JMI is required to identify a secondary manufacturing site and qualify and validate that site to produce KP201.</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of the supply agreement extends as long as we hold a valid and enforceable patent for KP201 or until the tenth anniversary of the commercial launch of any product that utilizes KP201 as the API, whichever date is later. Upon the expiration of such term, the agreement will automatically renew for a period of two years unless either party provides 12 months' prior notice of its intent not to renew.</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March 2012 asset purchase agreement with Shire Pharmaceuticals, LLC, or Shire, has a right of first refusal to acquire, license or commercialize KP415 and KP484.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March 2012 termination agreement with MonoSol Rx, LLC, or MonoSol, MonoSol has the right to receive an amount equal to a percentage in the low teens of any value generated by KP415 or KP484, and any product candidates arising therefrom, including royalty payments on any license of KP415 or KP484, the sale of KP415 or KP484 to a third party, the commercialization of KP415 or KP484 and the portion of any consideration that is attributable to the value of KP415 or KP484 and paid to us or our stockholders in a change of control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date, we have not generated any revenue. We do not currently know when, if ever, we will generate revenue. On February 23, 2018, we announced that the FDA approved our NDA for APADAZ for the short-term (no more than 14 days) management of acute pain severe enough to require an opioid analgesic and for which alternative treatments are inadequate. We have not yet determined our strategy for commercializing APADAZ. If we fail to commercialize APADAZ or complete the development of our product candidates in a timely manner or fail to obtain their regulatory approval, our ability to generate future revenue would be compromised.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our operating expenses into three categories: research and development expenses, general and administrative expenses and severance expense.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86" w:lineRule="exact"/>
        <w:rPr>
          <w:sz w:val="20"/>
          <w:szCs w:val="20"/>
          <w:color w:val="auto"/>
        </w:rPr>
      </w:pPr>
    </w:p>
    <w:p>
      <w:pPr>
        <w:ind w:left="460" w:hanging="223"/>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and any stock-based compensation, for our scientific personnel performing research and development activities;</w:t>
      </w:r>
    </w:p>
    <w:p>
      <w:pPr>
        <w:spacing w:after="0" w:line="196"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consultants and other third parties who support our product candidate development;</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products; and</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allocated facility-related costs and overhead.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costs for the years ended December 31, 2017, 2016 and 2015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Outsourced development costs directly identified to</w:t>
            </w: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programs:</w:t>
            </w: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KP415</w:t>
            </w:r>
          </w:p>
        </w:tc>
        <w:tc>
          <w:tcPr>
            <w:tcW w:w="1060" w:type="dxa"/>
            <w:vAlign w:val="bottom"/>
            <w:gridSpan w:val="2"/>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10,116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2,889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KP484</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APADAZ</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KP201/IR</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KP511</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KP606</w:t>
            </w:r>
          </w:p>
        </w:tc>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ind w:left="320"/>
              <w:spacing w:after="0" w:line="195" w:lineRule="exact"/>
              <w:rPr>
                <w:sz w:val="20"/>
                <w:szCs w:val="20"/>
                <w:color w:val="auto"/>
              </w:rPr>
            </w:pPr>
            <w:r>
              <w:rPr>
                <w:rFonts w:ascii="Arial" w:cs="Arial" w:eastAsia="Arial" w:hAnsi="Arial"/>
                <w:sz w:val="18"/>
                <w:szCs w:val="18"/>
                <w:color w:val="auto"/>
              </w:rPr>
              <w:t>Total outsourced development</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w w:val="90"/>
              </w:rPr>
              <w:t>11,921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12,461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costs directly identified to programs</w:t>
            </w: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Research and development costs not</w:t>
            </w: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directly identified to programs:</w:t>
            </w: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Arial" w:cs="Arial" w:eastAsia="Arial" w:hAnsi="Arial"/>
                <w:sz w:val="18"/>
                <w:szCs w:val="18"/>
                <w:color w:val="auto"/>
              </w:rPr>
              <w:t>Personnel costs including cash compensation,</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benefits and stock-based compensation</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costs</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Other costs</w:t>
            </w: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Total research and development costs not</w:t>
            </w: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8,672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directly identified to programs</w:t>
            </w:r>
          </w:p>
        </w:tc>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Total research and development costs</w:t>
            </w:r>
          </w:p>
        </w:tc>
        <w:tc>
          <w:tcPr>
            <w:tcW w:w="1060" w:type="dxa"/>
            <w:vAlign w:val="bottom"/>
            <w:gridSpan w:val="2"/>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20,593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20,472</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plan to increase our research and development expense for the foreseeable future as we continue our efforts to advance the development of our product candidates, subject to the availability of additional funding.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successful commercialization of APADAZ and our product candidates, if approved, and development of our product candidates is highly uncertain. At this time, we cannot reasonably estimate the nature, timing or costs required to commercialize APADAZ or our product candidates, if approved, and complete the remaining development of any product candidates. This is due to the numerous risks and uncertainties associated with the commercialization and development of products and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general and administrative expense will increase as we continue to operate as a public reporting company and continue to develop our product candidates. We believe that these increases will likely include increased costs related to the hiring of additional personnel and increased fees for outside consultants, lawyers and accountants. We also expect to continue to incur increased costs to comply with corporate governance, internal controls, investor relations, disclosure and similar requirements applicable to public reporting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Severance expense consists primarily of salaries and personnel-related costs, including employee benefits and any stock-based compensation, for employees terminated in the third quarter of 2016 due to the deferral of commercial operations and realignment of financial resources and operational priorities during the period. We had no severance expense in 2017, and at this time, we do not expect to incur significant additional severance expense in future periods.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(expense) income consists primarily of non-cash costs associated with fair value adjustments to our derivative and warrant liability and amortization of debt issuance costs and debt discount to interest expense. Other (expense) income also includes interest expense incurred on our outstanding borrowings, as well as, interest and other income consisting primarily of interest earned on investments. Additionally, we recognized a loss on extinguishment of debt, for the year ended December 31, 2016, related to the payment of our term note previously issued to Deerfield. These items are unrelated to our core business and thus are recognized as other (expense) income in our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Income tax benefit (expense) consists of refundable state income tax credits. To date, we have not been required to pay U.S. federal or state income taxes because we have not generated taxable income. We have received state income tax credits related to our qualified research activities in Iowa.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61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3"/>
              </w:rPr>
              <w:t>Comparison of the Years Ended December 31, 2017 and 2016 (in thousands):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Period-to-Period</w:t>
            </w:r>
          </w:p>
        </w:tc>
      </w:tr>
      <w:tr>
        <w:trPr>
          <w:trHeight w:val="209"/>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09"/>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20,593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12,773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11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Severance expense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r>
      <w:tr>
        <w:trPr>
          <w:trHeight w:val="209"/>
        </w:trPr>
        <w:tc>
          <w:tcPr>
            <w:tcW w:w="11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33,366</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37,482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09"/>
        </w:trPr>
        <w:tc>
          <w:tcPr>
            <w:tcW w:w="11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(33,366)</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(37,482)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4,116</w:t>
            </w:r>
          </w:p>
        </w:tc>
      </w:tr>
      <w:tr>
        <w:trPr>
          <w:trHeight w:val="209"/>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4,740</w:t>
            </w:r>
          </w:p>
        </w:tc>
      </w:tr>
      <w:tr>
        <w:trPr>
          <w:trHeight w:val="201"/>
        </w:trPr>
        <w:tc>
          <w:tcPr>
            <w:tcW w:w="1160" w:type="dxa"/>
            <w:vAlign w:val="bottom"/>
          </w:tcPr>
          <w:p>
            <w:pPr>
              <w:spacing w:after="0"/>
              <w:rPr>
                <w:sz w:val="17"/>
                <w:szCs w:val="17"/>
                <w:color w:val="auto"/>
              </w:rPr>
            </w:pPr>
          </w:p>
        </w:tc>
        <w:tc>
          <w:tcPr>
            <w:tcW w:w="3780" w:type="dxa"/>
            <w:vAlign w:val="bottom"/>
          </w:tcPr>
          <w:p>
            <w:pPr>
              <w:ind w:left="160"/>
              <w:spacing w:after="0" w:line="201" w:lineRule="exact"/>
              <w:rPr>
                <w:sz w:val="20"/>
                <w:szCs w:val="20"/>
                <w:color w:val="auto"/>
              </w:rPr>
            </w:pPr>
            <w:r>
              <w:rPr>
                <w:rFonts w:ascii="Arial" w:cs="Arial" w:eastAsia="Arial" w:hAnsi="Arial"/>
                <w:sz w:val="18"/>
                <w:szCs w:val="18"/>
                <w:color w:val="auto"/>
                <w:w w:val="95"/>
              </w:rPr>
              <w:t>Interest expense related to amortization of debt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issuance costs and discount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principal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Fair value adjustment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32,465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(35,556)</w:t>
            </w:r>
          </w:p>
        </w:tc>
      </w:tr>
      <w:tr>
        <w:trPr>
          <w:trHeight w:val="216"/>
        </w:trPr>
        <w:tc>
          <w:tcPr>
            <w:tcW w:w="116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09"/>
        </w:trPr>
        <w:tc>
          <w:tcPr>
            <w:tcW w:w="116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Arial" w:cs="Arial" w:eastAsia="Arial" w:hAnsi="Arial"/>
                <w:sz w:val="18"/>
                <w:szCs w:val="18"/>
                <w:color w:val="auto"/>
              </w:rPr>
              <w:t>Total other (expense) income</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(10,063)</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20,951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w:t>
            </w:r>
          </w:p>
        </w:tc>
      </w:tr>
      <w:tr>
        <w:trPr>
          <w:trHeight w:val="209"/>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(43,429)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w:t>
            </w: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29"/>
        </w:trPr>
        <w:tc>
          <w:tcPr>
            <w:tcW w:w="11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(43,386)</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(16,516)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(26,870)</w:t>
            </w:r>
          </w:p>
        </w:tc>
      </w:tr>
      <w:tr>
        <w:trPr>
          <w:trHeight w:val="20"/>
        </w:trPr>
        <w:tc>
          <w:tcPr>
            <w:tcW w:w="116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loss for the year ended December 31, 2017 was $43.4 million, an increase of $26.9 million compared to net loss for the year ended December 31, 2016 of $16.5 million. The increase was primarily attributable to a period-over-period change of $35.6 million in fair value adjustment related to changes in the derivative and warrant liability for each period resulting in non-cash expense of $3.1 million for the year ended December 31, 2017 compared to non-cash income of $32.5 million for the year ended December 31, 2016. Also contributing to the increase in net loss was an increase in net interest expense and other items of $0.1 million. These increases were partially offset by a decrease in loss from operations of $4.1 million and the non-recurrence in 2017 of a non-cash loss on extinguishment of debt of $4.7 million recognized during the year ended December 31, 2016 related to the payment of the term note previously issued to Deerfield.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increased by $0.1 million, from $20.5 million for the year ended December 31, 2016, to $20.6 million for the year ended December 31, 2017. This increase was primarily attributable to an increase in personnel costs, including stock-based compensation of $0.7 million. This increase was partially offset by decreases in net third-party research and development costs of $0.5 million and other research and development costs related to overhead of $0.1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by $1.2 million, from $14.0 million for the year ended December 31, 2016, to $12.8 million for the year ended December 31, 2017. This decrease was primarily attributable to decreases in professional fees and other expenses related to the APADAZ pre-commercialization efforts in 2016 of $0.7 million and personnel costs, including stock-based compensation of $0.9 million. These decreases are partially offset by increases in general and administrative costs related to overhead of $0.4 million in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severance expense in 2017. Severance expense of $3.0 million was recognized for the year ended December 31, 2016 due to the deferral of commercial operations and realignment of financial resources and operational priorities during the period. Severance expense was comprised of $1.9 million of stock-based compensation expense related to the acceleration of vesting on certain stock options upon employee termination and $1.1 million of personnel and other related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(expense) income changed by $31.0 million, from income of $20.9 million for the year ended December 31, 2016, to expense of $10.1 million for the year ended December 31, 2017. This period-to-period change was primarily attributable to the $35.6 million change in the fair value adjustment related to our derivative and warrant liability and an increase in net interest expense and other items of $0.1 million. These changes were partially offset by the non-recurrence in 2017 of a non-cash loss on extinguishment of debt of $4.7 million recognized during the year ended December 31, 2016 related to the payment of the term note previously issued to Deerfield.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Period-to-Period</w:t>
            </w: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20,472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6,541</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5,117</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Severance expense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3,010</w:t>
            </w:r>
          </w:p>
        </w:tc>
      </w:tr>
      <w:tr>
        <w:trPr>
          <w:trHeight w:val="209"/>
        </w:trPr>
        <w:tc>
          <w:tcPr>
            <w:tcW w:w="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37,482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22,814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14,668</w:t>
            </w: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(37,482)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01"/>
        </w:trPr>
        <w:tc>
          <w:tcPr>
            <w:tcW w:w="20" w:type="dxa"/>
            <w:vAlign w:val="bottom"/>
          </w:tcPr>
          <w:p>
            <w:pPr>
              <w:spacing w:after="0"/>
              <w:rPr>
                <w:sz w:val="17"/>
                <w:szCs w:val="17"/>
                <w:color w:val="auto"/>
              </w:rPr>
            </w:pPr>
          </w:p>
        </w:tc>
        <w:tc>
          <w:tcPr>
            <w:tcW w:w="3760" w:type="dxa"/>
            <w:vAlign w:val="bottom"/>
          </w:tcPr>
          <w:p>
            <w:pPr>
              <w:ind w:left="160"/>
              <w:spacing w:after="0" w:line="201" w:lineRule="exact"/>
              <w:rPr>
                <w:sz w:val="20"/>
                <w:szCs w:val="20"/>
                <w:color w:val="auto"/>
              </w:rPr>
            </w:pPr>
            <w:r>
              <w:rPr>
                <w:rFonts w:ascii="Arial" w:cs="Arial" w:eastAsia="Arial" w:hAnsi="Arial"/>
                <w:sz w:val="18"/>
                <w:szCs w:val="18"/>
                <w:color w:val="auto"/>
                <w:w w:val="95"/>
              </w:rPr>
              <w:t>Interest expense related to amortization of debt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issuance costs and discount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principal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Fair value adjustment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32,465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59,741</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r>
      <w:tr>
        <w:trPr>
          <w:trHeight w:val="209"/>
        </w:trPr>
        <w:tc>
          <w:tcPr>
            <w:tcW w:w="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 other (expense) income</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20,951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52,775</w:t>
            </w: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38,107</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29"/>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(16,516)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38,148</w:t>
            </w: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loss for the year ended December 31, 2016 was $16.5 million, a decrease of $38.2 million compared to net loss for the year ended December 31, 2015 of $54.7 million. The decrease was primarily attributable to a period-over-period change of $59.7 million in fair value adjustment related changes in the derivative and warrant liability for each period resulting in non-cash income of $32.4 million for the year ended December 31, 2016 compared to non-cash expense of $27.3 million for the year ended December 31, 2015. This decrease was partially offset by increases in loss from operations of $14.7 million, net interest expense and other items of $2.1 million and the recognition of a non-cash loss on extinguishment of debt of $4.7 million related to the payment of the term note previously issued to Deerfield.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increased by $6.6 million, from $13.9 million for the year ended December 31, 2015, to $20.5 million for the year ended December 31, 2016. This increase was primarily attributable to a $3.5 million payment to a third-party to license an abuse-deterrent technology, as well as increases in personnel costs, including stock-based compensation of $1.6 million, professional fees and other expenses related to preparation for, and attendance at, the FDA advisory committee meeting held during the second quarter of 2016 of $1.0 million, and an increase in other research and development costs related to overhead of $0.5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increased by $5.1 million, from $8.9 million for the year ended December 31, 2015, to $14.0 million for the year ended December 31, 2016. This increase was primarily attributable to increases in personnel costs, including stock-based compensation of $3.1 million, professional fees and other expenses related to APADAZ pre-commercialization efforts in 2016 of $0.7 million, and general and administrative costs of $1.3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Severance expense of $3.0 million was recognized for the year ended December 31, 2016 due to the deferral of commercial operations for APADAZ and realignment of financial resources and operational priorities during the period. Severance expense was comprised of $1.9 million of stock-based compensation expense related to the acceleration of vesting on certain stock options upon employee termination and $1.1 million of personnel and other related charges. We had no severance expense in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(expense) income changed by $52.8 million, from an expense of $31.8 million for the year ended December 31, 2015, to income of $21.0 million for the year ended December 31, 2016. This period-to-period change was primarily attributable to the $59.7 million change in the fair value adjustment related to our derivative and warrant liability. This change was partially offset by an increase in net interest expense and other items of $2.2 million and a non-cash loss on extinguishment of debt of $4.7 million recognized in the first quarter of 2016 related to the payment of the term note previously issued to Deerfield.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December 31, 2017, we have funded our research and development and operating activities primarily through the issuance of $115.9 million of debt, $25.3 million of private placements of redeemable convertible preferred stock and the sale of common stock in our IPO. As of December 31, 2017, we had cash and cash equivalents of $10.9 million, restricted cash of $1.1 million, marketable securities of $31.4 million, trade date receivables of $2.0 million and long-term investments of $3.3 million. We completed the initial closing of our IPO in April 2015, with a subsequent closing in May 2015, pursuant to which we received net proceeds, including net proceeds from the underwriters' exercise of their option to purchase additional shares, of $59.9 million, after deducting underwriting discounts and commissions of $4.5 million. In addition, we incurred offering expenses totaling $2.8 million.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filed a registration statement on Form S-3 covering the sale from time to time of up to $150.0 million of our common stock, preferred stock, debt and/or warrants, which was declared effective by the SEC on October 17, 2016.</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3, 2016, we entered into a Common Stock Sales Agreement, or ATM Agreement, with Cowen under which we may offer and sell, from time to time, in our sole discretion, shares of common stock having an aggregate offering price of up to $50,000,000 through Cowen as our sales agent. The registration statement on Form S-3 included a prospectus covering the offering up to $20,000,000 of shares of common stock in accordance with the ATM Agreement. As of March 28, 2018, we have sold 446,111 shares of our common stock under the ATM Agreement resulting in gross proceeds of $2.9 million.</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operating losses since our inception and, as of December 31, 2017, had an accumulated deficit of $164.7 million. We anticipate that we will continue to incur operating losses for at least the next several years. We expect that our operating expenses will continue to increase and,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color w:val="auto"/>
        </w:rPr>
        <w:t>As of December 31, 2017, we had $96.3 million of convertible notes outstanding, consisting of a secured convertible note with Deerfield in the principal amount of $10.0 million, or the Deerfield Note, and $86.3 million of principal amount of 5.50% senior convertible notes due 2021, or the 2021 Notes.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Deerfield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we entered into the $60.0 million multi-tranche credit facility with Deerfield. At the time we entered into the Deerfield Facility Agreement, we borrowed the first tranche, which consisted of a $15.0 million term note and the $10.0 million convertible note, or the Deerfield Note. We used approximately $18.6 million of the net proceeds from the offering of our 5.50% senior convertible notes due 2021, or the 2021 Notes, to repay in full the $15.0 million original principal amount on the term note issued under the Deerfield Facility Agreement plus all accrued but unpaid interest on the term note, a make whole interest payment on the term note and a prepayment premium on the term note. Deerfield is no longer obligated to provide us any additional disbursements under the Deerfield Facility Agreement.</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loans issued under the Deerfield Facility Agreement, including the Deerfield Note, bear interest at 9.75% per annum. Interest accrued on outstanding debt under the Deerfield Facility Agreement is due quarterly in arrears. Upon notice to Deerfield, we may choose to have one or more of the first eight of such scheduled interest payments added to the outstanding principal amount of the debt issued under the Deerfield facility, provided that all such interest was due on July 1, 2016. We elected this option on all eight of the scheduled interest payments through June 30, 2016, and paid all such interest on July 1, 2016. We must repay one-third of the outstanding principal amount of all debt issued under the Deerfield Facility Agreement on the fourth and fifth anniversaries of the Deerfield Facility Agreement. We are then obligated to repay the balance of the outstanding principal amount on February 14, 2020.</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Prepayment of the outstanding balance is not allowed without written consent of Deerfield. However, in connection with our offering of the 2021 Notes, on February 3, 2016, we entered into an amendment to the Deerfield Facility Agreement in which Deerfield consented to the prepayment of its $15.0 million term note and the issuance of the 2021 Notes.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Deerfield Facility Agreement, we issued to Deerfield 1,923,077 shares of our Series D redeemable convertible preferred stock as consideration for the loans provided to us thereunder. Upon closing of our IPO, these shares of Series D redeemable convertible preferred stock reclassified into 256,410 shares of our common stock.</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issued to Deerfield a warrant to purchase 14,423,076 shares of our Series D redeemable convertible preferred stock at an initial exercise price of $0.78 per share, or the Deerfield Warrant. Upon closing of our IPO, this warrant converted into a warrant exercisable for 1,923,077 shares of our common stock at an exercise price of $5.85 per share.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Deerfield Facility Agreement, we may not enter into specified transactions, including a debt financing in the aggregate value of $750,000 or more, a merger, an asset sale or any other change of control transaction or any joint venture, partnership or other profit sharing arrangement, without the prior approval of Deerfield. Additionally, if we were to enter into a major transaction, including a merger, consolidation, sale of substantially all of our assets or other change of control transaction, Deerfield would have the ability to demand that prior to consummation of such transaction we repay all outstanding principal and accrued interest of the Deerfield Note. Deerfield has the right to demand that we redeem the Deerfield Warrant for a cash amount equal to the Black-Scholes value of a portion of the warrant upon the occurrence of specified events, including a merger, an asset sale or any other change of control transaction.</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Deerfield Facility Agreement also includes high yield discount obligation protections that go into effect in June 2019. After this time, if at any interest payment date our outstanding indebtedness under the Deerfield facility would qualify as an "applicable high yield discount obligation" under the Internal Revenue Code, as amended, or the Code, then we are obligated to prepay in cash on each such date the amount necessary to avoid such classification.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2016, we issued the 2021 Notes in aggregate principal amount of $86.3 million. The 2021 Notes were originally issued to Cowen and RBC as representatives of the several initial purchasers, who subsequently resold the 2021 Notes to qualified institutional buyers in reliance on the exemption from registration provided by Rule 144A under the Securities Act.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2021 Notes were issued pursuant to an indenture, dated as of February 9, 2016, or the indenture, between the Company and U.S. Bank National Association, as trustee. Interest on the 2021 Notes is payable semi-annually in cash in arrears on February 1 and August 1 of each year, beginning on August 1, 2016, at a rate of 5.50% per year. The 2021 Notes mature on February 1, 2021 unless earlier converted or repurchased.</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2021 Notes are not redeemable prior to the maturity date, and no sinking fund is provided for the 2021 Notes. The 2021 Notes are convertible at an initial conversion rate of 58.4454 shares of our common stock per $1,000 principal amount of the 2021 Notes, subject to adjustment under the indenture, which is equal to an initial conversion price of approximately $17.11 per share of our common stock. Upon conversion, the 2021 Notes will be settled in shares of our common stock, together with a cash payment in lieu of delivering any fractional shares. The conversion rate will be subject to adjustment in some events but will not be adjusted for any accrued and unpaid interest. In addition, following certain corporate events that occur prior to the maturity date, we will increase the conversion rate for a holder who elects to convert its 2021 Notes in connection with such a corporate event in certain circumstances. These notes are not considered participating securities.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undergo a "fundamental change" (as defined in the indenture), holders may require that we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who convert on or after the date that is one year after the last date of original issuance of the 2021 Notes may also be entitled to receive, under certain circumstances, an interest make-whole payment payable in shares of our common stock.</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indenture includes customary terms and covenants, including certain events of default after which the 2021 Notes may be due and payable immediately.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022"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Cash Flows (in thousands):</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7"/>
              </w:rPr>
              <w:t>Comparison of the Years Ended December 31, 2017 and 2016 (in thousands)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Period-to-Period</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73,259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61,163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(61,366)</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w w:val="93"/>
              </w:rPr>
              <w:t>Net decrease in cash, cash equivalents and restricted</w:t>
            </w:r>
          </w:p>
        </w:tc>
        <w:tc>
          <w:tcPr>
            <w:tcW w:w="5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(5,891)</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(14,456)</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rPr>
              <w:t>8,565</w:t>
            </w:r>
          </w:p>
        </w:tc>
        <w:tc>
          <w:tcPr>
            <w:tcW w:w="0" w:type="dxa"/>
            <w:vAlign w:val="bottom"/>
          </w:tcPr>
          <w:p>
            <w:pPr>
              <w:spacing w:after="0"/>
              <w:rPr>
                <w:sz w:val="1"/>
                <w:szCs w:val="1"/>
                <w:color w:val="auto"/>
              </w:rPr>
            </w:pPr>
          </w:p>
        </w:tc>
      </w:tr>
      <w:tr>
        <w:trPr>
          <w:trHeight w:val="190"/>
        </w:trPr>
        <w:tc>
          <w:tcPr>
            <w:tcW w:w="5160" w:type="dxa"/>
            <w:vAlign w:val="bottom"/>
            <w:gridSpan w:val="2"/>
          </w:tcPr>
          <w:p>
            <w:pPr>
              <w:ind w:left="1140"/>
              <w:spacing w:after="0" w:line="189" w:lineRule="exact"/>
              <w:rPr>
                <w:sz w:val="20"/>
                <w:szCs w:val="20"/>
                <w:color w:val="auto"/>
              </w:rPr>
            </w:pPr>
            <w:r>
              <w:rPr>
                <w:rFonts w:ascii="Arial" w:cs="Arial" w:eastAsia="Arial" w:hAnsi="Arial"/>
                <w:sz w:val="18"/>
                <w:szCs w:val="18"/>
                <w:color w:val="auto"/>
              </w:rPr>
              <w:t>cash</w:t>
            </w:r>
          </w:p>
        </w:tc>
        <w:tc>
          <w:tcPr>
            <w:tcW w:w="5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2017, net cash used in operating activities of $33.1 million consisted of a net loss of $43.4 million, primarily attributable to our spending on research and development programs, and $1.6 million in changes in working capital, partially offset by $11.9 million in adjustments for non-cash items. The changes in working capital consisted of $0.9 million related to an increase in prepaid expenses and other assets and $0.8 million related to an increase in accounts payable and accrued expenses, partially offset by $0.1 million related to other liabilities. The adjustments for non-cash items primarily consisted of stock-based compensation expense of $4.6 million, a non-cash loss related to the change in the fair value of our derivative and warrant liabilities of $3.1 million, non-cash interest expense of $2.2 million, amortization of debt issuance costs and debt discount of $1.6 million, and $0.4 million related to depreciation, amortization and other items.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 ended December 31, 2016, net cash used in operating activities of $29.8 million consisted of a net loss of $16.5 million, primarily attributable to changes in fair value of our derivative and warrant liabilities and our spending on research and development programs, and $16.6 million in adjustments for non-cash items, partially offset by $3.3 million in changes in working capital. The adjustments for non-cash items primarily consisted of non-cash income related to the change in the fair value of our derivative and warrant liabilities of $32.5 million, partially offset by stock-based compensation expense of $6.6 million, a loss on extinguishment of debt of $4.7 million related to the repayment of the term note issued under the Deerfield Facility Agreement, non-cash interest expense of $2.2 million, amortization of debt issuance costs and debt discount of $1.6 million, and $0.7 million related depreciation, amortization and other items. The changes in working capital consisted of $2.0 million related to a reduction in prepaid expenses and other assets, $1.1 million related to a reduction in accounts payable and accrued expenses and $0.2 million related to other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2017, net cash provided by investing activities was $27.4 million, which was primarily attributable to maturities of marketable securities of $55.0 million, partially offset by purchases of marketable securities and long-term investments of $27.4 million and purchases of property and equipment of $0.2 million.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2016, net cash used in investing activities was $45.8 million, which was primarily attributable to purchases of marketable securities and long-term investments of $89.8 million and purchases of property and equipment of $0.6 million, partially offset by maturities of marketable securities of $44.6 million.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2017, net cash used in financing activities was $203,000. Net cash consisted of a repayment of $157,000 of obligations under capital lease arrangements and payment of $50,000 of deferred offering costs; these payments were partially offset by proceeds from exercise of common stock warrants of $4,000.</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2016, net cash provided by financing activities was $61.2 million. Net cash consisted of (i) $82.8 million in proceeds, net of discounts and commissions, from the issuance of the 2021 Notes, of which we used approximately $18.6 million to repay in full the $15.0 million principal amount, accrued but unpaid interest, a make whole interest payment and a prepayment premium all related to the term note issued under the Deerfield Facility Agreement and (ii) $0.1 million in proceeds from the exercise of common stock options and warrants; partially offset by payment of $1.9 million of principal on the Deerfield Note, related to capitalized interest that was added to principal, payment of debt issuance costs of $1.0 million and payment of $0.2 million of deferred offering costs and obligations under a capital lease.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Period-to-Period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(29,772)</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(45,847)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(19,137)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61,163</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61,468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w w:val="91"/>
              </w:rPr>
              <w:t>Net (decrease) increase in cash, cash equivalents and</w:t>
            </w:r>
          </w:p>
        </w:tc>
        <w:tc>
          <w:tcPr>
            <w:tcW w:w="1020" w:type="dxa"/>
            <w:vAlign w:val="bottom"/>
            <w:gridSpan w:val="2"/>
            <w:vMerge w:val="restart"/>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89"/>
              </w:rPr>
              <w:t>(14,456)</w:t>
            </w:r>
          </w:p>
        </w:tc>
        <w:tc>
          <w:tcPr>
            <w:tcW w:w="1080" w:type="dxa"/>
            <w:vAlign w:val="bottom"/>
            <w:gridSpan w:val="2"/>
            <w:vMerge w:val="restart"/>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22,063</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(36,519)</w:t>
            </w: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0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 ended December 31, 2016, net cash used in operating activities of $29.8 million consisted of a net loss of $16.5 million, primarily attributable to changes in fair value of our derivative and warrant liabilities and our spending on research and development programs, and $16.6 million in adjustments for non-cash items, partially offset by $3.3 million in changes in working capital. The adjustments for non-cash items primarily consisted of non-cash income related to the change in the fair value of our derivative and warrant liabilities of $32.5 million, partially offset by stock-based compensation expense of $6.6 million, a loss on extinguishment of debt of $4.7 million related to the repayment of the term note issued under the Deerfield Facility Agreement, non-cash interest expense of $2.2 million, amortization of debt issuance costs and debt discount of $1.6 million, and $0.7 million related to depreciation, amortization and other items. The changes in working capital consisted of $2.0 million related to a reduction in prepaid expenses and other assets, $1.1 million related to a reduction in accounts payable and accrued expenses and $0.2 million related to other liabilities.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2015, net cash used in operating activities of $20.3 million consisted of a net loss of $54.7 million, primarily attributable to changes in fair value of our derivative and warrant liabilities and our spending on research and development programs, partially offset by $34.3 million in adjustments for non-cash items and $0.1 million in changes in working capital. The adjustments for non-cash items primarily consisted of a non-cash loss related to the change in the fair value of our derivative and warrant liabilities of $27.3 million, non-cash interest expense of $2.7 million, stock-based compensation expense of $2.4 million, and amortization of debt issuance costs and debt discount of $1.9 million. The changes in working capital consisted of $1.3 million related to a reduction in prepaid expense and other assets, partially offset by $1.2 million related to an increase in accounts payable and accrued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2016, net cash used in investing activities was $45.8 million, which was primarily attributable to purchases of marketable securities and long-term investments of $89.8 million and purchases of property and equipment of $0.6 million, partially offset by maturities of marketable securities of $44.6 million.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was $19.1 million, which was primarily attributable to the purchases of marketable securities and long-term investments of $19.0 million and purchases of property and equipment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2016, net cash provided by financing activities was $61.2 million. Net cash consisted of (i) $82.8 million in proceeds, net of discounts and commissions, from the issuance of the 2021 Notes, of which we used approximately $18.6 million to repay in full the $15.0 million principal amount, accrued but unpaid interest, a make whole interest payment and a prepayment premium all related to the term note issued under the Deerfield Facility Agreement and (ii) $0.1 million in proceeds from the exercise of common stock options and warrants; partially offset by payment of $1.9 million of principal on the Deerfield Note, related to capitalized interest that was added to principal, payment of debt issuance costs of $1.0 million and payment of $0.2 million of deferred offering costs and obligations under a capital lease.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2015, net cash provided by financing activities was $61.5 million. Net cash consisted of (i) $59.9 million in proceeds, net of underwriter's discounts, from our IPO, in which we issued and sold 5,090,909 shares of our common stock at a public offering price of $11.00 per share in April 2015, and subsequently sold an additional 763,636 shares of our common stock pursuant to the underwriters' option to purchase additional shares in May 2015, and (ii) proceeds of $4.0 million from the issuance of our Series D-1 convertible redeemable preferred stock in February 2015 and $0.5 million of proceeds related to the exercise of stock options and warrants, partially offset by payment of debt and stock issuance costs of $2.5 million and payment of deferred offering costs and other items of $0.4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not generated any revenue. We do not know when, or if, we will generate any revenue. We do not expect to generate significant revenue until we commercialize APADAZ and/or we obtain regulatory approval of and commercialize one of our product candidates. In addition, we expect our expenses to increase in connection with our ongoing development activities, particularly as we continue the research, development and clinical trials of, and seek regulatory approval for, product candidates. We also have not determined our strategy for commercializing APADAZ, and we cannot guarantee that any strategy we adopt will be successful. We also expect to continue to incur additional costs associated with operating as a public company. In addition, we expect to incur significant commercialization expenses for product sales, marketing, manufacturing and distribution of APADAZ and our product candidates, subject to obtaining regulatory approval of our product candidates. We anticipate that we will need substantial additional funding in connection with our continuing operations.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auditor's opnion on our audited financial statements for the year ended December 31, 2017, includes an explanatory paragraph stating that our recurring losses and negative operating cash flows raise substantial doubt about our ability to continue as a going concern. While we believe that we will be able to raise the capital we need to continue our operations, there can be no assurances that we will be successful in these efforts or will be able to resolve our liquidity issues or eliminate our operating losses.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upon our current operating plan, existing resources are not expected to be sufficient to fund operating expense and capital investment requirements through the first quarter of 2019. We have based our estimates on assumptions that may prove to be wrong, and we may use our available capital resources sooner than we currently expect. To meet any additional cash requirements, we may seek to sell additional equity, including pursuant to our ATM Agreement, debt financings, including potential convertible securities that may result in dilution to our stockholders, or other third-party funding, including potential strategic alliances and licensing or collaboration arrangements. We cannot guarantee that we will be able to generate sufficient proceeds from sales under our ATM Agreement or otherwise, or be successful in completing other funding transactions, to fund our operating expenses. Because of the numerous risks and uncertainties associated with the development and commercialization of products and product candidates, we are unable to estimate the amounts of increased capital outlays and operating expenditures necessary to complete the commercialization and development of any of our product or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and other product development and commercialization activities;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obtain differentiated claims in the labels for our product candidates;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 for APADAZ and our product candidates;</w:t>
      </w:r>
    </w:p>
    <w:p>
      <w:pPr>
        <w:spacing w:after="0" w:line="278"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and timing of commercialization activities, including product manufacturing, marketing, sales and distribution, for APADAZ and any of our product candidates for which we receive marketing approval;</w:t>
      </w:r>
    </w:p>
    <w:p>
      <w:pPr>
        <w:spacing w:after="0" w:line="196" w:lineRule="exact"/>
        <w:rPr>
          <w:rFonts w:ascii="Arial" w:cs="Arial" w:eastAsia="Arial" w:hAnsi="Arial"/>
          <w:sz w:val="18"/>
          <w:szCs w:val="18"/>
          <w:color w:val="auto"/>
        </w:rPr>
      </w:pPr>
    </w:p>
    <w:p>
      <w:pPr>
        <w:jc w:val="both"/>
        <w:ind w:left="460" w:hanging="223"/>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APADAZ and our product candidates for which we receive marketing approval, which may be affected by market conditions, including obtaining coverage and adequate reimbursement of APADAZ and our product candidates from third-party payors, including government programs and managed care organizations, and competition within the therapeutic class to which APADAZ and our product candidates are assigned;</w:t>
      </w:r>
    </w:p>
    <w:p>
      <w:pPr>
        <w:spacing w:after="0" w:line="212" w:lineRule="exact"/>
        <w:rPr>
          <w:rFonts w:ascii="Arial" w:cs="Arial" w:eastAsia="Arial" w:hAnsi="Arial"/>
          <w:sz w:val="18"/>
          <w:szCs w:val="18"/>
          <w:color w:val="auto"/>
        </w:rPr>
      </w:pPr>
    </w:p>
    <w:p>
      <w:pPr>
        <w:ind w:left="460" w:hanging="223"/>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96"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product candidates and technologies.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revenue, if any, will be derived from sales of APADAZ or our prodrug product candidates and we do not currently know when, if ever, APADAZ or our product candidates will be commercially available. Accordingly, we will need to continue to rely on additional financing to achieve our business objectives. Adequate additional financing may not be available to us on acceptable terms, or at all. To the extent that we raise additional capital through the sale of equity or debt, the terms of these securities or this debt may restrict our ability to operate. The Deerfield Facility Agreement includes, and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judgements on an ongoing basis. We base our estimates on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90" w:lineRule="exact"/>
        <w:rPr>
          <w:sz w:val="20"/>
          <w:szCs w:val="20"/>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contract research organizations, or CROs, in connection with preclinical and toxicology studies and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our raw materials, drug substance and product candidates; and</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expense</w:t>
            </w:r>
          </w:p>
        </w:tc>
        <w:tc>
          <w:tcPr>
            <w:tcW w:w="5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9"/>
        </w:trPr>
        <w:tc>
          <w:tcPr>
            <w:tcW w:w="4620" w:type="dxa"/>
            <w:vAlign w:val="bottom"/>
            <w:gridSpan w:val="2"/>
          </w:tcPr>
          <w:p>
            <w:pPr>
              <w:ind w:left="1140"/>
              <w:spacing w:after="0"/>
              <w:rPr>
                <w:sz w:val="20"/>
                <w:szCs w:val="20"/>
                <w:color w:val="auto"/>
              </w:rPr>
            </w:pPr>
            <w:r>
              <w:rPr>
                <w:rFonts w:ascii="Arial" w:cs="Arial" w:eastAsia="Arial" w:hAnsi="Arial"/>
                <w:sz w:val="18"/>
                <w:szCs w:val="18"/>
                <w:color w:val="auto"/>
              </w:rPr>
              <w:t>Total stock-based compensation expense</w:t>
            </w:r>
          </w:p>
        </w:tc>
        <w:tc>
          <w:tcPr>
            <w:tcW w:w="16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6,600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2,369</w:t>
            </w: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40" w:type="dxa"/>
            <w:vAlign w:val="bottom"/>
            <w:gridSpan w:val="2"/>
          </w:tcPr>
          <w:p>
            <w:pPr>
              <w:jc w:val="right"/>
              <w:ind w:right="370"/>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86" w:lineRule="exact"/>
        <w:rPr>
          <w:sz w:val="20"/>
          <w:szCs w:val="20"/>
          <w:color w:val="auto"/>
        </w:rPr>
      </w:pPr>
    </w:p>
    <w:p>
      <w:pPr>
        <w:jc w:val="both"/>
        <w:ind w:left="460" w:hanging="223"/>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IPO, as well as grants within the two-year period immediately following the IPO. For grants after the second anniversary of the IPO we utilized our historical volatility to determine the expected volatility;</w:t>
      </w:r>
    </w:p>
    <w:p>
      <w:pPr>
        <w:spacing w:after="0" w:line="218" w:lineRule="exact"/>
        <w:rPr>
          <w:rFonts w:ascii="Arial" w:cs="Arial" w:eastAsia="Arial" w:hAnsi="Arial"/>
          <w:sz w:val="18"/>
          <w:szCs w:val="18"/>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assumed dividend yield is based on our expectation of not paying dividends for the foreseeable future;</w:t>
      </w:r>
    </w:p>
    <w:p>
      <w:pPr>
        <w:spacing w:after="0" w:line="278"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218" w:lineRule="exact"/>
        <w:rPr>
          <w:rFonts w:ascii="Arial" w:cs="Arial" w:eastAsia="Arial" w:hAnsi="Arial"/>
          <w:sz w:val="18"/>
          <w:szCs w:val="18"/>
          <w:color w:val="auto"/>
        </w:rPr>
      </w:pPr>
    </w:p>
    <w:p>
      <w:pPr>
        <w:ind w:left="460" w:right="20" w:hanging="223"/>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determine the risk-free interest rate by reference to implied yields available from U.S. Treasury securities with a remaining term equal to the expected life assumed at the date of grant; and</w:t>
      </w:r>
    </w:p>
    <w:p>
      <w:pPr>
        <w:spacing w:after="0" w:line="196" w:lineRule="exact"/>
        <w:rPr>
          <w:rFonts w:ascii="Arial" w:cs="Arial" w:eastAsia="Arial" w:hAnsi="Arial"/>
          <w:sz w:val="18"/>
          <w:szCs w:val="18"/>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estimate forfeitures based on our historical analysis of actual stock option forfeitures.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account for stock-based compensation arrangements with directors and consultants that contain only service conditions for vesting using a fair value approach. The fair value of these options is measured using the Black-Scholes option pricing model reflecting the same assumptions as applied to employee options in each of the reported periods, other than the expected life, which is assumed to be the remaining contractual life of the option. For consultant and other non-employee options subject to vesting, the compensation costs of these arrangements are subject to re-measurement over the vesting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to employees for the periods indicated: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- 1.99%</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740" w:type="dxa"/>
            <w:vAlign w:val="bottom"/>
          </w:tcPr>
          <w:p>
            <w:pPr>
              <w:ind w:left="20"/>
              <w:spacing w:after="0"/>
              <w:rPr>
                <w:sz w:val="20"/>
                <w:szCs w:val="20"/>
                <w:color w:val="auto"/>
              </w:rPr>
            </w:pPr>
            <w:r>
              <w:rPr>
                <w:rFonts w:ascii="Arial" w:cs="Arial" w:eastAsia="Arial" w:hAnsi="Arial"/>
                <w:sz w:val="18"/>
                <w:szCs w:val="18"/>
                <w:color w:val="auto"/>
              </w:rPr>
              <w:t>- 7.00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880" w:type="dxa"/>
            <w:vAlign w:val="bottom"/>
          </w:tcPr>
          <w:p>
            <w:pPr>
              <w:ind w:left="20"/>
              <w:spacing w:after="0"/>
              <w:rPr>
                <w:sz w:val="20"/>
                <w:szCs w:val="20"/>
                <w:color w:val="auto"/>
              </w:rPr>
            </w:pPr>
            <w:r>
              <w:rPr>
                <w:rFonts w:ascii="Arial" w:cs="Arial" w:eastAsia="Arial" w:hAnsi="Arial"/>
                <w:sz w:val="18"/>
                <w:szCs w:val="18"/>
                <w:color w:val="auto"/>
              </w:rPr>
              <w:t>- 6.25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880" w:type="dxa"/>
            <w:vAlign w:val="bottom"/>
          </w:tcPr>
          <w:p>
            <w:pPr>
              <w:ind w:left="20"/>
              <w:spacing w:after="0"/>
              <w:rPr>
                <w:sz w:val="20"/>
                <w:szCs w:val="20"/>
                <w:color w:val="auto"/>
              </w:rPr>
            </w:pPr>
            <w:r>
              <w:rPr>
                <w:rFonts w:ascii="Arial" w:cs="Arial" w:eastAsia="Arial" w:hAnsi="Arial"/>
                <w:sz w:val="18"/>
                <w:szCs w:val="18"/>
                <w:color w:val="auto"/>
              </w:rPr>
              <w:t>- 6.25</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- 95.08%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- 94.78%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68.79%</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- 86.84%</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color w:val="auto"/>
              </w:rPr>
              <w:t>0%</w:t>
            </w:r>
          </w:p>
        </w:tc>
        <w:tc>
          <w:tcPr>
            <w:tcW w:w="1900" w:type="dxa"/>
            <w:vAlign w:val="bottom"/>
            <w:gridSpan w:val="4"/>
          </w:tcPr>
          <w:p>
            <w:pPr>
              <w:jc w:val="right"/>
              <w:ind w:right="61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61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stock price of $4.05 per share, which is the last sale price of our common stock reported on The NASDAQ Global Market as of December 29, 2017, the aggregate intrinsic value of outstanding options to purchase shares of our common stock as of December 31, 2017 and 2016, was $472,000 and $26,000, respectively, of which $29,000 as of December 31, 2017, and $26,000 as of December 31, 2016, related to vested options and $443,000 as of December 31, 2017, and $0 as of December 31, 2016, related to unvested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Exercise Price of Stock Options and the Fair Value of Common Stock on Grant Dates Prior to Our IPO</w:t>
      </w:r>
    </w:p>
    <w:p>
      <w:pPr>
        <w:spacing w:after="0" w:line="22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following table summarizes by grant date the number of shares of common stock subject to stock options granted between January 1, 2015 and March 2, 2015, as well as the associated per-share exercise price and the estimated fair value per share of our common stock on the grant date: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360"/>
              <w:spacing w:after="0"/>
              <w:rPr>
                <w:sz w:val="20"/>
                <w:szCs w:val="20"/>
                <w:color w:val="auto"/>
              </w:rPr>
            </w:pPr>
            <w:r>
              <w:rPr>
                <w:rFonts w:ascii="Arial" w:cs="Arial" w:eastAsia="Arial" w:hAnsi="Arial"/>
                <w:sz w:val="18"/>
                <w:szCs w:val="18"/>
                <w:b w:val="1"/>
                <w:bCs w:val="1"/>
                <w:color w:val="auto"/>
              </w:rPr>
              <w:t>Estimated</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Shares Underlying</w:t>
            </w:r>
          </w:p>
        </w:tc>
        <w:tc>
          <w:tcPr>
            <w:tcW w:w="80" w:type="dxa"/>
            <w:vAlign w:val="bottom"/>
          </w:tcPr>
          <w:p>
            <w:pPr>
              <w:spacing w:after="0"/>
              <w:rPr>
                <w:sz w:val="18"/>
                <w:szCs w:val="18"/>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Exercise Price</w:t>
            </w:r>
          </w:p>
        </w:tc>
        <w:tc>
          <w:tcPr>
            <w:tcW w:w="80" w:type="dxa"/>
            <w:vAlign w:val="bottom"/>
          </w:tcPr>
          <w:p>
            <w:pPr>
              <w:spacing w:after="0"/>
              <w:rPr>
                <w:sz w:val="18"/>
                <w:szCs w:val="18"/>
                <w:color w:val="auto"/>
              </w:rPr>
            </w:pPr>
          </w:p>
        </w:tc>
        <w:tc>
          <w:tcPr>
            <w:tcW w:w="1620" w:type="dxa"/>
            <w:vAlign w:val="bottom"/>
          </w:tcPr>
          <w:p>
            <w:pPr>
              <w:ind w:left="36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00" w:type="dxa"/>
            <w:vAlign w:val="bottom"/>
          </w:tcPr>
          <w:p>
            <w:pPr>
              <w:spacing w:after="0"/>
              <w:rPr>
                <w:sz w:val="20"/>
                <w:szCs w:val="20"/>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 Granted</w:t>
            </w:r>
          </w:p>
        </w:tc>
        <w:tc>
          <w:tcPr>
            <w:tcW w:w="80" w:type="dxa"/>
            <w:vAlign w:val="bottom"/>
          </w:tcPr>
          <w:p>
            <w:pPr>
              <w:spacing w:after="0"/>
              <w:rPr>
                <w:sz w:val="20"/>
                <w:szCs w:val="20"/>
                <w:color w:val="auto"/>
              </w:rPr>
            </w:pP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Per Share</w:t>
            </w:r>
          </w:p>
        </w:tc>
        <w:tc>
          <w:tcPr>
            <w:tcW w:w="80" w:type="dxa"/>
            <w:vAlign w:val="bottom"/>
          </w:tcPr>
          <w:p>
            <w:pPr>
              <w:spacing w:after="0"/>
              <w:rPr>
                <w:sz w:val="20"/>
                <w:szCs w:val="20"/>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Per Share</w:t>
            </w:r>
          </w:p>
        </w:tc>
      </w:tr>
      <w:tr>
        <w:trPr>
          <w:trHeight w:val="209"/>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2015</w:t>
            </w:r>
          </w:p>
        </w:tc>
        <w:tc>
          <w:tcPr>
            <w:tcW w:w="1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w:t>
            </w:r>
          </w:p>
        </w:tc>
        <w:tc>
          <w:tcPr>
            <w:tcW w:w="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March 2, 2015</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145,999</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8.63</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color w:val="auto"/>
              </w:rPr>
              <w:t>8.63</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setting the exercise price of the stock options at each of the grant dates management and the board of directors considered a third-party valuation in determining the exercise price of the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undertook a third-party valuation of the fair value of our common stock as of December 31, 2014, for financial reporting purposes. The estimated fair value per share of our common stock in the table above, as determined by the third-party valuation was used to measure the stock-based compensation expense for options granted.</w:t>
      </w:r>
    </w:p>
    <w:p>
      <w:pPr>
        <w:spacing w:after="0" w:line="183"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There is inherent uncertainty in these estimates and, if we had made different assumptions than those described, the fair value of the underlying common stock and amount of our stock-based compensation expense, net loss and net loss per share amounts would have differed.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819"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Common Stock Valuation Methodology—Third-Party Valuations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estimating the fair value of our common stock at December 31, 2014, given the absence of a public trading market for our common stock, and in accordance with the American Institute of Certified Public Accountants Practice Aid,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management and our third-party valuation specialists utilized the probability weighted expected return method, or PWERM, approach to</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 equity value to our common stock. The PWERM approach employs various market, income or cost approach calculations depending on the likelihood of various liquidation scenarios. For each of the various scenarios, an equity value is estimated and the rights and preferences for each class of stock are then considered to allocate the equity value to common stock. The common stock value is then multiplied by a discount factor reflecting the calculated discount rate and the timing of the event. Lastly, the common share value is multiplied by an estimated probability for each scenario. The probability and timing of each scenario are based on discussions between our board of directors and our management team. Under the PWERM, the value of our common stock was estimated based on four possible future events for our company:</w:t>
      </w:r>
    </w:p>
    <w:p>
      <w:pPr>
        <w:spacing w:after="0" w:line="179" w:lineRule="exact"/>
        <w:rPr>
          <w:sz w:val="20"/>
          <w:szCs w:val="20"/>
          <w:color w:val="auto"/>
        </w:rPr>
      </w:pPr>
    </w:p>
    <w:p>
      <w:pPr>
        <w:ind w:left="460" w:hanging="223"/>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earlier or later IPO;</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strategic merger or sale;</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remaining a private company; and</w:t>
      </w:r>
    </w:p>
    <w:p>
      <w:pPr>
        <w:spacing w:after="0" w:line="278" w:lineRule="exact"/>
        <w:rPr>
          <w:rFonts w:ascii="Arial" w:cs="Arial" w:eastAsia="Arial" w:hAnsi="Arial"/>
          <w:sz w:val="18"/>
          <w:szCs w:val="18"/>
          <w:color w:val="auto"/>
        </w:rPr>
      </w:pPr>
    </w:p>
    <w:p>
      <w:pPr>
        <w:ind w:left="460" w:hanging="223"/>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dissolution of our company.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the market approach in determining the equity value of our business for use in the early and late IPO, strategic merger or sale and remaining private scenarios. We used the cost approach to value our net assets available to common stockholders if we were forced to liquidate our assets and dissolve the company. The cost approach involves identifying our significant tangible assets and liabilities, estimating the individual current market values of each and then totaling them to derive the value of the business as a whole.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 approach estimates the fair value of a company by applying market multiples of comparable publicly traded companies and publicly disclosed data from arm’s-length strategic merger or sale transactions involving similar companies in the marketplace. We reviewed recent precedent biopharmaceutical IPOs and merger or sale transactions to develop equity value estimates for application at each measurement date. We gave consideration to differences between us and the selected guideline public companies in terms of size, anticipated profitability, market size and other critical characteristics that generally reflect an investor’s assessment of the business and financial risks inherent in our industry. In particular, we gave consideration to the fact that we had only one clinical-stage product candidate under development and that the product candidate is a chemically modified form of an existing approved drug with potential, but as yet unproven, differentiation. We also considered that this product candidate is intended to compete in a large existing market characterized by intense competition, low generic pricing and a challenging third-party reimbursement environment. In addition, we considered the size of the transaction, anticipated debt outstanding at IPO and number of employees as possible valuation proxies when comparing us with the guideline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Exercise Price of Stock Options made at Our IPO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grants made on April 15, 2015, management and the board of directors relied on our IPO price to determine the exercise price of the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Exercise Price of Stock Options after Our IPO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completion of our IPO, management and the board of directors have relied on the closing sale price of our common stock as reported on The NASDAQ Global Market on the date of grant to determine the exercise price of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common stock warrants, put options embedded within those warrants, fundamental change and make-whole interest provisions embedded within our convertible notes and put option embedded within the Deerfield Note that meet the definition of derivative financial instruments and are accounted for as derivatives. The fair value of these derivatives is based on Monte Carlo simulation models generated at each reporting period.</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derivative liability for the common stock warrants was $5.1 million and $4.2 million at December 31, 2017 and 2016, respectively. The derivative liability for the put options embedded within the common stock warrants was $0.4 million at December 31, 2017 and 2016, respectively. The derivative liability for the fundamental change and make-whole interest provisions embedded within our convertible notes was $14,000 and $6,000 at December 31, 2017 and 2016. The put option embedded within the Deerfield Note was $2.2 million at December 31, 2017 and had no value as of December 31, 2016. A 10% increase in the enterprise value would result in an increase of $0.6 million in the estimated fair value of the common stock warrants, an increase of $38,000 in the estimated fair value of the put options embedded within the common stock warrants, an increase of $4,000 in the estimated fair value of the fundamental change and make-whole interest provisions embedded within our convertible notes and an increase of $0.4 million in the estimated fair value of the put option embedded within the Deerfield Note at December 31, 2017.</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exercise of the warrants, we will adjust the associated derivative liability to fair value with any changes recorded in other (expense) income. At such time, such derivative liability will also be reclassified to additional paid-in capital, and no further revaluations will be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of Net Operating Loss Carryforwards and Research and Development Credits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had federal net operating loss, or NOL, carryforwards of approximately $137.3 million with expiration dates from 2027 to 2037. We also had research and development credit carryforwards of $3.8 million with expiration dates ranging from 2027 to 2037.</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5, 2012, President Obama signed the JOBS Act into law. The JOBS Act contains provisions that, among other things, reduce certain reporting requirements for an emerging growth company. As an emerging growth company, we may elect to adopt new or revised accounting standards when they become effective for non-public companies, which typically is later than public companies must adopt the standards. We have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2014, the Financial Accounting Standards Board, or FASB, issued guidance codified in Accounting Standards Codification, or ASC, Topic 606, </w:t>
      </w:r>
      <w:r>
        <w:rPr>
          <w:rFonts w:ascii="Arial" w:cs="Arial" w:eastAsia="Arial" w:hAnsi="Arial"/>
          <w:sz w:val="18"/>
          <w:szCs w:val="18"/>
          <w:i w:val="1"/>
          <w:iCs w:val="1"/>
          <w:color w:val="auto"/>
        </w:rPr>
        <w:t xml:space="preserve">Revenue Recognition—Revenue from Contracts with Customers, </w:t>
      </w:r>
      <w:r>
        <w:rPr>
          <w:rFonts w:ascii="Arial" w:cs="Arial" w:eastAsia="Arial" w:hAnsi="Arial"/>
          <w:sz w:val="18"/>
          <w:szCs w:val="18"/>
          <w:color w:val="auto"/>
        </w:rPr>
        <w:t>or ASC 606, which amends the guidance in former ASC 605,</w:t>
      </w:r>
      <w:r>
        <w:rPr>
          <w:rFonts w:ascii="Arial" w:cs="Arial" w:eastAsia="Arial" w:hAnsi="Arial"/>
          <w:sz w:val="18"/>
          <w:szCs w:val="18"/>
          <w:i w:val="1"/>
          <w:iCs w:val="1"/>
          <w:color w:val="auto"/>
        </w:rPr>
        <w:t xml:space="preserve"> Revenue Recognition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effective beginning January 1, 2018. We do not currently expect this standard to have a material effect on our financial statements upon adoption since we are not generating revenue at this time.</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November 2015, the FASB issued Accounting Standards Update, or ASU, 2015-17, </w:t>
      </w:r>
      <w:r>
        <w:rPr>
          <w:rFonts w:ascii="Arial" w:cs="Arial" w:eastAsia="Arial" w:hAnsi="Arial"/>
          <w:sz w:val="17"/>
          <w:szCs w:val="17"/>
          <w:i w:val="1"/>
          <w:iCs w:val="1"/>
          <w:color w:val="auto"/>
        </w:rPr>
        <w:t>Income Taxes: Balance Sheet Classification of Deferred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740)</w:t>
      </w:r>
      <w:r>
        <w:rPr>
          <w:rFonts w:ascii="Arial" w:cs="Arial" w:eastAsia="Arial" w:hAnsi="Arial"/>
          <w:sz w:val="17"/>
          <w:szCs w:val="17"/>
          <w:color w:val="auto"/>
        </w:rPr>
        <w:t>, or ASU 2015-17, which requires that deferred tax liabilities and assets be classified as noncurrent in a classified statement of financial position.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applies to all entities that present a classified statement of financial position. This guidance is effective for financial statements issued for fiscal years beginning after December 15, 2016, and interim periods within those fiscal years. The adoption of ASU 2015-17 did not have a material impact on our financial statements and disclosures as we maintain a full valuation allowance over our deferred tax liabilities and assets.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Overall – Recognition and Measurement of Financial Assets and Liabilities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825-10), </w:t>
      </w:r>
      <w:r>
        <w:rPr>
          <w:rFonts w:ascii="Arial" w:cs="Arial" w:eastAsia="Arial" w:hAnsi="Arial"/>
          <w:sz w:val="17"/>
          <w:szCs w:val="17"/>
          <w:color w:val="auto"/>
        </w:rPr>
        <w:t>or ASU 2016-01, which provides several updates related to Topic 825-10. This update applies to all entities that hold financial assets or owe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This guidance is effective for financial statements issued for fiscal years beginning after December 15, 2017, and interim periods within those fiscal years. We do not currently expect ASU 2016-01 to have a material effect on our financial statements and disclosures upon adoption.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or ASU 2016-02, which requires lessees to recognize assets and liabilities for operating leases with lease terms greater than twelve months in the balance sheet. The update also requires improved disclosures to help users of financial statements better understand the amount, timing and uncertainty of cash flows arising from leases. ASU 2016-02 is effective for fiscal years beginning after December 15, 2018, including interim periods within those fiscal years, with early adoption permitted. We are currently evaluating the impact of the adoption of ASU 2016-02 on our financial statements and disclosures.</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or ASU 2016-06, which clarifies the requirements for assessing whether contingent call and put options that can accelerate the payment of principal on debt instruments are clearly and closely related to their debt hosts. ASU 2016-06 is effective for fiscal years beginning after December 15, 2016, including interim periods within those fiscal years, with early adoption permitted. The adoption of ASU 2016-06 did not have a material impact on our financial statements and disclosures.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or ASU 2016-09, which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ASU 2016-09 is effective for fiscal years beginning after December 15, 2016, including interim periods within those fiscal years, with early adoption permitted. The adoption of ASU 2016-09 did not have a material impact on our financial statements and disclosures.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1" w:name="page92"/>
    <w:bookmarkEnd w:id="91"/>
    <w:p>
      <w:pPr>
        <w:jc w:val="both"/>
        <w:spacing w:after="0" w:line="256"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 (Topic 230)</w:t>
      </w:r>
      <w:r>
        <w:rPr>
          <w:rFonts w:ascii="Arial" w:cs="Arial" w:eastAsia="Arial" w:hAnsi="Arial"/>
          <w:sz w:val="18"/>
          <w:szCs w:val="18"/>
          <w:color w:val="auto"/>
        </w:rPr>
        <w:t>, or ASU 2016-15, which addresses eight specific cash flow issues with the objective of reducing the existing diversity in practice. This update applies to all entities that are required to present a statement of cash flows under Topic 230. This guidance is effective for financial statements issued for fiscal years beginning after December 15, 2017, and interim periods within those fiscal years. We do not currently expect ASU 2016-15 to have a material effect on our financial statements and disclosures upon adoption.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or ASU 2016-18, which addresses the treatment of restricted cash and restricted cash equivalents in the statement of cash flows. This update applies to all entities that have restricted cash or restricted cash equivalents and are required to present a statement of cash flows. This guidance is effective for financial statements issued for fiscal years beginning after December 15, 2017, and interim periods within those fiscal years. Early adoption is permitted, including adoption in an interim period. We early adopted ASU 2016-18 in the second quarter of 2017. The adoption of ASU 2016-18 reduced our net cash used in investing activities and net decrease in cash and cash equivalents on the statements of cash flows by $1.1 million for the year ended December 31, 2016, as compared to the net cash used in investing activities and net decrease in cash and cash equivalents on the statements of cash flows if we had not early adopted ASU 2016-18. This reclassification had no effect on the balance sheets, statements of operations or statements of changes in redeemable convertible preferred stock and stockholders' deficit.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w:t>
      </w:r>
      <w:r>
        <w:rPr>
          <w:rFonts w:ascii="Arial" w:cs="Arial" w:eastAsia="Arial" w:hAnsi="Arial"/>
          <w:sz w:val="18"/>
          <w:szCs w:val="18"/>
          <w:color w:val="auto"/>
        </w:rPr>
        <w:t xml:space="preserve"> 718</w:t>
      </w:r>
      <w:r>
        <w:rPr>
          <w:rFonts w:ascii="Arial" w:cs="Arial" w:eastAsia="Arial" w:hAnsi="Arial"/>
          <w:sz w:val="18"/>
          <w:szCs w:val="18"/>
          <w:i w:val="1"/>
          <w:iCs w:val="1"/>
          <w:color w:val="auto"/>
        </w:rPr>
        <w:t>) – Scope of Modification Accounting,</w:t>
      </w:r>
      <w:r>
        <w:rPr>
          <w:rFonts w:ascii="Arial" w:cs="Arial" w:eastAsia="Arial" w:hAnsi="Arial"/>
          <w:sz w:val="18"/>
          <w:szCs w:val="18"/>
          <w:color w:val="auto"/>
        </w:rPr>
        <w:t xml:space="preserve"> or ASU 2017-09, which provides guidance about which changes to the terms or conditions of a stock-based payment award require an entity to apply modification accounting in Topic 718. This update applies to any entity that changes the terms or conditions of a stock-based payment award. This guidance is effective for financial statements issued for fiscal years beginning after December 15, 2017, and interim periods within those fiscal years. We do not currently expect ASU 2017-09 to have a material effect on our financial statements and disclosures upon adoption.</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w:t>
      </w:r>
      <w:r>
        <w:rPr>
          <w:rFonts w:ascii="Arial" w:cs="Arial" w:eastAsia="Arial" w:hAnsi="Arial"/>
          <w:sz w:val="17"/>
          <w:szCs w:val="17"/>
          <w:color w:val="auto"/>
        </w:rPr>
        <w:t xml:space="preserve"> 260</w:t>
      </w:r>
      <w:r>
        <w:rPr>
          <w:rFonts w:ascii="Arial" w:cs="Arial" w:eastAsia="Arial" w:hAnsi="Arial"/>
          <w:sz w:val="17"/>
          <w:szCs w:val="17"/>
          <w:i w:val="1"/>
          <w:iCs w:val="1"/>
          <w:color w:val="auto"/>
        </w:rPr>
        <w:t>), Distinguishing Liabilities from Equity (Topic</w:t>
      </w:r>
      <w:r>
        <w:rPr>
          <w:rFonts w:ascii="Arial" w:cs="Arial" w:eastAsia="Arial" w:hAnsi="Arial"/>
          <w:sz w:val="17"/>
          <w:szCs w:val="17"/>
          <w:color w:val="auto"/>
        </w:rPr>
        <w:t xml:space="preserve"> 480</w:t>
      </w:r>
      <w:r>
        <w:rPr>
          <w:rFonts w:ascii="Arial" w:cs="Arial" w:eastAsia="Arial" w:hAnsi="Arial"/>
          <w:sz w:val="17"/>
          <w:szCs w:val="17"/>
          <w:i w:val="1"/>
          <w:iCs w:val="1"/>
          <w:color w:val="auto"/>
        </w:rPr>
        <w:t>),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w:t>
      </w:r>
      <w:r>
        <w:rPr>
          <w:rFonts w:ascii="Arial" w:cs="Arial" w:eastAsia="Arial" w:hAnsi="Arial"/>
          <w:sz w:val="17"/>
          <w:szCs w:val="17"/>
          <w:color w:val="auto"/>
        </w:rPr>
        <w:t>815</w:t>
      </w:r>
      <w:r>
        <w:rPr>
          <w:rFonts w:ascii="Arial" w:cs="Arial" w:eastAsia="Arial" w:hAnsi="Arial"/>
          <w:sz w:val="17"/>
          <w:szCs w:val="17"/>
          <w:i w:val="1"/>
          <w:iCs w:val="1"/>
          <w:color w:val="auto"/>
        </w:rPr>
        <w:t>) –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or</w:t>
      </w:r>
      <w:r>
        <w:rPr>
          <w:rFonts w:ascii="Arial" w:cs="Arial" w:eastAsia="Arial" w:hAnsi="Arial"/>
          <w:sz w:val="17"/>
          <w:szCs w:val="17"/>
          <w:i w:val="1"/>
          <w:iCs w:val="1"/>
          <w:color w:val="auto"/>
        </w:rPr>
        <w:t xml:space="preserve"> </w:t>
      </w:r>
      <w:r>
        <w:rPr>
          <w:rFonts w:ascii="Arial" w:cs="Arial" w:eastAsia="Arial" w:hAnsi="Arial"/>
          <w:sz w:val="17"/>
          <w:szCs w:val="17"/>
          <w:color w:val="auto"/>
        </w:rPr>
        <w:t>ASU 2017-11, which addresses the complexity of accounting for certain financial instruments with down round features and addresses the difficulty of navigating Topic 480 because of the existence of extensive pending content in the ASC as a result of the indefinite deferral of accounting requirements about mandatorily redeemable financial instruments of certain nonpublic entities and certain mandatorily redeemable noncontrolling interests. This update applies to all entities that issue financial instruments that include down round features and entities that present earnings per share in accordance with Topic 260. This guidance is effective for financial statements issued for fiscal years beginning after December 15, 2018, and interim periods within those fiscal years. Early adoption is permitted, including adoption in an interim period. If early adopted in an interim period, any adjustments should be reflected as of the beginning of the fiscal year that includes that interim period. We are currently evaluating the impact of the adoption of ASU 2017-11 on our financial statements and disclosures.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right="4280"/>
        <w:spacing w:after="0" w:line="281" w:lineRule="auto"/>
        <w:rPr>
          <w:sz w:val="20"/>
          <w:szCs w:val="20"/>
          <w:color w:val="auto"/>
        </w:rPr>
      </w:pPr>
      <w:r>
        <w:rPr>
          <w:rFonts w:ascii="Arial" w:cs="Arial" w:eastAsia="Arial" w:hAnsi="Arial"/>
          <w:sz w:val="18"/>
          <w:szCs w:val="18"/>
          <w:b w:val="1"/>
          <w:bCs w:val="1"/>
          <w:color w:val="auto"/>
        </w:rPr>
        <w:t>ITEM QUANTITATIVE AND QUALITATIVE DISCLOSURES ABOUT MARKET RISK 7A.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set forth beginning in Item 15 of this report and are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CONTROLS AND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2017. Based on the evaluation of our disclosure controls and procedures as of December 31, 2017, our chief executive officer and our chief financial officer concluded that, as of such date, our disclosure controls and procedures were effective at the reasonable assurance level.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w:t>
      </w:r>
    </w:p>
    <w:p>
      <w:pPr>
        <w:spacing w:after="0" w:line="1" w:lineRule="exact"/>
        <w:rPr>
          <w:sz w:val="20"/>
          <w:szCs w:val="20"/>
          <w:color w:val="auto"/>
        </w:rPr>
      </w:pPr>
    </w:p>
    <w:p>
      <w:pPr>
        <w:jc w:val="both"/>
        <w:ind w:firstLine="8"/>
        <w:spacing w:after="0" w:line="253" w:lineRule="auto"/>
        <w:tabs>
          <w:tab w:leader="none" w:pos="2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2017, the end of our most recent fiscal year.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independent registered public accounting firm has not performed an evaluation of our internal control over financial reporting during any period in accordance with the provisions of the Sarbanes-Oxley Act. For as long as we remain an "emerging growth company" as defined in the JOBS Act,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most recent fiscal quarter that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including our chief executive officer and our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9B.</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right="4580"/>
        <w:spacing w:after="0" w:line="281" w:lineRule="auto"/>
        <w:rPr>
          <w:sz w:val="20"/>
          <w:szCs w:val="20"/>
          <w:color w:val="auto"/>
        </w:rPr>
      </w:pPr>
      <w:r>
        <w:rPr>
          <w:rFonts w:ascii="Arial" w:cs="Arial" w:eastAsia="Arial" w:hAnsi="Arial"/>
          <w:sz w:val="18"/>
          <w:szCs w:val="18"/>
          <w:b w:val="1"/>
          <w:bCs w:val="1"/>
          <w:color w:val="auto"/>
        </w:rPr>
        <w:t>ITEM DIRECTORS, EXECUTIVE OFFICERS AND CORPORATE GOVERNANCE 10.</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10 will be set forth under the headings “Proposal 1 - Election of Directors,” “Executive Officers,” “Information Regarding the Board of Directors and Corporate Governance” and “Section 16(a) Beneficial Ownership Reporting Compliance” in our definitive proxy statement for our 2018 annual meeting of stockholders, or the proxy statement, and, is incorporated herein by reference.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adopted a Code of Business Conduct and Ethics, or the Code of Conduct, applicable to all of our employees, executive officers and directors. The Code of Conduct is available on our website at </w:t>
      </w:r>
      <w:r>
        <w:rPr>
          <w:rFonts w:ascii="Arial" w:cs="Arial" w:eastAsia="Arial" w:hAnsi="Arial"/>
          <w:sz w:val="18"/>
          <w:szCs w:val="18"/>
          <w:u w:val="single" w:color="auto"/>
          <w:color w:val="auto"/>
        </w:rPr>
        <w:t>www.kempharm.com</w:t>
      </w:r>
      <w:r>
        <w:rPr>
          <w:rFonts w:ascii="Arial" w:cs="Arial" w:eastAsia="Arial" w:hAnsi="Arial"/>
          <w:sz w:val="18"/>
          <w:szCs w:val="18"/>
          <w:color w:val="auto"/>
        </w:rPr>
        <w:t>. The nominating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on our website.</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will be set forth under the headings “Executive Compensation” and “Information Regarding the Board of Directors and Corporate Governance” in our proxy statement and is incorporated herein by reference.</w:t>
      </w:r>
    </w:p>
    <w:p>
      <w:pPr>
        <w:spacing w:after="0" w:line="16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SECURITY  OWNERSHIP  OF  CERTAIN  BENEFICIAL  OWNERS  AND  MANAGEMENT  AND  RELATED  STOCKHOLDER</w:t>
      </w:r>
    </w:p>
    <w:p>
      <w:pPr>
        <w:spacing w:after="0" w:line="27" w:lineRule="exact"/>
        <w:rPr>
          <w:sz w:val="20"/>
          <w:szCs w:val="20"/>
          <w:color w:val="auto"/>
        </w:rPr>
      </w:pPr>
    </w:p>
    <w:p>
      <w:pPr>
        <w:ind w:left="700" w:hanging="692"/>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MATTERS.</w:t>
      </w:r>
    </w:p>
    <w:p>
      <w:pPr>
        <w:spacing w:after="0" w:line="210"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143" w:lineRule="exact"/>
        <w:rPr>
          <w:sz w:val="20"/>
          <w:szCs w:val="20"/>
          <w:color w:val="auto"/>
        </w:rPr>
      </w:pPr>
    </w:p>
    <w:p>
      <w:pPr>
        <w:ind w:right="2620"/>
        <w:spacing w:after="0" w:line="281" w:lineRule="auto"/>
        <w:rPr>
          <w:sz w:val="20"/>
          <w:szCs w:val="20"/>
          <w:color w:val="auto"/>
        </w:rPr>
      </w:pPr>
      <w:r>
        <w:rPr>
          <w:rFonts w:ascii="Arial" w:cs="Arial" w:eastAsia="Arial" w:hAnsi="Arial"/>
          <w:sz w:val="18"/>
          <w:szCs w:val="18"/>
          <w:b w:val="1"/>
          <w:bCs w:val="1"/>
          <w:color w:val="auto"/>
        </w:rPr>
        <w:t>ITEM CERTAIN RELATIONSHIPS AND RELATED TRANSACTIONS, AND DIRECTOR INDEPENDENCE 13.</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will be set forth under the headings “Information Regarding the Board of Directors and Corporate Governance” and “Transactions with Related Persons” in the proxy statement and is incorporated herein by reference.</w:t>
      </w:r>
    </w:p>
    <w:p>
      <w:pPr>
        <w:spacing w:after="0" w:line="16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PRINCIPAL ACCOUNTING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will be set forth under the headings “Proposal 2 - Ratification of Selection of Independent Registered Public Accounting Firm” in the proxy statement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jc w:val="center"/>
              <w:ind w:left="270"/>
              <w:spacing w:after="0"/>
              <w:rPr>
                <w:sz w:val="20"/>
                <w:szCs w:val="20"/>
                <w:color w:val="auto"/>
              </w:rPr>
            </w:pPr>
            <w:r>
              <w:rPr>
                <w:rFonts w:ascii="Arial" w:cs="Arial" w:eastAsia="Arial" w:hAnsi="Arial"/>
                <w:sz w:val="18"/>
                <w:szCs w:val="18"/>
                <w:b w:val="1"/>
                <w:bCs w:val="1"/>
                <w:color w:val="auto"/>
              </w:rPr>
              <w:t>PART IV</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50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7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EXHIBITS AND FINANCIAL STATEMENT SCHEDULES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rPr>
              <w:t>15.</w:t>
            </w:r>
          </w:p>
        </w:tc>
        <w:tc>
          <w:tcPr>
            <w:tcW w:w="9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260" w:type="dxa"/>
            <w:vAlign w:val="bottom"/>
            <w:gridSpan w:val="4"/>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2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1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Balance Sheets as of December 31, 2017 and 2016</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89"/>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for the years ended December 31, 2017, 2016 and 2015</w:t>
            </w:r>
          </w:p>
        </w:tc>
        <w:tc>
          <w:tcPr>
            <w:tcW w:w="1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40" w:type="dxa"/>
            <w:vAlign w:val="bottom"/>
          </w:tcPr>
          <w:p>
            <w:pPr>
              <w:spacing w:after="0" w:line="201" w:lineRule="exact"/>
              <w:rPr>
                <w:sz w:val="20"/>
                <w:szCs w:val="20"/>
                <w:color w:val="auto"/>
              </w:rPr>
            </w:pPr>
            <w:r>
              <w:rPr>
                <w:rFonts w:ascii="Arial" w:cs="Arial" w:eastAsia="Arial" w:hAnsi="Arial"/>
                <w:sz w:val="18"/>
                <w:szCs w:val="18"/>
                <w:color w:val="auto"/>
                <w:w w:val="92"/>
              </w:rPr>
              <w:t>Statements of Changes in Redeemable Convertible Preferred Stock and Stockholders’ Deficit for the years ended December 31,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00" w:type="dxa"/>
            <w:vAlign w:val="bottom"/>
            <w:gridSpan w:val="2"/>
          </w:tcPr>
          <w:p>
            <w:pPr>
              <w:ind w:left="60"/>
              <w:spacing w:after="0"/>
              <w:rPr>
                <w:sz w:val="20"/>
                <w:szCs w:val="20"/>
                <w:color w:val="auto"/>
              </w:rPr>
            </w:pPr>
            <w:r>
              <w:rPr>
                <w:rFonts w:ascii="Arial" w:cs="Arial" w:eastAsia="Arial" w:hAnsi="Arial"/>
                <w:sz w:val="18"/>
                <w:szCs w:val="18"/>
                <w:color w:val="auto"/>
              </w:rPr>
              <w:t>2017, 2016 and 2015</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 for the years ended December 31, 2017, 2016 and 2015</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3"/>
              </w:rPr>
              <w:t>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9440" w:type="dxa"/>
            <w:vAlign w:val="bottom"/>
          </w:tcPr>
          <w:p>
            <w:pPr>
              <w:ind w:left="60"/>
              <w:spacing w:after="0"/>
              <w:rPr>
                <w:sz w:val="20"/>
                <w:szCs w:val="20"/>
                <w:color w:val="auto"/>
              </w:rPr>
            </w:pPr>
            <w:r>
              <w:rPr>
                <w:rFonts w:ascii="Arial" w:cs="Arial" w:eastAsia="Arial" w:hAnsi="Arial"/>
                <w:sz w:val="18"/>
                <w:szCs w:val="18"/>
                <w:i w:val="1"/>
                <w:iCs w:val="1"/>
                <w:color w:val="auto"/>
              </w:rPr>
              <w:t>Financial Statement Schedules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700" w:type="dxa"/>
            <w:vAlign w:val="bottom"/>
            <w:gridSpan w:val="3"/>
          </w:tcPr>
          <w:p>
            <w:pPr>
              <w:ind w:left="40"/>
              <w:spacing w:after="0"/>
              <w:rPr>
                <w:sz w:val="20"/>
                <w:szCs w:val="20"/>
                <w:color w:val="auto"/>
              </w:rPr>
            </w:pPr>
            <w:r>
              <w:rPr>
                <w:rFonts w:ascii="Arial" w:cs="Arial" w:eastAsia="Arial" w:hAnsi="Arial"/>
                <w:sz w:val="18"/>
                <w:szCs w:val="18"/>
                <w:color w:val="auto"/>
                <w:w w:val="92"/>
              </w:rPr>
              <w:t>All other schedules are omitted because they are not required or the required information is included in the financial statements or notes thereto.</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9440" w:type="dxa"/>
            <w:vAlign w:val="bottom"/>
          </w:tcPr>
          <w:p>
            <w:pPr>
              <w:ind w:left="60"/>
              <w:spacing w:after="0"/>
              <w:rPr>
                <w:sz w:val="20"/>
                <w:szCs w:val="20"/>
                <w:color w:val="auto"/>
              </w:rPr>
            </w:pPr>
            <w:r>
              <w:rPr>
                <w:rFonts w:ascii="Arial" w:cs="Arial" w:eastAsia="Arial" w:hAnsi="Arial"/>
                <w:sz w:val="18"/>
                <w:szCs w:val="18"/>
                <w:i w:val="1"/>
                <w:iCs w:val="1"/>
                <w:color w:val="auto"/>
              </w:rPr>
              <w:t>Exhibits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report.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2"/>
          </w:tcPr>
          <w:p>
            <w:pPr>
              <w:jc w:val="right"/>
              <w:ind w:right="4370"/>
              <w:spacing w:after="0"/>
              <w:rPr>
                <w:sz w:val="20"/>
                <w:szCs w:val="20"/>
                <w:color w:val="auto"/>
              </w:rPr>
            </w:pPr>
            <w:r>
              <w:rPr>
                <w:rFonts w:ascii="Arial" w:cs="Arial" w:eastAsia="Arial" w:hAnsi="Arial"/>
                <w:sz w:val="18"/>
                <w:szCs w:val="18"/>
                <w:color w:val="auto"/>
              </w:rPr>
              <w:t>95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80" w:right="139" w:bottom="1440" w:gutter="0" w:footer="0" w:header="0"/>
        </w:sectPr>
      </w:pPr>
    </w:p>
    <w:bookmarkStart w:id="96" w:name="page97"/>
    <w:bookmarkEnd w:id="9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KemPharm,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balance sheet of KemPharm, Inc. (the Company) as of December 31, 2017, the related statements of operations, changes in redeemable convertible preferred stock and stockholders’ deficit and cash flows, for the year then ended, and the related notes (collectively, the financial statements). In our opinion, the financial statements present fairly, in all material respects, the financial position of the Company as of December 31, 2017, and the results of its operations and its cash flows for the year then ended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 Regarding Going Concern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A to the financial statements, the Company has recurring losses from operations, negative operating cash flows, and a stockholders’ deficit and its existing cash and cash equivalents, restricted cash, marketable securities, trade date receivables and long-term investments are not sufficient to fund the Company’s operating expenses and capital expenditure requirements for at least one year from the auditor report date. This raises substantial doubt about the Company’s ability to continue as a going concern. Management’s plans in regard to these matters are also described in Note A.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7" w:name="page98"/>
    <w:bookmarkEnd w:id="9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KemPharm,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 of KemPharm, Inc. as of December 31, 2016, and the related statements of operations, changes in redeemable convertible preferred stock and stockholders’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KemPharm, Inc. at December 31, 2016, and the results of its operations and its cash flows for each of the two years in the period ended December 31, 2016, in conformity with U.S. generally accepted accounting principles.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2017</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except for the effects of the retrospective adoption of Accounting Standards Update 2016-18 discussed in Note A, </w:t>
      </w:r>
      <w:r>
        <w:rPr>
          <w:rFonts w:ascii="Arial" w:cs="Arial" w:eastAsia="Arial" w:hAnsi="Arial"/>
          <w:sz w:val="16"/>
          <w:szCs w:val="16"/>
          <w:i w:val="1"/>
          <w:iCs w:val="1"/>
          <w:color w:val="auto"/>
        </w:rPr>
        <w:t>Reclassifications</w:t>
      </w:r>
      <w:r>
        <w:rPr>
          <w:rFonts w:ascii="Arial" w:cs="Arial" w:eastAsia="Arial" w:hAnsi="Arial"/>
          <w:sz w:val="16"/>
          <w:szCs w:val="16"/>
          <w:color w:val="auto"/>
        </w:rPr>
        <w:t>, as to which the date 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09"/>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09"/>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10,871</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16,762</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51,003</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Trade date receivables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5,003</w:t>
            </w:r>
          </w:p>
        </w:tc>
      </w:tr>
      <w:tr>
        <w:trPr>
          <w:trHeight w:val="216"/>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09"/>
        </w:trPr>
        <w:tc>
          <w:tcPr>
            <w:tcW w:w="79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46,996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74,357</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8,200</w:t>
            </w:r>
          </w:p>
        </w:tc>
      </w:tr>
      <w:tr>
        <w:trPr>
          <w:trHeight w:val="216"/>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09"/>
        </w:trPr>
        <w:tc>
          <w:tcPr>
            <w:tcW w:w="796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52,456</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84,887</w:t>
            </w: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7,875</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6,444</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convertible notes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16"/>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09"/>
        </w:trPr>
        <w:tc>
          <w:tcPr>
            <w:tcW w:w="79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6,642</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less current portion, net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91,170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Derivative and warrant liability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4,618</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less current portion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209"/>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109,972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103,583</w:t>
            </w:r>
          </w:p>
        </w:tc>
      </w:tr>
      <w:tr>
        <w:trPr>
          <w:trHeight w:val="209"/>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G)</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1"/>
        </w:trPr>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9"/>
              </w:rPr>
              <w:t>Common stock, $0.0001 par value, 250,000,000 shares authorized, 14,657,430 shares issued and</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7960" w:type="dxa"/>
            <w:vAlign w:val="bottom"/>
          </w:tcPr>
          <w:p>
            <w:pPr>
              <w:ind w:left="160"/>
              <w:spacing w:after="0"/>
              <w:rPr>
                <w:sz w:val="20"/>
                <w:szCs w:val="20"/>
                <w:color w:val="auto"/>
              </w:rPr>
            </w:pPr>
            <w:r>
              <w:rPr>
                <w:rFonts w:ascii="Arial" w:cs="Arial" w:eastAsia="Arial" w:hAnsi="Arial"/>
                <w:sz w:val="18"/>
                <w:szCs w:val="18"/>
                <w:color w:val="auto"/>
                <w:w w:val="90"/>
              </w:rPr>
              <w:t>outstanding as of December 31, 2017; 14,646,982 shares issued and outstanding as of December 31, 2016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102,643</w:t>
            </w:r>
          </w:p>
        </w:tc>
      </w:tr>
      <w:tr>
        <w:trPr>
          <w:trHeight w:val="201"/>
        </w:trPr>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3"/>
              </w:rPr>
              <w:t>Preferred stock, $0.0001 par value, 10,000,000 shares authorized, no shares issued or outstanding as of</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7960" w:type="dxa"/>
            <w:vAlign w:val="bottom"/>
          </w:tcPr>
          <w:p>
            <w:pPr>
              <w:ind w:left="160"/>
              <w:spacing w:after="0"/>
              <w:rPr>
                <w:sz w:val="20"/>
                <w:szCs w:val="20"/>
                <w:color w:val="auto"/>
              </w:rPr>
            </w:pPr>
            <w:r>
              <w:rPr>
                <w:rFonts w:ascii="Arial" w:cs="Arial" w:eastAsia="Arial" w:hAnsi="Arial"/>
                <w:sz w:val="18"/>
                <w:szCs w:val="18"/>
                <w:color w:val="auto"/>
              </w:rPr>
              <w:t>December 31, 2017 or December 31, 2016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(121,340)</w:t>
            </w:r>
          </w:p>
        </w:tc>
      </w:tr>
      <w:tr>
        <w:trPr>
          <w:trHeight w:val="209"/>
        </w:trPr>
        <w:tc>
          <w:tcPr>
            <w:tcW w:w="7960" w:type="dxa"/>
            <w:vAlign w:val="bottom"/>
          </w:tcPr>
          <w:p>
            <w:pPr>
              <w:ind w:left="340"/>
              <w:spacing w:after="0"/>
              <w:rPr>
                <w:sz w:val="20"/>
                <w:szCs w:val="20"/>
                <w:color w:val="auto"/>
              </w:rPr>
            </w:pPr>
            <w:r>
              <w:rPr>
                <w:rFonts w:ascii="Arial" w:cs="Arial" w:eastAsia="Arial" w:hAnsi="Arial"/>
                <w:sz w:val="18"/>
                <w:szCs w:val="18"/>
                <w:color w:val="auto"/>
              </w:rPr>
              <w:t>Total stockholders' deficit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(57,516)</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(18,696)</w:t>
            </w:r>
          </w:p>
        </w:tc>
      </w:tr>
      <w:tr>
        <w:trPr>
          <w:trHeight w:val="249"/>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84,887</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13,931</w:t>
            </w:r>
          </w:p>
        </w:tc>
      </w:tr>
      <w:tr>
        <w:trPr>
          <w:trHeight w:val="216"/>
        </w:trPr>
        <w:tc>
          <w:tcPr>
            <w:tcW w:w="60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8,883</w:t>
            </w:r>
          </w:p>
        </w:tc>
      </w:tr>
      <w:tr>
        <w:trPr>
          <w:trHeight w:val="216"/>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Severance expense</w:t>
            </w:r>
          </w:p>
        </w:tc>
        <w:tc>
          <w:tcPr>
            <w:tcW w:w="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0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33,366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37,482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22,814</w:t>
            </w:r>
          </w:p>
        </w:tc>
      </w:tr>
      <w:tr>
        <w:trPr>
          <w:trHeight w:val="209"/>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260"/>
              <w:spacing w:after="0"/>
              <w:rPr>
                <w:sz w:val="20"/>
                <w:szCs w:val="20"/>
                <w:color w:val="auto"/>
              </w:rPr>
            </w:pPr>
            <w:r>
              <w:rPr>
                <w:rFonts w:ascii="Arial" w:cs="Arial" w:eastAsia="Arial" w:hAnsi="Arial"/>
                <w:sz w:val="18"/>
                <w:szCs w:val="18"/>
                <w:color w:val="auto"/>
                <w:w w:val="94"/>
              </w:rPr>
              <w:t>Interest expense related to amortization of debt issuance costs and discount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16"/>
        </w:trPr>
        <w:tc>
          <w:tcPr>
            <w:tcW w:w="6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on principal</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16"/>
        </w:trPr>
        <w:tc>
          <w:tcPr>
            <w:tcW w:w="6040" w:type="dxa"/>
            <w:vAlign w:val="bottom"/>
          </w:tcPr>
          <w:p>
            <w:pPr>
              <w:ind w:left="26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(27,276)</w:t>
            </w:r>
          </w:p>
        </w:tc>
      </w:tr>
      <w:tr>
        <w:trPr>
          <w:trHeight w:val="216"/>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and other income, net</w:t>
            </w:r>
          </w:p>
        </w:tc>
        <w:tc>
          <w:tcPr>
            <w:tcW w:w="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09"/>
        </w:trPr>
        <w:tc>
          <w:tcPr>
            <w:tcW w:w="6040" w:type="dxa"/>
            <w:vAlign w:val="bottom"/>
          </w:tcPr>
          <w:p>
            <w:pPr>
              <w:ind w:left="500"/>
              <w:spacing w:after="0"/>
              <w:rPr>
                <w:sz w:val="20"/>
                <w:szCs w:val="20"/>
                <w:color w:val="auto"/>
              </w:rPr>
            </w:pPr>
            <w:r>
              <w:rPr>
                <w:rFonts w:ascii="Arial" w:cs="Arial" w:eastAsia="Arial" w:hAnsi="Arial"/>
                <w:sz w:val="18"/>
                <w:szCs w:val="18"/>
                <w:color w:val="auto"/>
              </w:rPr>
              <w:t>Total other (expense) income</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20,951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(31,824)</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(54,664)</w:t>
            </w:r>
          </w:p>
        </w:tc>
      </w:tr>
      <w:tr>
        <w:trPr>
          <w:trHeight w:val="196"/>
        </w:trPr>
        <w:tc>
          <w:tcPr>
            <w:tcW w:w="60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4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14,652,898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14,597,053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7,368,681</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CHANGES IN REDEEMABLE CONVERTIBLE PREFERRED STOCK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w w:val="90"/>
              </w:rPr>
              <w:t>Redeemable Convertible Preferred Stock</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100"/>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Series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3060" w:type="dxa"/>
            <w:vAlign w:val="bottom"/>
            <w:gridSpan w:val="9"/>
          </w:tcPr>
          <w:p>
            <w:pPr>
              <w:ind w:left="20"/>
              <w:spacing w:after="0"/>
              <w:rPr>
                <w:sz w:val="20"/>
                <w:szCs w:val="20"/>
                <w:color w:val="auto"/>
              </w:rPr>
            </w:pPr>
            <w:r>
              <w:rPr>
                <w:rFonts w:ascii="Arial" w:cs="Arial" w:eastAsia="Arial" w:hAnsi="Arial"/>
                <w:sz w:val="18"/>
                <w:szCs w:val="18"/>
                <w:b w:val="1"/>
                <w:bCs w:val="1"/>
                <w:color w:val="auto"/>
                <w:w w:val="92"/>
              </w:rPr>
              <w:t>Preferred  Accumulated Stockholders'</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D-1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5"/>
        </w:trPr>
        <w:tc>
          <w:tcPr>
            <w:tcW w:w="13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Balance as of</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24,207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Exercise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and warrants</w:t>
            </w: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Series D-1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preferred stock</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Issuance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w w:val="99"/>
              </w:rPr>
              <w:t>common stock</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in connection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with IPO, net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of discounts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and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59,891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59,892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2013 warrants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Conversion</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of preferred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stock into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w w:val="99"/>
              </w:rPr>
              <w:t>common stock</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upon IPO</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(11,892)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(5,659)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(28,207)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28,207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28,207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Offering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charged to</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60" w:type="dxa"/>
            <w:vAlign w:val="bottom"/>
          </w:tcPr>
          <w:p>
            <w:pPr>
              <w:spacing w:after="0" w:line="195" w:lineRule="exact"/>
              <w:rPr>
                <w:sz w:val="20"/>
                <w:szCs w:val="20"/>
                <w:color w:val="auto"/>
              </w:rPr>
            </w:pPr>
            <w:r>
              <w:rPr>
                <w:rFonts w:ascii="Arial" w:cs="Arial" w:eastAsia="Arial" w:hAnsi="Arial"/>
                <w:sz w:val="18"/>
                <w:szCs w:val="18"/>
                <w:color w:val="auto"/>
              </w:rPr>
              <w:t>Balance as of</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December 31,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94,702</w:t>
            </w:r>
          </w:p>
        </w:tc>
        <w:tc>
          <w:tcPr>
            <w:tcW w:w="100" w:type="dxa"/>
            <w:vAlign w:val="bottom"/>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8"/>
              </w:rPr>
              <w:t>(104,824)</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2015</w:t>
            </w:r>
          </w:p>
        </w:tc>
        <w:tc>
          <w:tcPr>
            <w:tcW w:w="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Stock-based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Exercise of</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warrants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Write-off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Balance as of</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6"/>
              </w:rPr>
              <w:t>102,643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(121,340)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0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360" w:type="dxa"/>
            <w:vAlign w:val="bottom"/>
          </w:tcPr>
          <w:p>
            <w:pPr>
              <w:ind w:left="160"/>
              <w:spacing w:after="0" w:line="201" w:lineRule="exact"/>
              <w:rPr>
                <w:sz w:val="20"/>
                <w:szCs w:val="20"/>
                <w:color w:val="auto"/>
              </w:rPr>
            </w:pPr>
            <w:r>
              <w:rPr>
                <w:rFonts w:ascii="Arial" w:cs="Arial" w:eastAsia="Arial" w:hAnsi="Arial"/>
                <w:sz w:val="18"/>
                <w:szCs w:val="18"/>
                <w:color w:val="auto"/>
              </w:rPr>
              <w:t>Exercise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160"/>
              <w:spacing w:after="0"/>
              <w:rPr>
                <w:sz w:val="20"/>
                <w:szCs w:val="20"/>
                <w:color w:val="auto"/>
              </w:rPr>
            </w:pPr>
            <w:r>
              <w:rPr>
                <w:rFonts w:ascii="Arial" w:cs="Arial" w:eastAsia="Arial" w:hAnsi="Arial"/>
                <w:sz w:val="18"/>
                <w:szCs w:val="18"/>
                <w:color w:val="auto"/>
              </w:rPr>
              <w:t>and warrants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Balance as of</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6"/>
              </w:rPr>
              <w:t>107,209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(164,726)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0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823" w:right="219" w:bottom="523"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09"/>
        </w:trPr>
        <w:tc>
          <w:tcPr>
            <w:tcW w:w="6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(43,386)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(16,516)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(54,664)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 of deferred offering costs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2,369</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expense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Amortization of debt issuance costs and debt discount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1,909</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Fair value adjustment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27,276</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sublease and disposal of fixed assets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Change in assets and liabilities: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60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16"/>
        </w:trPr>
        <w:tc>
          <w:tcPr>
            <w:tcW w:w="6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(20,268)</w:t>
            </w:r>
          </w:p>
        </w:tc>
      </w:tr>
      <w:tr>
        <w:trPr>
          <w:trHeight w:val="209"/>
        </w:trPr>
        <w:tc>
          <w:tcPr>
            <w:tcW w:w="6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Purchases of marketable securities and long-term investments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(19,002)</w:t>
            </w:r>
          </w:p>
        </w:tc>
      </w:tr>
      <w:tr>
        <w:trPr>
          <w:trHeight w:val="22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4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54,971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27,412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(19,137)</w:t>
            </w:r>
          </w:p>
        </w:tc>
      </w:tr>
      <w:tr>
        <w:trPr>
          <w:trHeight w:val="209"/>
        </w:trPr>
        <w:tc>
          <w:tcPr>
            <w:tcW w:w="6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 net of discounts and commissions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Repayment of term notes and related accrued interest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Payment of principal on convertible notes arising from capitalized interest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and stock issuance costs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Repayment of obligations under capital lease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and warrants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6"/>
              </w:rPr>
              <w:t>Proceeds from issuance of Series D-1 redeemable convertible preferred stock</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discounts and commissions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59,892</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Proceeds from exercise of Series D preferred stock warrants</w:t>
            </w:r>
          </w:p>
        </w:tc>
        <w:tc>
          <w:tcPr>
            <w:tcW w:w="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61,163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61,468</w:t>
            </w: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22,063</w:t>
            </w:r>
          </w:p>
        </w:tc>
      </w:tr>
      <w:tr>
        <w:trPr>
          <w:trHeight w:val="21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4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17,862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10,255</w:t>
            </w: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11,971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17,862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32,318</w:t>
            </w: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Trade date receivables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financed under a lease agreement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Transfer of warrants to equity upon exercise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7"/>
              </w:rPr>
              <w:t>Property and equipment included in accounts payable and accrued expenses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8"/>
              </w:rPr>
              <w:t>Deferred offering costs included in accounts payable and accrued expenses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9"/>
              </w:rPr>
              <w:t>Conversion of preferred stock into common stock upon initial public offering</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Unpaid offering costs charged to equity</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3,276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2013 warrants to equity</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49" w:lineRule="exact"/>
        <w:rPr>
          <w:sz w:val="20"/>
          <w:szCs w:val="20"/>
          <w:color w:val="auto"/>
        </w:rPr>
      </w:pPr>
    </w:p>
    <w:p>
      <w:pPr>
        <w:ind w:left="700" w:hanging="692"/>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KemPharm, Inc. (the “Company”) is a specialty pharmaceutical company focused on the discovery and development of proprietary prodrugs to treat serious medical conditions through its Ligand Activated Therapy ("LAT") platform technology. The Company utilizes its proprietary LAT platform technology to generate improved prodrug versions of U.S. Food and Drug Administration (the "FDA") approved drugs in the high need areas of attention deficit hyperactivity disorder ("ADHD"), pain and other central nervous system ("CNS") disorders. The Company was formed and incorporated in Iowa on October 30, 2006 and reorganized in Delaware on May 30,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have been prepared on a going concern basis which assumes that the Company will be able to realize its assets and discharge its liabilities in the normal course of business for the foreseeable future. The Company has experienced recurring losses from operations, stockholders' deficit and negative operating cash flows due to its ongoing research and development of its product and product candidates. The Company also has an accumulated deficit as of December 31, 2017. Various internal and external factors will affect whether and when product candidates become approved drugs and how significant the market share of those approved products will be. The length of time and cost of developing and commercializing these product and product candidates and/or failure of them at any stage of the drug approval or commercialization process will materially affect the Company’s financial condition and future operations.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these conditions raise substantial doubt about the Company’s ability to continue as a going concern within the twelve months after the date these financial statements are issued. The ability to continue as a going concern is dependent upon profitable future operations, positive cash flows and additional financing.</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intends to finance operating costs over the next twelve months with existing cash and cash equivalents, marketable securities and trade date receivables, as well as, financing through the Company's active registration statement on Form S-3 covering the sale of up to $150.0 million of the Company's common stock, preferred stock, and debt and/or warrants. The registration statement on Form S-3 included a prospectus covering the offering up to $20,000,000 of shares of common stock through an "at-the-market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Reverse Stock Split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2015, the Company completed an initial public offering ("IPO") of its common stock. Prior to the commencement of the IPO, the Company effected a 1-for-7.5 reverse stock split of its issued common stock. All applicable share data, per share amounts and related information in the financial statements and notes thereto have been retroactively adjusted to give effect to this reverse stock split. Upon completion of the IPO, all outstanding shares of the Company’s redeemable convertible preferred stock were converted or reclassified into shares of common stock and all outstanding warrants to acquire shares of the Company’s redeemable convertible preferred stock became warrants to acquire the Company’s common stock. In connection with the IPO, the Company amended and restated its Amended and Restated Certificate of Incorporation to change the authorized capital stock to 250,000,000 shares, designated as common stock, and 10,000,000 shares, designated as preferred stock, each with a par value of $0.0001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current year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second quarter of 2017, the Company early adopted Accounting Standards Update ("ASU") 2016-18, </w:t>
      </w:r>
      <w:r>
        <w:rPr>
          <w:rFonts w:ascii="Arial" w:cs="Arial" w:eastAsia="Arial" w:hAnsi="Arial"/>
          <w:sz w:val="18"/>
          <w:szCs w:val="18"/>
          <w:i w:val="1"/>
          <w:iCs w:val="1"/>
          <w:color w:val="auto"/>
        </w:rPr>
        <w:t>Statement of Cash Flows (Topic</w:t>
      </w:r>
      <w:r>
        <w:rPr>
          <w:rFonts w:ascii="Arial" w:cs="Arial" w:eastAsia="Arial" w:hAnsi="Arial"/>
          <w:sz w:val="18"/>
          <w:szCs w:val="18"/>
          <w:color w:val="auto"/>
        </w:rPr>
        <w:t xml:space="preserve"> 230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(“ASU 2016-18”), which addresses the treatment of restricted cash and restricted cash equivalents in the statement of cash flows.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ASU 2016-18 reduced the Company’s net cash used in investing activities and net decrease in cash and cash equivalents on the statements of cash flows by $1.1 million for the year ended December 31, 2016, as compared to the net cash used in investing activities and net decrease in cash and cash equivalents on the statements of cash flows if the Company had not early adopted ASU 2016-18. This reclassification had no effect on the balance sheets, statements of operations or statements of changes in redeemable convertible preferred stock and stockholders' deficit. The Company did not have restricted cash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ATM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3, 2016, the Company entered into a Common Stock Sales Agreement (the “ATM Agreement”) with Cowen and Company, LLC (“Cowen”) under which the Company may offer and sell, from time to time, in its sole discretion, shares of common stock having an aggregate offering price of up to $50,000,000 through Cowen as the Company's sales agent. The Company’s registration statement on Form S-3 contemplated under the ATM Agreement was declared effective by the U.S. Securities and Exchange Commission ("SEC") on October 17, 2016. The registration statement on Form S-3 included a prospectus covering the offering up to $20,000,000 of shares of common stock in accordance with the ATM Agreement.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Cowen may sell common stock under the ATM Agreement by any method permitted by law deemed to be an “at the market offering” as defined in Rule 415 of the Securities Act or 1933, as amended ("Securities Act"), including without limitation sales made by means of ordinary brokers’ transactions on The NASDAQ Global Market or otherwise at market prices prevailing at the time of sale, in block transactions, or as otherwise directed by the Company. Cowen will use commercially reasonable efforts to sell the common stock from time to time, based upon instructions from the Company (including any price, time or size limits or other customary parameters or conditions the Company may impose). The Company will pay Cowen a commission of up to three percent (3.0%) of the gross sales proceeds of any common stock sold through Cowen under the ATM Agreement, and also has provided Cowen with customary indemnification rights.</w:t>
      </w:r>
    </w:p>
    <w:p>
      <w:pPr>
        <w:spacing w:after="0" w:line="19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is not obligated to make any sales of common stock under the ATM Agreement. The offering of shares of common stock pursuant to the ATM Agreement will terminate upon the earlier of (i) the sale of all common stock subject to the ATM Agreement, or (ii) termination of the ATM Agreement in</w:t>
      </w:r>
    </w:p>
    <w:p>
      <w:pPr>
        <w:sectPr>
          <w:pgSz w:w="11900" w:h="16838" w:orient="portrait"/>
          <w:cols w:equalWidth="0" w:num="1">
            <w:col w:w="11420"/>
          </w:cols>
          <w:pgMar w:left="240" w:top="580" w:right="239" w:bottom="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accordance with its terms. As of December 31, 2017, the Company had deferred offering costs recorded within other long-term assets in the amount of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March 28, 2018, the Company has sold 446,111 shares of common stock under the ATM Agreement, resulting in gross proceeds of $2.9 million.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ind w:left="700" w:hanging="692"/>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the Company to make estimates and assumptions that affect the amounts reported in the financial statements and accompanying notes. Actual results could differ from those estimates.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an ongoing basis, the Company evaluates its estimates, including those related to the useful lives of property and equipment,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which frequently exceed insured limits.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Long-term Investments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investment securities that are classified as trading securities. These securities are carried at fair value with unrealized gains and losses included in other (expense) income on the statements of operations. The securities primarily consist of certificates of deposit, U.S. Treasury securities and U.S. government-sponsored agency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issuance costs incurred in connection with financing arrangements are amortized over the life of the respective financing arrangement using the effective interest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supply arrangements for the supply of components of its product and product candidates. These arrangements also may include a share of future revenue if related product or product candidates reach commercialization. Costs under these supply arrangements, if any, are expensed as incurred (Note 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2017, 2016 or 2015.</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5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Patent costs, including related legal costs, are expensed as incurred and recorded within general and administrative expenses on the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2017 and 2016.</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2013, although carryforward attributes that were generated prior to 2013 may still be adjusted upon examination by the Internal Revenue Service if used in a future period. No income tax returns are currently under examination by taxing authorities.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 The value of non-employee stock-based compensation is subject to periodic adjustments as the underlying equity instruments vest and is recognized as an expense over the term of the related financing or the period over which services are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redeemable convertible preferred stock are entitled to participate in distributions, when and if declared by the board of directors, that are made to common stockholders and, as a result, are considered participating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All assets of the Company were held in the United States as of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5, 2012, President Obama signed the Jump-Start Our Business Startups Act (the “JOBS Act”)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public companies must adopt the standards. The Company has elected not to take advantage of the extended transition period afforded by the JOBS Act and, as a result, will comply with new or revised accounting standards on the relevant dates on which adoption of such standards is required for non-emerging growth companies.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Income Taxes: Balance Sheet Classification of Deferred Taxes (Topic</w:t>
      </w:r>
      <w:r>
        <w:rPr>
          <w:rFonts w:ascii="Arial" w:cs="Arial" w:eastAsia="Arial" w:hAnsi="Arial"/>
          <w:sz w:val="17"/>
          <w:szCs w:val="17"/>
          <w:color w:val="auto"/>
        </w:rPr>
        <w:t xml:space="preserve"> 740</w:t>
      </w:r>
      <w:r>
        <w:rPr>
          <w:rFonts w:ascii="Arial" w:cs="Arial" w:eastAsia="Arial" w:hAnsi="Arial"/>
          <w:sz w:val="17"/>
          <w:szCs w:val="17"/>
          <w:i w:val="1"/>
          <w:iCs w:val="1"/>
          <w:color w:val="auto"/>
        </w:rPr>
        <w:t>)</w:t>
      </w:r>
      <w:r>
        <w:rPr>
          <w:rFonts w:ascii="Arial" w:cs="Arial" w:eastAsia="Arial" w:hAnsi="Arial"/>
          <w:sz w:val="17"/>
          <w:szCs w:val="17"/>
          <w:color w:val="auto"/>
        </w:rPr>
        <w:t xml:space="preserve"> (“ASU 2015-17”), which requires that deferred tax liabilities and assets be classified as noncurrent in a classified statement of financial position. This update applies to all entities that present a classified statement of financial position. This guidance is effective for financial statements issued for fiscal years beginning after December 15, 2016, and interim periods within those fiscal years. The adoption of ASU 2015-17 did not have a material impact on the Company's financial statements and disclosures as the Company maintains a full valuation allowance over its deferred tax liabilities and assets.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Derivatives and Hedging (Topic</w:t>
      </w:r>
      <w:r>
        <w:rPr>
          <w:rFonts w:ascii="Arial" w:cs="Arial" w:eastAsia="Arial" w:hAnsi="Arial"/>
          <w:sz w:val="18"/>
          <w:szCs w:val="18"/>
          <w:color w:val="auto"/>
        </w:rPr>
        <w:t xml:space="preserve"> 815</w:t>
      </w:r>
      <w:r>
        <w:rPr>
          <w:rFonts w:ascii="Arial" w:cs="Arial" w:eastAsia="Arial" w:hAnsi="Arial"/>
          <w:sz w:val="18"/>
          <w:szCs w:val="18"/>
          <w:i w:val="1"/>
          <w:iCs w:val="1"/>
          <w:color w:val="auto"/>
        </w:rPr>
        <w:t>), Contingent Put and Call Options in Debt Instruments</w:t>
      </w:r>
      <w:r>
        <w:rPr>
          <w:rFonts w:ascii="Arial" w:cs="Arial" w:eastAsia="Arial" w:hAnsi="Arial"/>
          <w:sz w:val="18"/>
          <w:szCs w:val="18"/>
          <w:color w:val="auto"/>
        </w:rPr>
        <w:t xml:space="preserve"> (“ASU 2016-06”), which clarifies the requirements for assessing whether contingent call and put options that can accelerate the payment of principal on debt instruments are clearly and closely related to their debt hosts. ASU 2016-06 is effective for fiscal years beginning after December 15, 2016, including interim periods within those fiscal years, with early adoption permitted. The adoption of ASU 2016-06 did not have a material impact on the Company's financial statements and disclosures.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718</w:t>
      </w:r>
      <w:r>
        <w:rPr>
          <w:rFonts w:ascii="Arial" w:cs="Arial" w:eastAsia="Arial" w:hAnsi="Arial"/>
          <w:sz w:val="18"/>
          <w:szCs w:val="18"/>
          <w:i w:val="1"/>
          <w:iCs w:val="1"/>
          <w:color w:val="auto"/>
        </w:rPr>
        <w:t>),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which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ASU 2016-09 is effective for fiscal years beginning after December 15, 2016, including interim periods within those fiscal years, with early adoption permitted. The adoption of ASU 2016-09 did not have a material impact on the Company's financial statements and disclosures.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2016, the FASB issued ASU 2016-18, which applies to all entities that have restricted cash or restricted cash equivalents and are required to present a statement of cash flows. This guidance is effective for financial statements issued for fiscal years beginning after December 15, 2017, and interim periods within those fiscal years. Early adoption is permitted, including adoption in an interim period. The Company early adopted ASU 2016-18 in the second quarter of 2017. Refer to Note A for discussion regarding the impact the adoption of ASU 2016-18 had on the Company's financial statements and disclosures.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w:t>
      </w:r>
      <w:r>
        <w:rPr>
          <w:rFonts w:ascii="Arial" w:cs="Arial" w:eastAsia="Arial" w:hAnsi="Arial"/>
          <w:sz w:val="18"/>
          <w:szCs w:val="18"/>
          <w:b w:val="1"/>
          <w:bCs w:val="1"/>
          <w:color w:val="auto"/>
        </w:rPr>
        <w:t>—Not</w:t>
      </w:r>
      <w:r>
        <w:rPr>
          <w:rFonts w:ascii="Arial" w:cs="Arial" w:eastAsia="Arial" w:hAnsi="Arial"/>
          <w:sz w:val="18"/>
          <w:szCs w:val="18"/>
          <w:b w:val="1"/>
          <w:bCs w:val="1"/>
          <w:i w:val="1"/>
          <w:iCs w:val="1"/>
          <w:color w:val="auto"/>
        </w:rPr>
        <w:t xml:space="preserve"> Yet Adopted</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May 2014, the FASB issued guidance codified in ASC Topic 606, </w:t>
      </w:r>
      <w:r>
        <w:rPr>
          <w:rFonts w:ascii="Arial" w:cs="Arial" w:eastAsia="Arial" w:hAnsi="Arial"/>
          <w:sz w:val="16"/>
          <w:szCs w:val="16"/>
          <w:i w:val="1"/>
          <w:iCs w:val="1"/>
          <w:color w:val="auto"/>
        </w:rPr>
        <w:t>Revenue Recognition—Revenue from Contracts with Customers</w:t>
      </w:r>
      <w:r>
        <w:rPr>
          <w:rFonts w:ascii="Arial" w:cs="Arial" w:eastAsia="Arial" w:hAnsi="Arial"/>
          <w:sz w:val="16"/>
          <w:szCs w:val="16"/>
          <w:color w:val="auto"/>
        </w:rPr>
        <w:t xml:space="preserve"> ("ASC 606"), which amends the guidance in former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becomes effective beginning January 1, 2018. The Company does not currently expect this standard to have a material effect on its financial statements upon adoption since the Company is not generating revenue at this time.</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Overall – Recognition and Measurement of Financial Assets and Liabilities (Topic</w:t>
      </w:r>
      <w:r>
        <w:rPr>
          <w:rFonts w:ascii="Arial" w:cs="Arial" w:eastAsia="Arial" w:hAnsi="Arial"/>
          <w:sz w:val="16"/>
          <w:szCs w:val="16"/>
          <w:color w:val="auto"/>
        </w:rPr>
        <w:t xml:space="preserve"> 825</w:t>
      </w:r>
      <w:r>
        <w:rPr>
          <w:rFonts w:ascii="Arial" w:cs="Arial" w:eastAsia="Arial" w:hAnsi="Arial"/>
          <w:sz w:val="16"/>
          <w:szCs w:val="16"/>
          <w:i w:val="1"/>
          <w:iCs w:val="1"/>
          <w:color w:val="auto"/>
        </w:rPr>
        <w:t>-</w:t>
      </w:r>
      <w:r>
        <w:rPr>
          <w:rFonts w:ascii="Arial" w:cs="Arial" w:eastAsia="Arial" w:hAnsi="Arial"/>
          <w:sz w:val="16"/>
          <w:szCs w:val="16"/>
          <w:color w:val="auto"/>
        </w:rPr>
        <w:t>10</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2016-01”), which provides several updates related to Topic 825-10. This update applies to all entities that hold financial assets or owe financial liabilities. This guidance is effective for financial statements issued for fiscal years beginning after December 15, 2017, and interim periods within those fiscal years. The Company does not currently expect ASU 2016-01 to have a material effect on its financial statements and disclosures upon adoption.</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842</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2016-02”), which requires lessees to recognize assets and liabilities for operating leases with lease terms greater than twelve months in the balance sheet. The update also requires improved disclosures to help users of financial statements better understand the amount, timing and uncertainty of cash flows arising from leases. ASU 2016-02 is effective for fiscal years beginning after December 15, 2018, including interim periods within those fiscal years, with early adoption permitted. The Company is currently evaluating the impact of the adoption of ASU 2016-02 on its financial statements and disclosures.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 (Topic</w:t>
      </w:r>
      <w:r>
        <w:rPr>
          <w:rFonts w:ascii="Arial" w:cs="Arial" w:eastAsia="Arial" w:hAnsi="Arial"/>
          <w:sz w:val="18"/>
          <w:szCs w:val="18"/>
          <w:color w:val="auto"/>
        </w:rPr>
        <w:t xml:space="preserve"> 230</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2016-15”), which addresses eight specific cash flow issues with the objective of reducing the existing diversity in practice. This update applies to all entities that are required to present a statement of cash flows under Topic 230. This guidance is effective for financial statements issued for fiscal years beginning after December 15, 2017, and interim periods within those fiscal years. The Company does not currently expect ASU 2016-15 to have a material effect on its financial statements and disclosures upon adoption.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w:t>
      </w:r>
      <w:r>
        <w:rPr>
          <w:rFonts w:ascii="Arial" w:cs="Arial" w:eastAsia="Arial" w:hAnsi="Arial"/>
          <w:sz w:val="17"/>
          <w:szCs w:val="17"/>
          <w:color w:val="auto"/>
        </w:rPr>
        <w:t xml:space="preserve"> 718</w:t>
      </w:r>
      <w:r>
        <w:rPr>
          <w:rFonts w:ascii="Arial" w:cs="Arial" w:eastAsia="Arial" w:hAnsi="Arial"/>
          <w:sz w:val="17"/>
          <w:szCs w:val="17"/>
          <w:i w:val="1"/>
          <w:iCs w:val="1"/>
          <w:color w:val="auto"/>
        </w:rPr>
        <w:t>) – Scope of Modification Accounting</w:t>
      </w:r>
      <w:r>
        <w:rPr>
          <w:rFonts w:ascii="Arial" w:cs="Arial" w:eastAsia="Arial" w:hAnsi="Arial"/>
          <w:sz w:val="17"/>
          <w:szCs w:val="17"/>
          <w:color w:val="auto"/>
        </w:rPr>
        <w:t xml:space="preserve"> ("ASU 2017-09"), which provides guidance about which changes to the terms or conditions of a stock-based payment award require an entity to apply modification accounting in Topic 718. This update applies to any entity that changes the terms or conditions of a stock-based payment award. This guidance is effective for financial statements issued for fiscal years beginning after December 15, 2017, and interim periods within those fiscal years. The Company does not currently expect ASU 2017-09 to have a material effect on its financial statements and disclosures upon adoption.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w:t>
      </w:r>
      <w:r>
        <w:rPr>
          <w:rFonts w:ascii="Arial" w:cs="Arial" w:eastAsia="Arial" w:hAnsi="Arial"/>
          <w:sz w:val="17"/>
          <w:szCs w:val="17"/>
          <w:color w:val="auto"/>
        </w:rPr>
        <w:t xml:space="preserve"> 260</w:t>
      </w:r>
      <w:r>
        <w:rPr>
          <w:rFonts w:ascii="Arial" w:cs="Arial" w:eastAsia="Arial" w:hAnsi="Arial"/>
          <w:sz w:val="17"/>
          <w:szCs w:val="17"/>
          <w:i w:val="1"/>
          <w:iCs w:val="1"/>
          <w:color w:val="auto"/>
        </w:rPr>
        <w:t>), Distinguishing Liabilities from Equity (Topic</w:t>
      </w:r>
      <w:r>
        <w:rPr>
          <w:rFonts w:ascii="Arial" w:cs="Arial" w:eastAsia="Arial" w:hAnsi="Arial"/>
          <w:sz w:val="17"/>
          <w:szCs w:val="17"/>
          <w:color w:val="auto"/>
        </w:rPr>
        <w:t xml:space="preserve"> 480</w:t>
      </w:r>
      <w:r>
        <w:rPr>
          <w:rFonts w:ascii="Arial" w:cs="Arial" w:eastAsia="Arial" w:hAnsi="Arial"/>
          <w:sz w:val="17"/>
          <w:szCs w:val="17"/>
          <w:i w:val="1"/>
          <w:iCs w:val="1"/>
          <w:color w:val="auto"/>
        </w:rPr>
        <w:t>),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w:t>
      </w:r>
      <w:r>
        <w:rPr>
          <w:rFonts w:ascii="Arial" w:cs="Arial" w:eastAsia="Arial" w:hAnsi="Arial"/>
          <w:sz w:val="17"/>
          <w:szCs w:val="17"/>
          <w:color w:val="auto"/>
        </w:rPr>
        <w:t>815</w:t>
      </w:r>
      <w:r>
        <w:rPr>
          <w:rFonts w:ascii="Arial" w:cs="Arial" w:eastAsia="Arial" w:hAnsi="Arial"/>
          <w:sz w:val="17"/>
          <w:szCs w:val="17"/>
          <w:i w:val="1"/>
          <w:iCs w:val="1"/>
          <w:color w:val="auto"/>
        </w:rPr>
        <w:t xml:space="preserve">) –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which addresses the complexity of accounting for certain financial instruments with down round features and addresses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difficulty of navigating Topic 480 because of the existence of extensive pending content in the ASC as a result of the indefinite deferral of accounting requirements about mandatorily redeemable financial instruments of certain nonpublic entities and certain mandatorily redeemable noncontrolling interests. This update applies to all entities that issue financial instruments that include down round features and entities that present earnings per share in accordance with Topic 260. This guidance is effective for financial statements issued for fiscal years beginning after December 15, 2018, and interim periods within those fiscal years. Early adoption is permitted, including adoption in an interim period. If early adopted in an interim period, any adjustments should be reflected as of the beginning of the fiscal year that includes that interim period. The Company is currently evaluating the impact of the adoption of ASU 2017-11 on its financial statements and disclosures.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ind w:left="700" w:hanging="692"/>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receivables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 expenses and current assets</w:t>
            </w:r>
          </w:p>
        </w:tc>
        <w:tc>
          <w:tcPr>
            <w:tcW w:w="1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Total prepaid expenses and other current assets</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D.</w:t>
            </w:r>
          </w:p>
        </w:tc>
        <w:tc>
          <w:tcPr>
            <w:tcW w:w="57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Property and Equipment</w:t>
            </w:r>
          </w:p>
        </w:tc>
        <w:tc>
          <w:tcPr>
            <w:tcW w:w="1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0" w:type="dxa"/>
            <w:vAlign w:val="bottom"/>
            <w:vMerge w:val="continue"/>
          </w:tcPr>
          <w:p>
            <w:pPr>
              <w:spacing w:after="0"/>
              <w:rPr>
                <w:sz w:val="24"/>
                <w:szCs w:val="24"/>
                <w:color w:val="auto"/>
              </w:rPr>
            </w:pPr>
          </w:p>
        </w:tc>
        <w:tc>
          <w:tcPr>
            <w:tcW w:w="57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3"/>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hardware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various equipment and leasehold improvements under capital lease agreements. The assets under capital leases are included in property and equipment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9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271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537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w w:val="99"/>
              </w:rPr>
              <w:t>Total property and equipment financed under a capital lease agreement</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867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7020" w:type="dxa"/>
            <w:vAlign w:val="bottom"/>
            <w:gridSpan w:val="2"/>
          </w:tcPr>
          <w:p>
            <w:pPr>
              <w:ind w:left="1140"/>
              <w:spacing w:after="0"/>
              <w:rPr>
                <w:sz w:val="20"/>
                <w:szCs w:val="20"/>
                <w:color w:val="auto"/>
              </w:rPr>
            </w:pPr>
            <w:r>
              <w:rPr>
                <w:rFonts w:ascii="Arial" w:cs="Arial" w:eastAsia="Arial" w:hAnsi="Arial"/>
                <w:sz w:val="18"/>
                <w:szCs w:val="18"/>
                <w:color w:val="auto"/>
              </w:rPr>
              <w:t>Property and equipment financed under a capital lease agreement, net</w:t>
            </w:r>
          </w:p>
        </w:tc>
        <w:tc>
          <w:tcPr>
            <w:tcW w:w="14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816</w:t>
            </w:r>
          </w:p>
        </w:tc>
        <w:tc>
          <w:tcPr>
            <w:tcW w:w="9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836</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The estimated useful lives of property and equipment are as follows:</w:t>
            </w: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09"/>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5 - 10</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hardware</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3 - 7</w:t>
            </w: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79"/>
              </w:rPr>
              <w:t>9</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including amounts pertaining to assets held under capital leases, was approximately $336,000, $175,000 and $84,000 for the years ended December 31, 2017, 2016 and 2015,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109" w:name="page110"/>
    <w:bookmarkEnd w:id="109"/>
    <w:p>
      <w:pPr>
        <w:ind w:left="700" w:hanging="692"/>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09"/>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banking fees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payroll</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1,383</w:t>
            </w:r>
          </w:p>
        </w:tc>
      </w:tr>
      <w:tr>
        <w:trPr>
          <w:trHeight w:val="229"/>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6,444</w:t>
            </w: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655"/>
        </w:trPr>
        <w:tc>
          <w:tcPr>
            <w:tcW w:w="420" w:type="dxa"/>
            <w:vAlign w:val="bottom"/>
          </w:tcPr>
          <w:p>
            <w:pPr>
              <w:spacing w:after="0"/>
              <w:rPr>
                <w:sz w:val="20"/>
                <w:szCs w:val="20"/>
                <w:color w:val="auto"/>
              </w:rPr>
            </w:pPr>
            <w:r>
              <w:rPr>
                <w:rFonts w:ascii="Arial" w:cs="Arial" w:eastAsia="Arial" w:hAnsi="Arial"/>
                <w:sz w:val="18"/>
                <w:szCs w:val="18"/>
                <w:b w:val="1"/>
                <w:bCs w:val="1"/>
                <w:color w:val="auto"/>
              </w:rPr>
              <w:t>F.</w:t>
            </w:r>
          </w:p>
        </w:tc>
        <w:tc>
          <w:tcPr>
            <w:tcW w:w="56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Debt Obligations</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2014, the Company entered into a $60 million facility agreement (the “Deerfield Facility Agreement”) with Deerfield Private Design Fund III, LP (“Deerfield”). The first payment to the Company under the terms of the Deerfield Facility Agreement consisted of a term loan of $15 million (the “Term Notes”) and a senior secured loan of $10 million (the “Deerfield Convertible Notes”). As of June 30, 2016, Deerfield is no longer obligated to provide the Company any additional disbursements under the Deerfield Facility Agreement. All loans issued under the Deerfield Facility Agreement bear interest at 9.75% per annum. Deerfield may convert any portion of the outstanding principal and any accrued but unpaid interest on the Deerfield Convertible Notes into shares of the Company’s common stock at an initial conversion price of $5.85 per share (the "Deerfield Note Put Option").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 also issued to Deerfield a warrant to purchase 14,423,076 shares of Series D redeemable convertible preferred stock (“Series D Preferred”) at an exercise price of $0.78 per share, which is exercisable until June 2, 2024 (the “Deerfield Warrant”). Upon completion of the IPO, the Deerfield Warrant automatically converted into a warrant to purchase 1,923,077 shares of the Company’s common stock at an exercise price of $5.85 per share. This warrant qualifies as a participating security under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and is treated as such in the net loss per share calculation (Note I). If a Major Transaction occurs, as defined below, Deerfield may require the Company to redeem the Deerfield Warrant for a cash amount equal to the Black-Scholes value of the portion of the Deerfield Warrant to be redeemed (the “Warrant Put Option”). A Major Transaction is (i) a consolidation, merger, exchange of shares, recapitalization, reorganization, business combination or other similar event; (ii) the sale or transfer in one transaction or a series of related transactions of all or substantially all of the assets of the Company; (iii) a third-party purchase, tender or exchange offer made to the holders of outstanding shares, such that following such purchase, tender or exchange offer a change of control has occurred; (iv) the liquidation, bankruptcy, insolvency, dissolution or winding-up affecting the Company; (v) the shares of the Company’s common stock cease to be listed on any eligible market; and (vi) at any time, the shares of the Company’s common stock cease to be registered under Section 12 of the Securities Exchange Act of 1934, as amended (the “Exchange Act”).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Company issued to Deerfield 1,923,077 shares of Series D Preferred as consideration for the loans provided to the Company under the Deerfield Facility Agreement. Upon completion of the IPO, these shares automatically reclassified into 256,410 shares of the Company’s common stock. The Company recorded the fair value of the shares of Series D Preferred of $1.5 million, to debt issuance costs on the date of issuance. The Company recorded the fair value of the Deerfield Warrant and the embedded Warrant Put Option to debt discount on the date of issuance. The debt issuance costs and debt discount are amortized over the term of the related debt and the expense is recorded as interest expense related to amortization of debt issuance costs and discount in the statements of operations.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Deerfield Facility Agreement, the Company may not enter into specified transactions, including a debt financing in the aggregate value of $750,000 or more, a merger, an asset sale or any other change of control transaction or any joint venture, partnership or other profit sharing arrangement, without the prior approval of Deerfield. Additionally, if the Company were to enter into a major transaction, including a merger, consolidation, sale of substantially all of its assets or other change of control transaction, Deerfield would have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must repay one-third of the outstanding principal amount of all debt issued under the Deerfield Facility Agreement on the fourth and fifth anniversaries of the Deerfield Facility Agreement. The Company is then also obligated to repay the balance of the outstanding principal amount on February 14, 2020. The Company prepaid all outstanding interest and principal on the Term Notes in February 2016.</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accrued on outstanding debt under the Deerfield Facility Agreement is due quarterly in arrears. Upon notice to Deerfield, the Company had the option to have one or more of the first eight of such scheduled interest payments added to the outstanding principal amount of the debt issued under the Deerfield Facility Agreement, provided that all such interest was due on July 1, 2016. The Company elected this option on all eight of the scheduled interest payments through June 30, 2016. The accrued interest added to outstanding principal, was paid to Deerfield on July 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10" w:name="page111"/>
    <w:bookmarkEnd w:id="110"/>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Amendment to Senior Secured Convertible Note and Warrant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6, 2016, the Company entered into a Second Amendment (the “Second Amendment”) to the Deerfield Convertible Notes and Deerfield Warrant, by and between the Company and Deerfield. The Second Amendment, among other things, clarified the calculation of an anti-dilution adjustment of the conversion price and exercise price of the Deerfield Convertible Notes and Deerfield Warrant, respectively, in the event that the Company effects a firm commitment underwritten public offering of its securities. Except as modified by the Second Amendment, the Third Amendment (as described below) and the Fourth Amendment (as described below), all terms and conditions of the Deerfield Convertible Notes and Deerfield Warrant remain in full force and effect.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Issuance of </w:t>
      </w:r>
      <w:r>
        <w:rPr>
          <w:rFonts w:ascii="Arial" w:cs="Arial" w:eastAsia="Arial" w:hAnsi="Arial"/>
          <w:sz w:val="18"/>
          <w:szCs w:val="18"/>
          <w:b w:val="1"/>
          <w:bCs w:val="1"/>
          <w:color w:val="auto"/>
        </w:rPr>
        <w:t>5.50%</w:t>
      </w:r>
      <w:r>
        <w:rPr>
          <w:rFonts w:ascii="Arial" w:cs="Arial" w:eastAsia="Arial" w:hAnsi="Arial"/>
          <w:sz w:val="18"/>
          <w:szCs w:val="18"/>
          <w:b w:val="1"/>
          <w:bCs w:val="1"/>
          <w:i w:val="1"/>
          <w:iCs w:val="1"/>
          <w:color w:val="auto"/>
        </w:rPr>
        <w:t xml:space="preserve"> Senior Convertible Notes and Third Amendment to Senior Secured Convertible Note and Warrant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9,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Notes, plus all accrued but unpaid interest, a make-whole interest payment and a prepayment premium on the Term Notes. This principal, accrued but unpaid interest, make-whole interest payment and prepayment premium on the Term Notes is reflected as a cash outflow from financing activity in the statements of cash flows.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Interest on the 2021 Notes is payable semi-annually in cash in arrears on February 1 and August 1 of each year, beginning on August 1, 2016, at a rate of 5.50% per year. The 2021 Notes mature on February 1, 2021 unless earlier converted or repurchased. The 2021 Notes are not redeemable prior to the maturity date, and no sinking fund is provided for the 2021 Notes.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2021 Notes are convertible at an initial conversion rate of 58.4454 shares of the Company’s common stock per $1,000 principal amount of the 2021 Notes, subject to adjustment under the Indenture, which is equal to an initial conversion price of approximately $17.11 per share of common stock. Upon conversion, the 2021 Notes will be settled in shares of the Company’s common stock, together with a cash payment in lieu of delivering any fractional share. The conversion rate will be subject to adjustment in some events but will not be adjusted for any accrued and unpaid interest. In addition, following certain corporate events that occur prior to the maturity date, the Company will increase the conversion rate for a holder who elects to convert its 2021 Notes in connection with such a corporate event in certain circumstances.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undergoes a “fundamental change” (as defined in the Indenture), holders may require that the Company repurchase for cash all or any portion of their 2021 Notes at a fundamental change repurchase price equal to 100% of the principal amount of the 2021 Notes to be repurchased, plus accrued and unpaid interest to, but excluding, the fundamental change repurchase date. In addition, holders who convert their 2021 Notes on or after the date that is one year after the last date of original issuance of the 2021 Notes may also be entitled to receive, under certain circumstances, an interest make-whole payment payable in shares of the Company’s common stock. The Company is bifurcating the fundamental change and make-whole interest payment provisions as embedded derivatives and marking them to fair value each reporting period (Note 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Indenture includes customary terms and covenants, including certain events of default after which the 2021 Notes may be due and payable immediately.</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Note Offering, on February 3, 2016, the Company entered into a Third Amendment (the “Third Amendment”) to the Deerfield Facility Agreement, Deerfield Convertible Notes and Deerfield Warrant with Deerfield. The Third Amendment, among other things, eliminated the Company’s ability to require Deerfield to convert the Deerfield Convertible Notes into Company common stock. In addition, pursuant to the Third Amendment, Deerfield consented to the prepayment of the Term Notes and the issuance of the 2021 Notes. Except as modified by the Third Amendment and the Fourth Amendment (as described below), all terms and conditions of the Deerfield Facility Agreement remain in full force and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Amendment to Deerfield Convertible Notes and Deerfield Warrant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entering into the ATM Agreement, on October 3, 2016, the Company entered into a Fourth Amendment (the “Fourth Amendment”) to the Deerfield Convertible Note and the Deerfield Warrant with Deerfield. The Fourth Amendment, among other things, clarifies the calculation of an anti-dilution adjustment of the conversion price and exercise price of the Deerfield Convertible Note and Deerfield Warrant, respectively, in the event that the Company effects an “at the market offering” as defined in Rule 415 of the Securities Act of its common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Convertible Notes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w w:val="94"/>
              </w:rPr>
              <w:t>Future minimum principal payments under convertible notes as of December 31, 2017, were as follows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3"/>
        </w:trPr>
        <w:tc>
          <w:tcPr>
            <w:tcW w:w="11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Convertible</w:t>
            </w:r>
          </w:p>
        </w:tc>
      </w:tr>
      <w:tr>
        <w:trPr>
          <w:trHeight w:val="234"/>
        </w:trPr>
        <w:tc>
          <w:tcPr>
            <w:tcW w:w="8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Notes</w:t>
            </w:r>
          </w:p>
        </w:tc>
      </w:tr>
      <w:tr>
        <w:trPr>
          <w:trHeight w:val="209"/>
        </w:trPr>
        <w:tc>
          <w:tcPr>
            <w:tcW w:w="116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3,333</w:t>
            </w: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3,333</w:t>
            </w:r>
          </w:p>
        </w:tc>
      </w:tr>
      <w:tr>
        <w:trPr>
          <w:trHeight w:val="216"/>
        </w:trPr>
        <w:tc>
          <w:tcPr>
            <w:tcW w:w="11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86,250</w:t>
            </w:r>
          </w:p>
        </w:tc>
      </w:tr>
      <w:tr>
        <w:trPr>
          <w:trHeight w:val="209"/>
        </w:trPr>
        <w:tc>
          <w:tcPr>
            <w:tcW w:w="116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minimum principal payments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96,250</w:t>
            </w: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debt issuance costs and discount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r>
      <w:tr>
        <w:trPr>
          <w:trHeight w:val="249"/>
        </w:trPr>
        <w:tc>
          <w:tcPr>
            <w:tcW w:w="116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92,731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2016, the Company opened a line of credit with a total borrowing capacity of $1.1 million with City National Bank of Florida (the "Line of Credit Agreement") to support several irrevocable letters of credit issued by the bank on behalf of the Company. As of December 31, 2017 and 2016, the Company had unused letters of credit in the amount of $0.4 million. The line of credit had a maturity date of January 31, 2018. On January 31, 2018, the line of credit was renewed for an additional two year term and will now mature on January 31, 2020. As of December 31, 2017 and 2016, the</w:t>
      </w:r>
    </w:p>
    <w:p>
      <w:pPr>
        <w:sectPr>
          <w:pgSz w:w="11900" w:h="16897" w:orient="portrait"/>
          <w:cols w:equalWidth="0" w:num="1">
            <w:col w:w="11420"/>
          </w:cols>
          <w:pgMar w:left="240" w:top="584" w:right="239" w:bottom="0" w:gutter="0" w:footer="0" w:header="0"/>
        </w:sectPr>
      </w:pPr>
    </w:p>
    <w:bookmarkStart w:id="111" w:name="page112"/>
    <w:bookmarkEnd w:id="111"/>
    <w:p>
      <w:pPr>
        <w:jc w:val="both"/>
        <w:spacing w:after="0" w:line="301" w:lineRule="auto"/>
        <w:rPr>
          <w:sz w:val="20"/>
          <w:szCs w:val="20"/>
          <w:color w:val="auto"/>
        </w:rPr>
      </w:pPr>
      <w:r>
        <w:rPr>
          <w:rFonts w:ascii="Arial" w:cs="Arial" w:eastAsia="Arial" w:hAnsi="Arial"/>
          <w:sz w:val="16"/>
          <w:szCs w:val="16"/>
          <w:color w:val="auto"/>
        </w:rPr>
        <w:t>Company had no outstanding balances under the line of credit. The Line of Credit Agreement is collateralized by a restricted money market account, equal to the total amount of the borrowing capacity under the line of credit, held by the same bank institution. The money market account is reported as restricted cash on the balance sheets. The line of credit contains no financial covenants. Borrowings under the Line of Credit Agreement carry interest at a rate equal to the 1-month London Interbank Offered Rate plus 2.00% per annum. The interest rate under the Line of Credit Agreement was 3.36%, as of December 31, 2017.</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left="700" w:hanging="692"/>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December 31, 2017 and 2016, no accruals have been made related to commitments and contingencies.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2014, a former financial advisor of the Company filed a request with the Iowa District Court to declare valid a purported right of first refusal to serve as the Company’s exclusive financial advisor for specified strategic transactions and to receive fees for the specified strategic transactions irrespective of whether any such specified transaction occurred during or after the term of the financial advisor’s service agreement. This filing by the former financial advisor was made in response to an action initiated by the Company in 2013 seeking a declaratory judgement finding that such purported right was invalid and unenforceable. Two former members of the Company’s board of directors (the “Board”) joined the lawsuit as intervenors based on the former financial advisor’s purported assignment of its rights, or a portion thereof, under the agreement to the intervenors. In September 2015, the court granted summary judgement in favor of the Company with respect to the Company’s declaratory judgement action and the former financial advisor’s counterclaims and the Company separately entered into settlement agreements with each of the intervenors. The settlements reached with the intervenors did not differ from the accrual previously recorded by the Company by a material amount. The former financial advisor subsequently filed a notice of appeal of the court’s ruling with the Supreme Court of Iowa. On January 6, 2016, the Company entered into a Settlement Agreement and Mutual Release (the “Settlement Agreement”) with the former financial advisor and Donald DeWaay, Jr. pursuant to which, among other things, the former financial advisor agreed, in exchange for the consideration described therein, to dismiss with prejudice its pending appeal. The former financial advisor's appeal was subsequently dismissed by the Supreme Court of Iowa on January 7, 2016. The settlement amount was commensurate with the contingency recorded in the books and records of the Company. The consideration in the Settlement Agreement did not differ from the accrual previously recorded by the Company by a material amount.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a class action suit was filed against the Company in the Iowa District Court in Johnson County by a stockholder alleging that the Company, certain of its senior executives and directors who signed the registration statement in connection with its IPO, and each of the investment banks that acted as underwriters for the offering negligently issued untrue statements of material facts and omitted to state material facts required to be stated in the registration statement and incorporated offering materials that the Company filed with the SEC in support of the offering. The plaintiff does not quantify any alleged damages in his complaint but, in addition to attorneys' fees and costs, the plaintiff seeks to recover damages and obtain other relief on behalf of himself and all other persons who purchased the Company's common stock pursuant or traceable to the offering and the registration statement and who were allegedly damaged thereby.</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2017, the class action suit was removed to the U.S. District Court for the Southern District of Iowa. The plaintiff subsequently filed a motion to remand the case to the Iowa District Court, and that motion was granted. In January 2018, the Iowa District Court issued an order postponing all deadlines and the setting of any schedule in the case pending a decision by the United States Supreme Court in </w:t>
      </w:r>
      <w:r>
        <w:rPr>
          <w:rFonts w:ascii="Arial" w:cs="Arial" w:eastAsia="Arial" w:hAnsi="Arial"/>
          <w:sz w:val="18"/>
          <w:szCs w:val="18"/>
          <w:i w:val="1"/>
          <w:iCs w:val="1"/>
          <w:color w:val="auto"/>
        </w:rPr>
        <w:t>Cyan, Inc. v. Beaver County Employees Retirement Fund.</w:t>
      </w:r>
      <w:r>
        <w:rPr>
          <w:rFonts w:ascii="Arial" w:cs="Arial" w:eastAsia="Arial" w:hAnsi="Arial"/>
          <w:sz w:val="18"/>
          <w:szCs w:val="18"/>
          <w:color w:val="auto"/>
        </w:rPr>
        <w:t xml:space="preserve"> On March 20, 2018, the Supreme Court issued its decision in </w:t>
      </w:r>
      <w:r>
        <w:rPr>
          <w:rFonts w:ascii="Arial" w:cs="Arial" w:eastAsia="Arial" w:hAnsi="Arial"/>
          <w:sz w:val="18"/>
          <w:szCs w:val="18"/>
          <w:i w:val="1"/>
          <w:iCs w:val="1"/>
          <w:color w:val="auto"/>
        </w:rPr>
        <w:t>Cyan</w:t>
      </w:r>
      <w:r>
        <w:rPr>
          <w:rFonts w:ascii="Arial" w:cs="Arial" w:eastAsia="Arial" w:hAnsi="Arial"/>
          <w:sz w:val="18"/>
          <w:szCs w:val="18"/>
          <w:color w:val="auto"/>
        </w:rPr>
        <w:t xml:space="preserve"> and held that state courts have subject matter jurisdiction over putative class actions like the one filed against us, which assert claims arising under the Securities Act. Accordingly, the case will proceed in Iowa District Court. The suit against the Company is still in a preliminary stage and has not yet been set for trial. Accordingly, the Company is unable to predict the timing or outcome of this litigation as of the date of this report.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Iowa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leases office and laboratory facilities in Iowa under a non-cancelable operating lease. The Company’s lease for its Iowa facilities expires in September 2018 and includes a renewal option that could extend the lease for successive one-year terms upon expiration.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Florida</w:t>
      </w:r>
    </w:p>
    <w:p>
      <w:pPr>
        <w:spacing w:after="0" w:line="22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Company leases office space in Florida, comprised of two contiguous office suites, under non-cancelable operating leases, which expire in August 2025 and February 2026, as to each space respectively, and include the right to extend the term of the leases for two successive five-year terms upon expiration.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Virginia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facilities in Virginia under a non-cancelable operating lease. The Company’s lease for its Virginia facilities expires in August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Carolina</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leases office space in North Carolina under a non-cancelable operating lease. The expiration date of the Company’s lease is May 2020, and includes renewal options that could extend the lease for an additional three years. During the second quarter of 2017, the Company subleased its office space in North Carolina under a non-cancelable operating lease to a third-party tenant. The sublease term with the third-party runs concurrent with the lease term the Company has with the landlord.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various laboratory equipment, furniture and office equipment and leasehold improvements that are accounted for as capital leases and that require ongoing payments, including interest expense. The capital leases are financed through various financial institutions and are collateralized by the underlying assets. As of December 31, 2017 and 2016, the interest rates for assets under remaining capital leases range from 7.19% to 8.05%.</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non-cancelable operating and capital leases was $0.6 million, $0.6 million and $0.3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capital leases and non-cancelable operating leases as of December 31, 2017,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2019</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Thereafter</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Less: amounts representing interest</w:t>
            </w:r>
          </w:p>
        </w:tc>
        <w:tc>
          <w:tcPr>
            <w:tcW w:w="24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060" w:type="dxa"/>
            <w:vAlign w:val="bottom"/>
            <w:tcBorders>
              <w:top w:val="single" w:sz="8" w:color="CCEEFF"/>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capital lease principal payments</w:t>
            </w:r>
          </w:p>
        </w:tc>
        <w:tc>
          <w:tcPr>
            <w:tcW w:w="2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610"/>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4" w:name="page115"/>
    <w:bookmarkEnd w:id="114"/>
    <w:p>
      <w:pPr>
        <w:ind w:left="700" w:hanging="692"/>
        <w:spacing w:after="0"/>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Supply Arrangement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 Company has one manufacturing arrangement that involves potential future expenditures related to research and development.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2009, the Company entered into a supply agreement (the “Supply Agreement”) with Johnson Matthey Inc. (“JMI”) whereby JMI has agreed to supply the Company with all of the KP201 necessary for clinical trials and commercial sale for a price equal to JMI’s manufacturing cost and to provide process optimization and development services for KP201. The Company’s FDA-approved drug, APADAZ, and product candidate, KP201/IR, contain KP201. No expense was recorded under this agreement for the years ended December 31, 2017, 2016 and 2015. The Company must purchase all of its U.S. KP201 needs from JMI and JMI cannot supply KP201 to other companies. The term of the Supply Agreement extends as long as the Company holds a valid and enforceable patent for KP201 or until the tenth anniversary of a commercial launch of a FDA-approved drug incorporating KP201, whichever date is later. Upon the expiration of such term, the agreement will automatically renew for a period of two years unless either party provides 12 months prior notice of its intent not to renew. Under the agreement, JMI will receive a tiered-based royalty share on the net sales on the commercial sale of a FDA-approved drug incorporating KP201. No reliable estimate of the future payments can be made at this time.</w:t>
      </w:r>
    </w:p>
    <w:p>
      <w:pPr>
        <w:spacing w:after="0" w:line="200" w:lineRule="exact"/>
        <w:rPr>
          <w:sz w:val="20"/>
          <w:szCs w:val="20"/>
          <w:color w:val="auto"/>
        </w:rPr>
      </w:pPr>
    </w:p>
    <w:p>
      <w:pPr>
        <w:spacing w:after="0" w:line="218" w:lineRule="exact"/>
        <w:rPr>
          <w:sz w:val="20"/>
          <w:szCs w:val="20"/>
          <w:color w:val="auto"/>
        </w:rPr>
      </w:pPr>
    </w:p>
    <w:p>
      <w:pPr>
        <w:ind w:left="700" w:hanging="692"/>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2015, the Company amended and restated its Certificate of Incorporation to decrease the number of its authorized shares of preferred stock to 10,000,000 shares with a par value of $0.0001 per share. As described in Note A, in April 2015, the Company completed an IPO of its common stock. Upon completion of the IPO, all outstanding shares of the Company’s redeemable convertible preferred stock were automatically converted or reclassified into an aggregate of 5,980,564 shares of the Company’s common stock. As of December 31, 2017, the Company had 10,000,000 shares of authorized and undesignated preferred stock and did not have any preferred stock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redeemable convertible preferred stock activity for the years ended December 31, 2017, 2016 and 2015:</w:t>
      </w: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20" w:hanging="161"/>
        <w:spacing w:after="0" w:line="261" w:lineRule="auto"/>
        <w:rPr>
          <w:sz w:val="20"/>
          <w:szCs w:val="20"/>
          <w:color w:val="auto"/>
        </w:rPr>
      </w:pPr>
      <w:r>
        <w:rPr>
          <w:rFonts w:ascii="Arial" w:cs="Arial" w:eastAsia="Arial" w:hAnsi="Arial"/>
          <w:sz w:val="18"/>
          <w:szCs w:val="18"/>
          <w:color w:val="auto"/>
        </w:rPr>
        <w:t>Balance as of January 1, 2015 Issuance of Series D-1 preferred stock</w:t>
      </w:r>
    </w:p>
    <w:p>
      <w:pPr>
        <w:ind w:left="1320" w:right="160"/>
        <w:spacing w:after="0" w:line="250" w:lineRule="auto"/>
        <w:rPr>
          <w:sz w:val="20"/>
          <w:szCs w:val="20"/>
          <w:color w:val="auto"/>
        </w:rPr>
      </w:pPr>
      <w:r>
        <w:rPr>
          <w:rFonts w:ascii="Arial" w:cs="Arial" w:eastAsia="Arial" w:hAnsi="Arial"/>
          <w:sz w:val="18"/>
          <w:szCs w:val="18"/>
          <w:color w:val="auto"/>
        </w:rPr>
        <w:t>Exercise of Series D preferred warrants</w:t>
      </w:r>
    </w:p>
    <w:p>
      <w:pPr>
        <w:ind w:left="1320"/>
        <w:spacing w:after="0"/>
        <w:rPr>
          <w:sz w:val="20"/>
          <w:szCs w:val="20"/>
          <w:color w:val="auto"/>
        </w:rPr>
      </w:pPr>
      <w:r>
        <w:rPr>
          <w:rFonts w:ascii="Arial" w:cs="Arial" w:eastAsia="Arial" w:hAnsi="Arial"/>
          <w:sz w:val="18"/>
          <w:szCs w:val="18"/>
          <w:color w:val="auto"/>
        </w:rPr>
        <w:t>Effect of reverse stock split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 of</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1"/>
        </w:trPr>
        <w:tc>
          <w:tcPr>
            <w:tcW w:w="10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Series A</w:t>
            </w:r>
          </w:p>
        </w:tc>
        <w:tc>
          <w:tcPr>
            <w:tcW w:w="10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Series B</w:t>
            </w:r>
          </w:p>
        </w:tc>
        <w:tc>
          <w:tcPr>
            <w:tcW w:w="100" w:type="dxa"/>
            <w:vAlign w:val="bottom"/>
          </w:tcPr>
          <w:p>
            <w:pPr>
              <w:spacing w:after="0"/>
              <w:rPr>
                <w:sz w:val="16"/>
                <w:szCs w:val="16"/>
                <w:color w:val="auto"/>
              </w:rPr>
            </w:pPr>
          </w:p>
        </w:tc>
        <w:tc>
          <w:tcPr>
            <w:tcW w:w="10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Series C</w:t>
            </w:r>
          </w:p>
        </w:tc>
        <w:tc>
          <w:tcPr>
            <w:tcW w:w="100" w:type="dxa"/>
            <w:vAlign w:val="bottom"/>
          </w:tcPr>
          <w:p>
            <w:pPr>
              <w:spacing w:after="0"/>
              <w:rPr>
                <w:sz w:val="16"/>
                <w:szCs w:val="16"/>
                <w:color w:val="auto"/>
              </w:rPr>
            </w:pPr>
          </w:p>
        </w:tc>
        <w:tc>
          <w:tcPr>
            <w:tcW w:w="9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Series D</w:t>
            </w:r>
          </w:p>
        </w:tc>
        <w:tc>
          <w:tcPr>
            <w:tcW w:w="80" w:type="dxa"/>
            <w:vAlign w:val="bottom"/>
          </w:tcPr>
          <w:p>
            <w:pPr>
              <w:spacing w:after="0"/>
              <w:rPr>
                <w:sz w:val="16"/>
                <w:szCs w:val="16"/>
                <w:color w:val="auto"/>
              </w:rPr>
            </w:pPr>
          </w:p>
        </w:tc>
        <w:tc>
          <w:tcPr>
            <w:tcW w:w="9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7"/>
              </w:rPr>
              <w:t>Series D-1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Preferred</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Preferred</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Preferred</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09"/>
        </w:trPr>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9,704,215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6,220,000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18,557,408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7,255,425</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41,737,048</w:t>
            </w:r>
          </w:p>
        </w:tc>
      </w:tr>
      <w:tr>
        <w:trPr>
          <w:trHeight w:val="317"/>
        </w:trPr>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3,200,000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3,200,000</w:t>
            </w:r>
          </w:p>
        </w:tc>
      </w:tr>
      <w:tr>
        <w:trPr>
          <w:trHeight w:val="432"/>
        </w:trPr>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3,205</w:t>
            </w:r>
          </w:p>
        </w:tc>
        <w:tc>
          <w:tcPr>
            <w:tcW w:w="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3,205</w:t>
            </w:r>
          </w:p>
        </w:tc>
      </w:tr>
      <w:tr>
        <w:trPr>
          <w:trHeight w:val="322"/>
        </w:trPr>
        <w:tc>
          <w:tcPr>
            <w:tcW w:w="1000" w:type="dxa"/>
            <w:vAlign w:val="bottom"/>
          </w:tcPr>
          <w:p>
            <w:pPr>
              <w:jc w:val="right"/>
              <w:spacing w:after="0"/>
              <w:rPr>
                <w:sz w:val="20"/>
                <w:szCs w:val="20"/>
                <w:color w:val="auto"/>
              </w:rPr>
            </w:pPr>
            <w:r>
              <w:rPr>
                <w:rFonts w:ascii="Arial" w:cs="Arial" w:eastAsia="Arial" w:hAnsi="Arial"/>
                <w:sz w:val="18"/>
                <w:szCs w:val="18"/>
                <w:color w:val="auto"/>
              </w:rPr>
              <w:t>(8,410,377)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(5,390,766)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(16,083,286)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(6,290,844)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(2,784,416)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(38,959,689)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-828675</wp:posOffset>
            </wp:positionV>
            <wp:extent cx="5790565"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0565" cy="14541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-408940</wp:posOffset>
            </wp:positionV>
            <wp:extent cx="579056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0565"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40" w:space="180"/>
            <w:col w:w="7600"/>
          </w:cols>
          <w:pgMar w:left="240" w:top="823"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Less: Conversion of preferred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(1,293,838)</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(829,234)</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(2,474,122)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(967,786)</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(415,584)</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(5,980,564)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into common stock upon</w:t>
            </w:r>
          </w:p>
        </w:tc>
        <w:tc>
          <w:tcPr>
            <w:tcW w:w="9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IPO</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660" w:type="dxa"/>
            <w:vAlign w:val="bottom"/>
          </w:tcPr>
          <w:p>
            <w:pPr>
              <w:jc w:val="right"/>
              <w:ind w:right="150"/>
              <w:spacing w:after="0"/>
              <w:rPr>
                <w:sz w:val="20"/>
                <w:szCs w:val="20"/>
                <w:color w:val="auto"/>
              </w:rPr>
            </w:pPr>
            <w:r>
              <w:rPr>
                <w:rFonts w:ascii="Arial" w:cs="Arial" w:eastAsia="Arial" w:hAnsi="Arial"/>
                <w:sz w:val="18"/>
                <w:szCs w:val="18"/>
                <w:color w:val="auto"/>
                <w:w w:val="88"/>
              </w:rPr>
              <w:t>Balance as of December 31, 2015</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Balance as of December 31, 2016</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20" w:type="dxa"/>
            <w:vAlign w:val="bottom"/>
            <w:gridSpan w:val="2"/>
          </w:tcPr>
          <w:p>
            <w:pPr>
              <w:jc w:val="right"/>
              <w:ind w:right="150"/>
              <w:spacing w:after="0"/>
              <w:rPr>
                <w:sz w:val="20"/>
                <w:szCs w:val="20"/>
                <w:color w:val="auto"/>
              </w:rPr>
            </w:pPr>
            <w:r>
              <w:rPr>
                <w:rFonts w:ascii="Arial" w:cs="Arial" w:eastAsia="Arial" w:hAnsi="Arial"/>
                <w:sz w:val="18"/>
                <w:szCs w:val="18"/>
                <w:color w:val="auto"/>
              </w:rPr>
              <w:t>Balance as of December 31, 2017</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7"/>
              </w:rPr>
              <w:t>Series D-</w:t>
            </w:r>
            <w:r>
              <w:rPr>
                <w:rFonts w:ascii="Arial" w:cs="Arial" w:eastAsia="Arial" w:hAnsi="Arial"/>
                <w:sz w:val="18"/>
                <w:szCs w:val="18"/>
                <w:b w:val="1"/>
                <w:bCs w:val="1"/>
                <w:color w:val="auto"/>
                <w:w w:val="87"/>
              </w:rPr>
              <w:t>1</w:t>
            </w:r>
            <w:r>
              <w:rPr>
                <w:rFonts w:ascii="Arial" w:cs="Arial" w:eastAsia="Arial" w:hAnsi="Arial"/>
                <w:sz w:val="18"/>
                <w:szCs w:val="18"/>
                <w:b w:val="1"/>
                <w:bCs w:val="1"/>
                <w:i w:val="1"/>
                <w:iCs w:val="1"/>
                <w:color w:val="auto"/>
                <w:w w:val="87"/>
              </w:rPr>
              <w:t xml:space="preserve"> Redeemable Convertible Preferred Stock</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2015, the Company entered into a stock purchase agreement with Cowen KP Investment LLC in which Cowen KP Investment LLC agreed to purchase and the Company agreed to sell 3,200,000 shares of the Company’s Series D-1 redeemable convertible preferred stock for $1.25 per share, or an aggregate of $4.0 million. Upon completion of the IPO, these shares automatically converted into 415,584 shares of the Company’s common stock.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A, in April 2015, the Company completed an IPO of its common stock. Upon completion of the IPO, warrants to purchase 15,499,324 shares of Series D preferred stock were reclassified into warrants to purchase 2,066,543 shares of the Company’s common stock.</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2013, the Company issued $3.8 million of convertible notes and the warrants (the “2013 Warrants”) to purchase 1,079,453 shares of equity securities in a future financing meeting specified requirements (a “Qualified Financing”). The 2013 Warrants allow the holders to purchase shares of the same class and series of equity securities issued in the Qualified Financing for an exercise price equal to the per share price paid by the purchasers of such equity securities in the Qualified Financing. When the Company entered into the Deerfield Facility Agreement, the 2013 Warrants became warrants to purchase 1,079,453 shares of Series D preferred stock. Upon completion of the IPO, the 2013 Warrants automatically converted into warrants to purchase 143,466 shares of the Company’s common stock at an exercise price of $5.85 per share. The 2013 Warrants, if unexercised, expire on the earlier of June 2, 2019, or upon a liquidation event.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2014, pursuant to the terms of the Deerfield Facility Agreement, the Company issued the Deerfield Warrant to purchase 14,423,076 shares of Series D preferred stock (Note F). The Company recorded the fair value of the Deerfield Warrant as a debt discount and a warrant liability. The Deerfield Warrant, if unexercised, expires on the earlier of June 2, 2024, or upon a liquidation event. Upon completion of the IPO, the Deerfield Warrant automatically converted into a warrant to purchase 1,923,077 shares of the Company’s common stock at an exercise price of $5.85 per share. The Company is amortizing the debt discount over the term of the Deerfield Convertible Notes and the expense is recorded as interest expense related to amortization of debt issuance costs and discount in the statements of operations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determined that the 2013 Warrants and Deerfield Warrant should be recorded as a liability and stated at fair value at each reporting period upon inception. As stated above, upon completion of the IPO, the 2013 Warrants and the Deerfield Warrant automatically converted into warrants to purchase the Company’s common stock. The Company marked the 2013 Warrants to fair value and reclassified them to equity upon closing of the IPO. The Deerfield Warrant remains classified as a liability and is recorded at fair value at each reporting period since it can be settled in cash. Changes to the fair value of the warrant liability are recorded through the statements of operations as a fair value adjustment (Note 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ind w:left="700" w:hanging="692"/>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2015, the Company amended and restated its Certificate of Incorporation to increase the number of its authorized shares of common stock to 250,000,000 shares. Of the authorized shares, 14,657,430 and 14,646,982 shares of common stock were issued and outstanding as of December 31,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Company had reserved authorized shares of common stock for future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gridSpan w:val="2"/>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Notes</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1,751,410</w:t>
            </w: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1,751,296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Conversion of 2021 Notes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5,040,914</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5,040,914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awards under equity incentive plans</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2,853,924</w:t>
            </w: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1,990,260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Outstanding common stock warrants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2,027,763</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2,087,477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944,700</w:t>
            </w: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1,244,671</w:t>
            </w:r>
          </w:p>
        </w:tc>
        <w:tc>
          <w:tcPr>
            <w:tcW w:w="0" w:type="dxa"/>
            <w:vAlign w:val="bottom"/>
          </w:tcPr>
          <w:p>
            <w:pPr>
              <w:spacing w:after="0"/>
              <w:rPr>
                <w:sz w:val="1"/>
                <w:szCs w:val="1"/>
                <w:color w:val="auto"/>
              </w:rPr>
            </w:pPr>
          </w:p>
        </w:tc>
      </w:tr>
      <w:tr>
        <w:trPr>
          <w:trHeight w:val="209"/>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Total common shares reserved for future issuance</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12,618,711</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12,114,618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4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color w:val="auto"/>
              </w:rPr>
              <w:t>The following table summarizes common stock activity for the years ended December 31, 2017, 2016 and 2015: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1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2,381,041</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Issuance of common stock in connection with the IPO</w:t>
            </w:r>
          </w:p>
        </w:tc>
        <w:tc>
          <w:tcPr>
            <w:tcW w:w="13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5,854,545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preferred stock to common stock in connection with the IPO</w:t>
            </w:r>
          </w:p>
        </w:tc>
        <w:tc>
          <w:tcPr>
            <w:tcW w:w="1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5,980,564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warrants exercised</w:t>
            </w:r>
          </w:p>
        </w:tc>
        <w:tc>
          <w:tcPr>
            <w:tcW w:w="13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270,038</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options exercised</w:t>
            </w:r>
          </w:p>
        </w:tc>
        <w:tc>
          <w:tcPr>
            <w:tcW w:w="1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23"/>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Balance as of December 31, 2015</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14,490,954</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warrants exercised</w:t>
            </w:r>
          </w:p>
        </w:tc>
        <w:tc>
          <w:tcPr>
            <w:tcW w:w="1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141,095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options exercised</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14,646,982</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warrants exercised</w:t>
            </w:r>
          </w:p>
        </w:tc>
        <w:tc>
          <w:tcPr>
            <w:tcW w:w="13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options exercised</w:t>
            </w:r>
          </w:p>
        </w:tc>
        <w:tc>
          <w:tcPr>
            <w:tcW w:w="1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09"/>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Balance as of December 31, 2017</w:t>
            </w:r>
          </w:p>
        </w:tc>
        <w:tc>
          <w:tcPr>
            <w:tcW w:w="13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14,657,430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calculates the fair value of common stock warrants using a Monte Carlo simulation. There were warrants exercised for an aggregate of 698, 141,095 and 270,038 shares of common stock during the years ended December 31, 2017, 2016 and 2015, respectively. From 2008 through 2012, the Company issued warrants to purchase 595,920 shares of common stock in its private placement offerings of Series A redeemable convertible preferred stock, Series B redeemable convertible preferred stock and Series C redeemable convertible preferred stock (the “Underwriter Warrants”) and for leasing laboratory space. The Company accounted for the Underwriter Warrants as a derivative liability, which is adjusted to fair value at each reporting period, with the change in fair value recorded as fair value adjustment in the statements of operations. The last of the Underwriter Warrants expired on the second anniversary of the Company's IPO in the second quarter of 2017.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As of March 28, 2018, the Company has sold 446,111 shares of common stock under the ATM Agreement, resulting in gross proceeds of $2.9 million.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17" w:name="page118"/>
    <w:bookmarkEnd w:id="117"/>
    <w:p>
      <w:pPr>
        <w:ind w:left="700" w:hanging="692"/>
        <w:spacing w:after="0"/>
        <w:tabs>
          <w:tab w:leader="none" w:pos="7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The maximum number of shares of common stock that may be issued under the 2014 Plan is 3,432,183 as of December 31, 2017. The number of shares of common stock reserved for issuance under the 2014 Plan will automatically increase on January 1 of each year, beginning on January 1, 2016, and ending on and including January 1, 2024, by 4% of the total number of shares of the Company’s capital stock outstanding on December 31 of the preceding calendar year, or a lesser number of shares determined by the Board. Pursuant to the terms of the 2014 Plan, on January 1, 2018, the common stock reserved for issuance under the 2014 Plan automatically increased by 586,297 shares.</w:t>
      </w:r>
    </w:p>
    <w:p>
      <w:pPr>
        <w:spacing w:after="0" w:line="16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During the years ended December 31, 2017, 2016 and 2015, stock options to acquire 9,750, 14,933 and 4,766 shares of common stock were exercised for approximately $7,000, $71,000 and $28,000 with an intrinsic value of approximately $32,000, $169,000 and $54,000,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recorded under the Incentive Stock Plan and the 2014 Plan is included in the following line items in the accompanying statements of operations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1,759</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expense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12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6,600</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2,369</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a blend of historical volatilities for publicly traded stock of comparable companies and the Company over the estimated expected term of the stock options. The Company assumes no dividend yield because dividends are not expected to be paid in the near future, which is consistent with the Company’s history of not paying dividends.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the Black-Scholes option-pricing model, the weighted-average fair value of awards granted during the years ended December 31, 2017, 2016 and 2015, fair value was $2.77, $9.25 and $10.63 per share, respectively. The assumptions used to estimate fair value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- 1.99%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700" w:type="dxa"/>
            <w:vAlign w:val="bottom"/>
          </w:tcPr>
          <w:p>
            <w:pPr>
              <w:ind w:left="20"/>
              <w:spacing w:after="0"/>
              <w:rPr>
                <w:sz w:val="20"/>
                <w:szCs w:val="20"/>
                <w:color w:val="auto"/>
              </w:rPr>
            </w:pPr>
            <w:r>
              <w:rPr>
                <w:rFonts w:ascii="Arial" w:cs="Arial" w:eastAsia="Arial" w:hAnsi="Arial"/>
                <w:sz w:val="18"/>
                <w:szCs w:val="18"/>
                <w:color w:val="auto"/>
              </w:rPr>
              <w:t>- 7.00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700" w:type="dxa"/>
            <w:vAlign w:val="bottom"/>
          </w:tcPr>
          <w:p>
            <w:pPr>
              <w:ind w:left="20"/>
              <w:spacing w:after="0"/>
              <w:rPr>
                <w:sz w:val="20"/>
                <w:szCs w:val="20"/>
                <w:color w:val="auto"/>
              </w:rPr>
            </w:pPr>
            <w:r>
              <w:rPr>
                <w:rFonts w:ascii="Arial" w:cs="Arial" w:eastAsia="Arial" w:hAnsi="Arial"/>
                <w:sz w:val="18"/>
                <w:szCs w:val="18"/>
                <w:color w:val="auto"/>
              </w:rPr>
              <w:t>- 6.26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700" w:type="dxa"/>
            <w:vAlign w:val="bottom"/>
          </w:tcPr>
          <w:p>
            <w:pPr>
              <w:ind w:left="40"/>
              <w:spacing w:after="0"/>
              <w:rPr>
                <w:sz w:val="20"/>
                <w:szCs w:val="20"/>
                <w:color w:val="auto"/>
              </w:rPr>
            </w:pPr>
            <w:r>
              <w:rPr>
                <w:rFonts w:ascii="Arial" w:cs="Arial" w:eastAsia="Arial" w:hAnsi="Arial"/>
                <w:sz w:val="18"/>
                <w:szCs w:val="18"/>
                <w:color w:val="auto"/>
              </w:rPr>
              <w:t>- 6.25</w:t>
            </w:r>
          </w:p>
        </w:tc>
        <w:tc>
          <w:tcPr>
            <w:tcW w:w="114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left="1910"/>
              <w:spacing w:after="0" w:line="201" w:lineRule="exact"/>
              <w:rPr>
                <w:sz w:val="20"/>
                <w:szCs w:val="20"/>
                <w:color w:val="auto"/>
              </w:rPr>
            </w:pPr>
            <w:r>
              <w:rPr>
                <w:rFonts w:ascii="Arial" w:cs="Arial" w:eastAsia="Arial" w:hAnsi="Arial"/>
                <w:sz w:val="18"/>
                <w:szCs w:val="18"/>
                <w:color w:val="auto"/>
                <w:w w:val="91"/>
              </w:rPr>
              <w:t>85.35% -</w:t>
            </w:r>
          </w:p>
        </w:tc>
        <w:tc>
          <w:tcPr>
            <w:tcW w:w="138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77.38% -</w:t>
            </w:r>
          </w:p>
        </w:tc>
        <w:tc>
          <w:tcPr>
            <w:tcW w:w="134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68.79% -</w:t>
            </w: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gridSpan w:val="3"/>
            <w:shd w:val="clear" w:color="auto" w:fill="CCEEFF"/>
          </w:tcPr>
          <w:p>
            <w:pPr>
              <w:jc w:val="center"/>
              <w:ind w:left="1910"/>
              <w:spacing w:after="0"/>
              <w:rPr>
                <w:sz w:val="20"/>
                <w:szCs w:val="20"/>
                <w:color w:val="auto"/>
              </w:rPr>
            </w:pPr>
            <w:r>
              <w:rPr>
                <w:rFonts w:ascii="Arial" w:cs="Arial" w:eastAsia="Arial" w:hAnsi="Arial"/>
                <w:sz w:val="18"/>
                <w:szCs w:val="18"/>
                <w:color w:val="auto"/>
                <w:w w:val="88"/>
              </w:rPr>
              <w:t>95.08%</w:t>
            </w:r>
          </w:p>
        </w:tc>
        <w:tc>
          <w:tcPr>
            <w:tcW w:w="138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1"/>
              </w:rPr>
              <w:t>94.78%</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86.84%</w:t>
            </w:r>
          </w:p>
        </w:tc>
        <w:tc>
          <w:tcPr>
            <w:tcW w:w="1140" w:type="dxa"/>
            <w:vAlign w:val="bottom"/>
          </w:tcPr>
          <w:p>
            <w:pPr>
              <w:spacing w:after="0"/>
              <w:rPr>
                <w:sz w:val="20"/>
                <w:szCs w:val="20"/>
                <w:color w:val="auto"/>
              </w:rPr>
            </w:pPr>
          </w:p>
        </w:tc>
      </w:tr>
      <w:tr>
        <w:trPr>
          <w:trHeight w:val="230"/>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00" w:type="dxa"/>
            <w:vAlign w:val="bottom"/>
            <w:gridSpan w:val="3"/>
          </w:tcPr>
          <w:p>
            <w:pPr>
              <w:jc w:val="center"/>
              <w:ind w:left="1890"/>
              <w:spacing w:after="0"/>
              <w:rPr>
                <w:sz w:val="20"/>
                <w:szCs w:val="20"/>
                <w:color w:val="auto"/>
              </w:rPr>
            </w:pPr>
            <w:r>
              <w:rPr>
                <w:rFonts w:ascii="Arial" w:cs="Arial" w:eastAsia="Arial" w:hAnsi="Arial"/>
                <w:sz w:val="18"/>
                <w:szCs w:val="18"/>
                <w:color w:val="auto"/>
                <w:w w:val="92"/>
              </w:rPr>
              <w:t>0%</w:t>
            </w:r>
          </w:p>
        </w:tc>
        <w:tc>
          <w:tcPr>
            <w:tcW w:w="138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0%</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tcPr>
          <w:p>
            <w:pPr>
              <w:spacing w:after="0"/>
              <w:rPr>
                <w:sz w:val="20"/>
                <w:szCs w:val="20"/>
                <w:color w:val="auto"/>
              </w:rPr>
            </w:pPr>
          </w:p>
        </w:tc>
      </w:tr>
      <w:tr>
        <w:trPr>
          <w:trHeight w:val="417"/>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823"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activity under the Incentive Stock Plan and the 2014 Plan for the year ended December 31, 2017,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as of January 1, 2017</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919,000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Canceled or 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(38,920)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rPr>
                <w:sz w:val="20"/>
                <w:szCs w:val="20"/>
                <w:color w:val="auto"/>
              </w:rPr>
            </w:pPr>
            <w:r>
              <w:rPr>
                <w:rFonts w:ascii="Arial" w:cs="Arial" w:eastAsia="Arial" w:hAnsi="Arial"/>
                <w:sz w:val="18"/>
                <w:szCs w:val="18"/>
                <w:color w:val="auto"/>
              </w:rPr>
              <w:t>Outstanding balance as of December 31, 2017</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2,853,924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2017</w:t>
            </w:r>
          </w:p>
        </w:tc>
        <w:tc>
          <w:tcPr>
            <w:tcW w:w="1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1,044,392</w:t>
            </w:r>
          </w:p>
        </w:tc>
        <w:tc>
          <w:tcPr>
            <w:tcW w:w="1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12.38</w:t>
            </w:r>
          </w:p>
        </w:tc>
        <w:tc>
          <w:tcPr>
            <w:tcW w:w="13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6.78</w:t>
            </w:r>
          </w:p>
        </w:tc>
        <w:tc>
          <w:tcPr>
            <w:tcW w:w="2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29,237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Pr>
          <w:p>
            <w:pPr>
              <w:spacing w:after="0" w:line="182" w:lineRule="exact"/>
              <w:rPr>
                <w:sz w:val="20"/>
                <w:szCs w:val="20"/>
                <w:color w:val="auto"/>
              </w:rPr>
            </w:pPr>
            <w:r>
              <w:rPr>
                <w:rFonts w:ascii="Arial" w:cs="Arial" w:eastAsia="Arial" w:hAnsi="Arial"/>
                <w:sz w:val="18"/>
                <w:szCs w:val="18"/>
                <w:color w:val="auto"/>
                <w:w w:val="95"/>
              </w:rPr>
              <w:t>Vested and expected to vest as of December 31,</w:t>
            </w: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2,760,447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6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10.62</w:t>
            </w:r>
          </w:p>
        </w:tc>
        <w:tc>
          <w:tcPr>
            <w:tcW w:w="1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7.87</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440,178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currently outstanding and exercisable options as of December 31, 2017,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Term (in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Term (in</w:t>
            </w:r>
          </w:p>
        </w:tc>
      </w:t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09"/>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$2.75 to $5.00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1,055,244</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76,244</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16"/>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$5.01 to $10.00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366,447</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5.77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345,146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5.72</w:t>
            </w:r>
          </w:p>
        </w:tc>
      </w:tr>
      <w:tr>
        <w:trPr>
          <w:trHeight w:val="216"/>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$10.01 to $15.00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471,833</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189,291</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$15.01 to $20.00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612,600</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7.89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259,811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7.76</w:t>
            </w:r>
          </w:p>
        </w:tc>
      </w:tr>
      <w:tr>
        <w:trPr>
          <w:trHeight w:val="216"/>
        </w:trPr>
        <w:tc>
          <w:tcPr>
            <w:tcW w:w="3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$20.01 to $22.12</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347,800</w:t>
            </w: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173,900</w:t>
            </w: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09"/>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2,853,924</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7.90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1,044,392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6.78</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fair value of stock options vested during the years ended December 31, 2017, 2016 and 2015, was $4.1 million, $5.4 million and $1.1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Unvested stock options as of December 31, 2017 and 2016, were as follows: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6"/>
              </w:rPr>
              <w:t>Number of Unvested Shares</w:t>
            </w:r>
          </w:p>
        </w:tc>
        <w:tc>
          <w:tcPr>
            <w:tcW w:w="0" w:type="dxa"/>
            <w:vAlign w:val="bottom"/>
          </w:tcPr>
          <w:p>
            <w:pPr>
              <w:spacing w:after="0"/>
              <w:rPr>
                <w:sz w:val="1"/>
                <w:szCs w:val="1"/>
                <w:color w:val="auto"/>
              </w:rPr>
            </w:pPr>
          </w:p>
        </w:tc>
      </w:tr>
      <w:tr>
        <w:trPr>
          <w:trHeight w:val="209"/>
        </w:trPr>
        <w:tc>
          <w:tcPr>
            <w:tcW w:w="764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Exercise Price</w:t>
            </w:r>
          </w:p>
        </w:tc>
        <w:tc>
          <w:tcPr>
            <w:tcW w:w="26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7640" w:type="dxa"/>
            <w:vAlign w:val="bottom"/>
            <w:gridSpan w:val="3"/>
            <w:vMerge w:val="continue"/>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$2.75 to $5.00</w:t>
            </w: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979,000</w:t>
            </w:r>
          </w:p>
        </w:tc>
        <w:tc>
          <w:tcPr>
            <w:tcW w:w="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$5.01 to $10.00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21,301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97,480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to $15.00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282,542</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378,500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$15.01 to $20.00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352,789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516,938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$20.01 to $22.12</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173,900</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260,850</w:t>
            </w:r>
          </w:p>
        </w:tc>
        <w:tc>
          <w:tcPr>
            <w:tcW w:w="0" w:type="dxa"/>
            <w:vAlign w:val="bottom"/>
          </w:tcPr>
          <w:p>
            <w:pPr>
              <w:spacing w:after="0"/>
              <w:rPr>
                <w:sz w:val="1"/>
                <w:szCs w:val="1"/>
                <w:color w:val="auto"/>
              </w:rPr>
            </w:pPr>
          </w:p>
        </w:tc>
      </w:tr>
      <w:tr>
        <w:trPr>
          <w:trHeight w:val="209"/>
        </w:trPr>
        <w:tc>
          <w:tcPr>
            <w:tcW w:w="7640" w:type="dxa"/>
            <w:vAlign w:val="bottom"/>
            <w:gridSpan w:val="3"/>
          </w:tcPr>
          <w:p>
            <w:pPr>
              <w:ind w:left="1140"/>
              <w:spacing w:after="0"/>
              <w:rPr>
                <w:sz w:val="20"/>
                <w:szCs w:val="20"/>
                <w:color w:val="auto"/>
              </w:rPr>
            </w:pPr>
            <w:r>
              <w:rPr>
                <w:rFonts w:ascii="Arial" w:cs="Arial" w:eastAsia="Arial" w:hAnsi="Arial"/>
                <w:sz w:val="18"/>
                <w:szCs w:val="18"/>
                <w:color w:val="auto"/>
              </w:rPr>
              <w:t>Total number of unvested shares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1,809,532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1,352,768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As of December 31, 2017, there was $8.5 million of total unrecognized compensation cost related to unvested share-based compensation arrangements granted under the Incentive Stock Plan and 2014 Plan. That compensation cost is expected to be recognized over a weighted-average period of 2.06 years.</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was no stock-based compensation expense related to performance-based awards recognized during the year ended December 31, 2017. During the year ended December 31, 2016, the Company recognized $44,000 of stock-based compensation expense related to performance-based awards included in research and development expenses. These awards were in connection with the strategic initiatives set for the award that were achieved in 2016 exercisable for an aggregate of 13,333 shares of common stock during the year ended December 31, 2016. During the year ended December 31, 2015, the Company recognized $0.7 million of stock-based compensation expense related to performance-based awards included in general and administrative expenses and $0.2 million of stock-based compensation expense related to performance-based awards included in research and development expenses. These awards were in connection with the grant of fully vested stock options exercisable for an aggregate of 163,998 shares of common stock during the year ended December 31, 2015.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9" w:name="page120"/>
    <w:bookmarkEnd w:id="119"/>
    <w:p>
      <w:pPr>
        <w:ind w:left="700" w:hanging="692"/>
        <w:spacing w:after="0"/>
        <w:tabs>
          <w:tab w:leader="none" w:pos="7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restricted cash and accounts payable, approximate their respective fair values due to the short-term nature of such instruments.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Deerfield Convertible Notes was $11.0 million and $10.2 million, respectively, as of December 31, 2017 and 2016. The fair value of the 2021 Notes was $51.9 million and $46.3 million, respectively, as of December 31, 2017 and 2016. Both the Deerfield Convertible Notes and 2021 Notes fall within Level 3 of the fair value hierarchy as their value is based on the credit worthiness of the Company, which is an unobservable input. The Company used a Tsiveriotis-Fernandes model to value the Deerfield Convertible Notes and 2021 Notes as of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2017 and 2016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Active Markets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Balance as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Observable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Inputs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3"/>
              </w:rPr>
              <w:t>(Level 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(Level 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Embedded Warrant Put 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Fundamental change and make-whole interest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provisions embedded in 2021 Notes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Embedded Deerfield Note Put Option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2,215</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Trading securities:</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25,988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U.S. government-sponsored agency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34,608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31,604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3,004</w:t>
            </w:r>
          </w:p>
        </w:tc>
        <w:tc>
          <w:tcPr>
            <w:tcW w:w="4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Quoted Prices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Active Markets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Balance as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Underwriter Warrant liability</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Deerfield Warrant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Embedded Warrant Put Option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7"/>
              </w:rPr>
              <w:t>Fundamental change and make-whole 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color w:val="auto"/>
              </w:rPr>
              <w:t>provisions embedded in 2021 Notes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8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Trading securities: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37,066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U.S. government-sponsored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59,203</w:t>
            </w:r>
          </w:p>
        </w:tc>
        <w:tc>
          <w:tcPr>
            <w:tcW w:w="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44,854</w:t>
            </w: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14,349</w:t>
            </w:r>
          </w:p>
        </w:tc>
        <w:tc>
          <w:tcPr>
            <w:tcW w:w="4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20" w:name="page121"/>
    <w:bookmarkEnd w:id="120"/>
    <w:p>
      <w:pPr>
        <w:jc w:val="both"/>
        <w:spacing w:after="0" w:line="286" w:lineRule="auto"/>
        <w:rPr>
          <w:sz w:val="20"/>
          <w:szCs w:val="20"/>
          <w:color w:val="auto"/>
        </w:rPr>
      </w:pPr>
      <w:r>
        <w:rPr>
          <w:rFonts w:ascii="Arial" w:cs="Arial" w:eastAsia="Arial" w:hAnsi="Arial"/>
          <w:sz w:val="16"/>
          <w:szCs w:val="16"/>
          <w:color w:val="auto"/>
        </w:rPr>
        <w:t>The Company’s Underwriter Warrant liability, Deerfield Warrant liability, embedded Warrant Put Option, the fundamental change and the make-whole interest provisions embedded in the 2021 Notes and the embedded Deerfield Note Put Option, as well as the trading securities are measured at fair value on a recurring basis. As of December 31, 2017 and 2016, the Underwriter Warrant liability, Deerfield Warrant liability, embedded Warrant Put Option and the fundamental change and make-whole interest provisions embedded in the 2021 Notes are reported on the balance sheets in derivative and warrant liability, while the trading securities are reported on the balance sheets in marketable securities and long-term investments. As of December 31, 2017, the embedded Deerfield Note Put Option is reported on the balance sheet in derivative and warrant liability. The Company used a Monte Carlo simulation to value the Underwriter Warrant liability, Deerfield Warrant liability, embedded Warrant Put Option and the fundamental change and make-whole interest provisions embedded in the 2021 Notes as of December 31, 2017 and 2016. The Company also used a Monte Carlo simulation to value the embedded Deerfield Note Put Option as of December 31, 2017. Significant unobservable inputs used in measuring the fair value of these financial instruments included the Company’s estimated enterprise value, an estimate of the timing of a liquidity or fundamental change event, a present value discount rate and an estimate of the Company’s stock volatility using the volatilities of guideline peer companies. Changes in the fair value of the Underwriter Warrant liability, Deerfield Warrant liability, embedded Warrant Put Option, the fundamental change and make-whole interest provisions embedded in the 2021 Notes and the embedded Deerfield Note Put Option are reflected in the statements of operations as a fair value adjustment.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3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fair value</w:t>
            </w:r>
          </w:p>
        </w:tc>
        <w:tc>
          <w:tcPr>
            <w:tcW w:w="3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1140"/>
              <w:spacing w:after="0"/>
              <w:rPr>
                <w:sz w:val="20"/>
                <w:szCs w:val="20"/>
                <w:color w:val="auto"/>
              </w:rPr>
            </w:pPr>
            <w:r>
              <w:rPr>
                <w:rFonts w:ascii="Arial" w:cs="Arial" w:eastAsia="Arial" w:hAnsi="Arial"/>
                <w:sz w:val="18"/>
                <w:szCs w:val="18"/>
                <w:color w:val="auto"/>
              </w:rPr>
              <w:t>Balance as of end of period</w:t>
            </w:r>
          </w:p>
        </w:tc>
        <w:tc>
          <w:tcPr>
            <w:tcW w:w="3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7,709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40" w:type="dxa"/>
            <w:vAlign w:val="bottom"/>
            <w:vMerge w:val="restart"/>
          </w:tcPr>
          <w:p>
            <w:pPr>
              <w:jc w:val="right"/>
              <w:ind w:right="1690"/>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1" w:name="page122"/>
    <w:bookmarkEnd w:id="121"/>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financial statements include a total state tax benefit related to research and development credits of $43,000, $15,000 and $15,000 on a loss before income taxes of $43.4 million, $16.5 million and $54.6 million for the years ended December 31, 2017, 2016 and 2015, respectively. A reconciliation of the difference between the benefit for income taxes and income taxes at the statutory U.S. federal income tax rate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Effect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Return to provision and deferred true-up</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State tax benefit (net of federal)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68.44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State research and development credit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research and development credit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feature and put option on convertible notes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9"/>
        </w:trPr>
        <w:tc>
          <w:tcPr>
            <w:tcW w:w="6100" w:type="dxa"/>
            <w:vAlign w:val="bottom"/>
            <w:gridSpan w:val="2"/>
          </w:tcPr>
          <w:p>
            <w:pPr>
              <w:ind w:left="1140"/>
              <w:spacing w:after="0"/>
              <w:rPr>
                <w:sz w:val="20"/>
                <w:szCs w:val="20"/>
                <w:color w:val="auto"/>
              </w:rPr>
            </w:pPr>
            <w:r>
              <w:rPr>
                <w:rFonts w:ascii="Arial" w:cs="Arial" w:eastAsia="Arial" w:hAnsi="Arial"/>
                <w:sz w:val="18"/>
                <w:szCs w:val="18"/>
                <w:color w:val="auto"/>
              </w:rPr>
              <w:t>Federal income tax benefit (provision) effective rate</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w w:val="92"/>
              </w:rPr>
              <w:t>The components of deferred tax assets and liabilities are as follows (in thousands):</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relating to:</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37,028</w:t>
            </w:r>
          </w:p>
        </w:tc>
        <w:tc>
          <w:tcPr>
            <w:tcW w:w="8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44,984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tax carryforward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Other deferred tax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2,409</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43,225</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48,865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tax liabilities relating to:</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less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(42,965)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(48,776)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(29,023)</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H.R. 1, “An Act to provide for reconciliation pursuant to titles II and V of the concurrent resolution on the budget for fiscal year 2018” (the "2017 Tax Act") was signed into law on December 22, 2017. The 2017 Tax Act significantly revises the U.S. corporate income tax by, among other things, lowering the statutory corporate tax rate from 35% to 21%, eliminating certain deductions, imposing a mandatory one-time tax on accumulated earnings of foreign subsidiaries, introducing new tax regimes, and changing how foreign earnings are subject to U.S. tax. The 2017 Tax Act also enhanced and extended through 2026 the option to claim accelerated depreciation deductions on qualified property.</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on December 22, 2017, the SEC staff issued Staff Accounting Bulletin No. 118 (“SAB 118”), which provides guidance on accounting for the tax effects of the 2017 Tax Act. SAB 118 provides a measurement period that should not extend beyond one year from the 2017 Tax Act enactment date for companies to complete the accounting under ASC 740, Income Taxes. As of December 31, 2017, the Company has not completed its accounting related to the enactment of the 2017 Tax Act. However, the Company has made reasonable estimates of the effects on its income tax provision with respect to certain items, primarily the revaluation of its existing U.S. deferred tax balances as described above.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22" w:name="page123"/>
    <w:bookmarkEnd w:id="122"/>
    <w:p>
      <w:pPr>
        <w:jc w:val="both"/>
        <w:spacing w:after="0" w:line="25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not realize the benefits of these deductible differences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federal net operating loss carryforward and research activities credits as of December 31, 2017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Net Operating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Research</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Year Incurred</w:t>
            </w:r>
          </w:p>
        </w:tc>
        <w:tc>
          <w:tcPr>
            <w:tcW w:w="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Carryforwards</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Activities Credit</w:t>
            </w:r>
          </w:p>
        </w:tc>
        <w:tc>
          <w:tcPr>
            <w:tcW w:w="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Expiration</w:t>
            </w:r>
          </w:p>
        </w:tc>
      </w:tr>
      <w:tr>
        <w:trPr>
          <w:trHeight w:val="209"/>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2030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2032</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2036</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137,331</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3,788</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certain state net operating loss carryforwards totaling $134.6 million that expire between 2027 and 2037. Due to potential ownership changes that may have occurred or would occur in the future, Internal Revenue Code Section 382 may place additional limitations on the Company’s ability to utilize the net operating loss carryforward.</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uses the term “more likely than not” to evaluate whether or not a tax position will be sustained upon examination. The Company has not identified any tax positions that do not meet the more likely than not threshold.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3" w:name="page124"/>
    <w:bookmarkEnd w:id="123"/>
    <w:p>
      <w:pPr>
        <w:ind w:left="700" w:hanging="692"/>
        <w:spacing w:after="0"/>
        <w:tabs>
          <w:tab w:leader="none" w:pos="7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year earnings that participating securities would have been entitled to receive pursuant to their dividend rights had all of the year’s earnings been distributed. No such adjustment to earnings is made during periods with a net loss as the holders of the participating securities have no obligation to fund losses. Diluted net earnings per common share is computed under the two-class method by using the weighted average number of shares of common stock outstanding plus, for periods with net income attributable to common stockholders, the potential dilutive effects of stock options and warrants. In addition, the Company analyzes the potential dilutive effect of the outstanding participating securities under the if-converted method when calculating diluted earnings per share in which it is assumed that the outstanding participating securities convert into common stock at the beginning of the period. The Company reports the more dilutive of the approaches (two-class or if-converted) as its diluted net earnings per share during the period.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and net loss per share of the Company (in thousands, except share and per share amounts):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 basic and diluted</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of common stock - basic and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14,652,898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14,597,053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7,368,681</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net loss per share is the same as basic net loss per share for all periods presented because the effects of potentially dilutive items were anti-dilutive given the Company’s net loss. The following securities, presented on a common stock equivalent basis, have been excluded from the calculation of weighted average number of shares of common stock outstanding because their effect is anti-dilutive:</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2,027,763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2,087,477</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2,325,383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Awards under equity incentive plans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2,853,924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1,990,260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1,397,511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Deerfield Convertible Notes</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1,751,410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1,751,296</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2021 Notes</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5,040,914</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5,040,914</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Total securities excluded from the calculation of weighted average</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11,674,011</w:t>
            </w:r>
          </w:p>
        </w:tc>
        <w:tc>
          <w:tcPr>
            <w:tcW w:w="100" w:type="dxa"/>
            <w:vAlign w:val="bottom"/>
            <w:vMerge w:val="restart"/>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10,869,947</w:t>
            </w:r>
          </w:p>
        </w:tc>
        <w:tc>
          <w:tcPr>
            <w:tcW w:w="80" w:type="dxa"/>
            <w:vAlign w:val="bottom"/>
            <w:vMerge w:val="restart"/>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5,714,113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number of shares of common stock outstanding</w:t>
            </w: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700" w:hanging="692"/>
        <w:spacing w:after="0"/>
        <w:tabs>
          <w:tab w:leader="none" w:pos="7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Expense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15, 2016, the Company announced its intention to defer its commercial operations and realign its financial resources and operational priorities towards its product development pipeline. The activities related to the deferral and realignment were completed during the year ended December 31, 2016. As part of these activities, the Company reduced its workforce by three employees. Personnel and other related charges of approximately $1.1 million and stock compensation expense of approximately $1.9 million related to the acceleration of vesting on certain stock options, related to the workforce reduction, were presented as severance expense in the statements of operations for the year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had no accrued severance expense recorded within accounts payable and accrued expenses.</w:t>
      </w:r>
    </w:p>
    <w:p>
      <w:pPr>
        <w:spacing w:after="0" w:line="200" w:lineRule="exact"/>
        <w:rPr>
          <w:sz w:val="20"/>
          <w:szCs w:val="20"/>
          <w:color w:val="auto"/>
        </w:rPr>
      </w:pPr>
    </w:p>
    <w:p>
      <w:pPr>
        <w:spacing w:after="0" w:line="263" w:lineRule="exact"/>
        <w:rPr>
          <w:sz w:val="20"/>
          <w:szCs w:val="20"/>
          <w:color w:val="auto"/>
        </w:rPr>
      </w:pPr>
    </w:p>
    <w:p>
      <w:pPr>
        <w:ind w:left="700" w:hanging="692"/>
        <w:spacing w:after="0"/>
        <w:tabs>
          <w:tab w:leader="none" w:pos="7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$207,000, $213,000 and $113,000 for the years ended December 31, 2017, 2016 and 2015,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discretionary profit sharing plan (the “Profit Sharing Plan”) that covers all employees. Employees become eligible participants in the Profit Sharing Plan once they have provided three years of service to the Company. The Company made no contributions to the Profit Sharing Plan in 2017, 2016 or 2015.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24" w:name="page125"/>
    <w:bookmarkEnd w:id="124"/>
    <w:p>
      <w:pPr>
        <w:ind w:left="700" w:hanging="692"/>
        <w:spacing w:after="0"/>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set forth unaudited quarterly statements of operations data for each of the quarters indicated. The financial statements for each of these quarters have been prepared on the same basis as the audited financial statements included herein and, in the opinion of management, include all adjustments, consisting only of normal recurring adjustments, necessary for the fair statement of the results of operations for these periods. You should read this information together with our financial statements and related notes included herein. These quarterly operating results are not necessarily indicative of the results for any future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Three-Months Ended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5"/>
              </w:rPr>
              <w:t>Dec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Sep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Jun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8"/>
              </w:rPr>
              <w:t>Dec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Sep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Jun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Severance expense</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9,612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Loss on extinguishment of</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01"/>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Interest expense related to</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w w:val="95"/>
              </w:rPr>
              <w:t>amortization of debt issuance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60"/>
              <w:spacing w:after="0"/>
              <w:rPr>
                <w:sz w:val="20"/>
                <w:szCs w:val="20"/>
                <w:color w:val="auto"/>
              </w:rPr>
            </w:pPr>
            <w:r>
              <w:rPr>
                <w:rFonts w:ascii="Arial" w:cs="Arial" w:eastAsia="Arial" w:hAnsi="Arial"/>
                <w:sz w:val="18"/>
                <w:szCs w:val="18"/>
                <w:color w:val="auto"/>
              </w:rPr>
              <w:t>costs and discount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Interest expense on principal</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1"/>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w w:val="96"/>
              </w:rPr>
              <w:t>Fair value adjustment related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to derivative and warrant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6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and other income,</w:t>
            </w: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ind w:left="340"/>
              <w:spacing w:after="0" w:line="195" w:lineRule="exact"/>
              <w:rPr>
                <w:sz w:val="20"/>
                <w:szCs w:val="20"/>
                <w:color w:val="auto"/>
              </w:rPr>
            </w:pPr>
            <w:r>
              <w:rPr>
                <w:rFonts w:ascii="Arial" w:cs="Arial" w:eastAsia="Arial" w:hAnsi="Arial"/>
                <w:sz w:val="18"/>
                <w:szCs w:val="18"/>
                <w:color w:val="auto"/>
              </w:rPr>
              <w:t>Total other</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19,039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7"/>
        </w:trPr>
        <w:tc>
          <w:tcPr>
            <w:tcW w:w="2420" w:type="dxa"/>
            <w:vAlign w:val="bottom"/>
          </w:tcPr>
          <w:p>
            <w:pPr>
              <w:ind w:left="340"/>
              <w:spacing w:after="0"/>
              <w:rPr>
                <w:sz w:val="20"/>
                <w:szCs w:val="20"/>
                <w:color w:val="auto"/>
              </w:rPr>
            </w:pPr>
            <w:r>
              <w:rPr>
                <w:rFonts w:ascii="Arial" w:cs="Arial" w:eastAsia="Arial" w:hAnsi="Arial"/>
                <w:sz w:val="18"/>
                <w:szCs w:val="18"/>
                <w:color w:val="auto"/>
              </w:rPr>
              <w:t>(expense) income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 income before income</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(0.92)</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700" w:hanging="692"/>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2018, the Company announced that the FDA approved its New Drug Application for APADAZ for the short-term (no more than 14 days) management of acute pain severe enough to require an opioid analgesic and for which alternative treatments are inadequate. APADAZ is an immediate-release combination of the Company's prodrug, benzhydrocodone, and acetaminophen. APADAZ was developed from the Company's proprietary LAT platform technology.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17"/>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Exhibit No.</w:t>
            </w: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14"/>
          </w:tcPr>
          <w:p>
            <w:pPr>
              <w:ind w:left="6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14"/>
                <w:szCs w:val="14"/>
                <w:color w:val="auto"/>
              </w:rPr>
            </w:pPr>
          </w:p>
        </w:tc>
        <w:tc>
          <w:tcPr>
            <w:tcW w:w="10240" w:type="dxa"/>
            <w:vAlign w:val="bottom"/>
            <w:tcBorders>
              <w:bottom w:val="single" w:sz="8" w:color="0000EE"/>
            </w:tcBorders>
            <w:gridSpan w:val="30"/>
          </w:tcPr>
          <w:p>
            <w:pPr>
              <w:spacing w:after="0" w:line="169"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Asset Purchase Agreement, by and between Shire LLC and Travis C. Mickle, Ph.D. and the Registrant, dated as of March 21, 2012</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(incorporated herein by reference to the Registrant’s Amendment No. 1 to Registration Statement on Form S-1/A (File No. 333-202660) as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filed with the SEC on April 3, 2015).</w:t>
              </w:r>
            </w:hyperlink>
          </w:p>
        </w:tc>
        <w:tc>
          <w:tcPr>
            <w:tcW w:w="7560" w:type="dxa"/>
            <w:vAlign w:val="bottom"/>
            <w:gridSpan w:val="20"/>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Amended and Restated Certificate of Incorporation of KemPharm, Inc. (incorporated herein by reference to the Registrant’s Current Report</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on Form 8-K as filed with the SEC on April 21, 2015).</w:t>
              </w:r>
            </w:hyperlink>
          </w:p>
        </w:tc>
        <w:tc>
          <w:tcPr>
            <w:tcW w:w="6280" w:type="dxa"/>
            <w:vAlign w:val="bottom"/>
            <w:gridSpan w:val="1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Amended and Restated Bylaws, as currently in effect, of KemPharm, Inc. (incorporated herein by reference to the Registrant’s Current Report</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Form 8-K as filed with the SEC on April 21, 2015).</w:t>
              </w:r>
            </w:hyperlink>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39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auto"/>
                <w:w w:val="99"/>
              </w:rPr>
              <w:t xml:space="preserve">Reference is made to Exhibits </w:t>
            </w:r>
            <w:r>
              <w:rPr>
                <w:rFonts w:ascii="Arial" w:cs="Arial" w:eastAsia="Arial" w:hAnsi="Arial"/>
                <w:sz w:val="18"/>
                <w:szCs w:val="18"/>
                <w:color w:val="0000EE"/>
                <w:w w:val="99"/>
              </w:rPr>
              <w:t>3.1</w:t>
            </w:r>
            <w:r>
              <w:rPr>
                <w:rFonts w:ascii="Arial" w:cs="Arial" w:eastAsia="Arial" w:hAnsi="Arial"/>
                <w:sz w:val="18"/>
                <w:szCs w:val="18"/>
                <w:color w:val="auto"/>
                <w:w w:val="99"/>
              </w:rPr>
              <w:t xml:space="preserve"> and </w:t>
            </w:r>
            <w:r>
              <w:rPr>
                <w:rFonts w:ascii="Arial" w:cs="Arial" w:eastAsia="Arial" w:hAnsi="Arial"/>
                <w:sz w:val="18"/>
                <w:szCs w:val="18"/>
                <w:color w:val="0000EE"/>
                <w:w w:val="99"/>
              </w:rPr>
              <w:t>3.2</w:t>
            </w:r>
            <w:r>
              <w:rPr>
                <w:rFonts w:ascii="Arial" w:cs="Arial" w:eastAsia="Arial" w:hAnsi="Arial"/>
                <w:sz w:val="18"/>
                <w:szCs w:val="18"/>
                <w:color w:val="auto"/>
                <w:w w:val="99"/>
              </w:rPr>
              <w:t xml:space="preserve"> hereof.</w:t>
            </w:r>
          </w:p>
        </w:tc>
        <w:tc>
          <w:tcPr>
            <w:tcW w:w="6300" w:type="dxa"/>
            <w:vAlign w:val="bottom"/>
            <w:gridSpan w:val="1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Specimen stock certificate evidencing shares of Common Stock (incorporated herein by reference to the Registrant’s Amendment No. 2 to</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Registration Statement on Form S-1/A (File No. 333-202660) as filed with the SEC on April 9, 2015).</w:t>
              </w:r>
            </w:hyperlink>
          </w:p>
        </w:tc>
        <w:tc>
          <w:tcPr>
            <w:tcW w:w="2860" w:type="dxa"/>
            <w:vAlign w:val="bottom"/>
            <w:gridSpan w:val="9"/>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Indenture, by and between the Registrant and U.S. Bank National Association, dated as of February 9, 2016 (incorporated herein by reference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to the Registrant’s Current Report on Form 8-K filed with the SEC on February 9, 2016).</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Form of Note representing the Company’s 5.50% Senior Convertible Notes due 2021 (included as Exhibit A to the Indenture filed hereto as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Exhibit 4.3) (incorporated herein by reference to the Registrant’s Current Report on Form 8-K as filed with the SEC on February 9, 2016).</w:t>
              </w:r>
            </w:hyperlink>
          </w:p>
        </w:tc>
        <w:tc>
          <w:tcPr>
            <w:tcW w:w="280" w:type="dxa"/>
            <w:vAlign w:val="bottom"/>
            <w:gridSpan w:val="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2"/>
              </w:rPr>
              <w:t>10.1+</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Material Supply Agreement, by and between the Registrant and Johnson Matthey, Inc., dated as of November 2, 2009 (incorporated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reference Registrant’s Amendment No. 1 to Registration Statement on Form S-1/A (File No. 333-202660) as filed with the SEC on April</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3, 2015).</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Facility Agreement, by and between the Registrant and Deerfield Private Design Fund III, L.P., dated as of June 2, 2014 (incorporated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reference to the Registrant’s Registration Statement on Form S-1 (File No. 333-202660) as filed with the SEC on March 11, 2015).</w:t>
              </w:r>
            </w:hyperlink>
          </w:p>
        </w:tc>
        <w:tc>
          <w:tcPr>
            <w:tcW w:w="820" w:type="dxa"/>
            <w:vAlign w:val="bottom"/>
            <w:gridSpan w:val="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10.2.1</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First Amendment to Facility Agreement, Senior Secured Convertible Note and Warrant, by and between Registrant and Deerfield Private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Design Fund III, L.P., dated March 6, 2015 (incorporated by reference to the Registrant’s Registration Statement on Form S-1 (File No. 333-</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202660) as filed with the SEC on March 11,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Second Amendment to Facility Agreement by and between Registrant and Deerfield Private Design Fund III, L.P., dated December 17, 2015</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(incorporated by reference to the Registrant’s Registration Statement on Form S-1 (File No. 333-208633) as filed with the SEC on December</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18, 2015).</w:t>
              </w:r>
            </w:hyperlink>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10.2.3</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Third Amendment to Facility Agreement, Senior Secured Convertible Note and Warrant, by and between Registrant and Deerfield Private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Design Fund III, L.P., dated February 3, 2016 (incorporated herein by reference to the Registrant’s Current Report on Form 8-K as filed with</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the SEC on February 9, 2016).</w:t>
              </w:r>
            </w:hyperlink>
          </w:p>
        </w:tc>
        <w:tc>
          <w:tcPr>
            <w:tcW w:w="8020" w:type="dxa"/>
            <w:vAlign w:val="bottom"/>
            <w:gridSpan w:val="2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Senior Secured Convertible Note issued to Deerfield Private Design Fund III, L.P., dated as of June 2, 2014 (incorporated by reference to the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Registrant’s Registration Statement on Form S-1 (File No. 333-202660) as filed with the SEC on March 11, 2015).</w:t>
              </w:r>
            </w:hyperlink>
          </w:p>
        </w:tc>
        <w:tc>
          <w:tcPr>
            <w:tcW w:w="1980" w:type="dxa"/>
            <w:vAlign w:val="bottom"/>
            <w:gridSpan w:val="7"/>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10.3.1</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Second Amendment to Senior Secured Convertible Note and Warrant, by and between Registrant and Deerfield Private Design Fund III, L.P.,</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dated January 6, 2016 (incorporated by reference to the Registrant’s Current Report on Form 8-K as filed with the SEC on January 11, 2016).</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Fourth Amendment to Senior Secured Convertible Note and Warrant, effective as of October 3, 2016, by and between KemPharm, Inc. and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Deerfield Private Design Fund III, L.P. (incorporated herein by reference to the Registrant's Current Report on Form 8-K as filed with the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SEC on October 3, 2016).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Amended and Restated Investors’ Rights Agreement, dated as of February 19, 2015, by and among the Registrant and certain of its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stockholders (incorporated herein by reference to the Registrant’s Registration Statement on Form S-1 (File No. 333-202660) as filed with the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SEC on March 11,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Warrant to Purchase Shares of Series D Preferred Stock issued to Deerfield Private Design Fund III, L.P., dated as of June 2, 2014</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(incorporated herein by reference to the Registrant’s Registration Statement on Form S-1 (File No. 333-202660) as filed with the SEC 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March 11, 2015).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Form of Stock Purchase Warrant to purchase shares of Series D Convertible Preferred Stock issued in bridge financing, along with a schedule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of warrantholders (incorporated herein by reference to the Registrant’s Registration Statement on Form S-1 (File No. 333-202660) as filed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with the SEC on March 11, 2015).</w:t>
              </w:r>
            </w:hyperlink>
          </w:p>
        </w:tc>
        <w:tc>
          <w:tcPr>
            <w:tcW w:w="7760" w:type="dxa"/>
            <w:vAlign w:val="bottom"/>
            <w:gridSpan w:val="21"/>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2"/>
              </w:rPr>
              <w:t>10.7+</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Agreement to Terminate CLA, by and between MonoSol Rx, LLC and the Registrant, dated as of March 20, 2012 (incorporated herein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reference to the Registrant's Amendment No. 1 to Registration Statement on Form S-1/A (File No. 333-202660) as filed with the SEC 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April 3, 2015).</w:t>
              </w:r>
            </w:hyperlink>
          </w:p>
        </w:tc>
        <w:tc>
          <w:tcPr>
            <w:tcW w:w="9160" w:type="dxa"/>
            <w:vAlign w:val="bottom"/>
            <w:gridSpan w:val="27"/>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10.8#</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Incentive Stock Plan, as amended to date (incorporated herein by reference to the Registrant's Registration Statement on Form S-1 (File No.</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333-202660) as filed with the SEC on March 11, 2015).</w:t>
              </w:r>
            </w:hyperlink>
          </w:p>
        </w:tc>
        <w:tc>
          <w:tcPr>
            <w:tcW w:w="6220" w:type="dxa"/>
            <w:vAlign w:val="bottom"/>
            <w:gridSpan w:val="1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10.9#</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Form of Incentive Stock Option Agreement under Incentive Stock Plan (incorporated herein by reference to the Registrant's Registration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Statement on Form S-1 (File No. 333-202660) as filed with the SEC on March 11,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2740" w:type="dxa"/>
            <w:vAlign w:val="bottom"/>
            <w:gridSpan w:val="11"/>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10.10#</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Form of Nonqualified Stock Option Agreement under Incentive Stock Plan (incorporated herein by reference to the Registrant's Registration</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Statement on Form S-1 (File No. 333-202660) as filed with the SEC on March 11,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2740" w:type="dxa"/>
            <w:vAlign w:val="bottom"/>
            <w:gridSpan w:val="11"/>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10.11#</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Form of 2014 Equity Incentive Plan (incorporated herein by reference to Registrant's Amendment No. 1 to Registration Statement on Form 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1/A (File No. 333-202660) as filed with the SEC on April 3, 2015).</w:t>
              </w:r>
            </w:hyperlink>
          </w:p>
        </w:tc>
        <w:tc>
          <w:tcPr>
            <w:tcW w:w="5380" w:type="dxa"/>
            <w:vAlign w:val="bottom"/>
            <w:gridSpan w:val="1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10.12#</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Form of Stock Option Grant Notice and Stock Option Agreement under 2014 Equity Incentive Plan (incorporated herein by reference to the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Registrant's Registration Statement on Form S-1 File No. 333-202660) as filed with the SEC on March 11, 2015).</w:t>
              </w:r>
            </w:hyperlink>
          </w:p>
        </w:tc>
        <w:tc>
          <w:tcPr>
            <w:tcW w:w="2060" w:type="dxa"/>
            <w:vAlign w:val="bottom"/>
            <w:gridSpan w:val="8"/>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w:t>
            </w: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Form of Restricted Stock Unit Grant Notice and Restricted Stock Unit Agreement under 2014 Equity Incentive Plan (incorporated herein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reference to the Registrant's Registration Statement on Form S-1 File No. 333-202660) as filed with the SEC on March 11, 2015).</w:t>
              </w:r>
            </w:hyperlink>
          </w:p>
        </w:tc>
        <w:tc>
          <w:tcPr>
            <w:tcW w:w="8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Non-Employee Director Compensation Policy (incorporated herein by reference to the Registrant's Annual Report on Form 10-K as filed with</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the SEC on March 15, 2016).</w:t>
              </w:r>
            </w:hyperlink>
          </w:p>
        </w:tc>
        <w:tc>
          <w:tcPr>
            <w:tcW w:w="8120" w:type="dxa"/>
            <w:vAlign w:val="bottom"/>
            <w:gridSpan w:val="2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10.15#</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Form of Indemnification Agreement with the Registrant's directors and executive officers (incorporated herein by reference to the Registrant's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Registration Statement on Form S-1 (File No. 333-202660) as filed with the SEC on March 11, 2015).</w:t>
              </w:r>
            </w:hyperlink>
          </w:p>
        </w:tc>
        <w:tc>
          <w:tcPr>
            <w:tcW w:w="2880" w:type="dxa"/>
            <w:vAlign w:val="bottom"/>
            <w:gridSpan w:val="10"/>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10.16#</w:t>
            </w:r>
          </w:p>
        </w:tc>
        <w:tc>
          <w:tcPr>
            <w:tcW w:w="160" w:type="dxa"/>
            <w:vAlign w:val="bottom"/>
          </w:tcPr>
          <w:p>
            <w:pPr>
              <w:spacing w:after="0"/>
              <w:rPr>
                <w:sz w:val="17"/>
                <w:szCs w:val="17"/>
                <w:color w:val="auto"/>
              </w:rPr>
            </w:pPr>
          </w:p>
        </w:tc>
        <w:tc>
          <w:tcPr>
            <w:tcW w:w="1024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r:id="rId159">
              <w:r>
                <w:rPr>
                  <w:rFonts w:ascii="Arial" w:cs="Arial" w:eastAsia="Arial" w:hAnsi="Arial"/>
                  <w:sz w:val="18"/>
                  <w:szCs w:val="18"/>
                  <w:color w:val="0000EE"/>
                  <w:w w:val="97"/>
                </w:rPr>
                <w:t>Amended and Restated Employment Agreement by and between the Registrant and R. LaDuane Clifton, dated as of June 25, 2015</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30"/>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(incorporated herein by reference to the Registrant's Quarterly Report on Form 10-Q as filed with the SEC on August 14, 2015).</w:t>
              </w:r>
            </w:hyperlink>
          </w:p>
        </w:tc>
      </w:tr>
      <w:tr>
        <w:trPr>
          <w:trHeight w:val="45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top w:val="single" w:sz="8" w:color="0000EE"/>
            </w:tcBorders>
            <w:gridSpan w:val="17"/>
          </w:tcPr>
          <w:p>
            <w:pPr>
              <w:ind w:left="4400"/>
              <w:spacing w:after="0"/>
              <w:rPr>
                <w:sz w:val="20"/>
                <w:szCs w:val="20"/>
                <w:color w:val="auto"/>
              </w:rPr>
            </w:pPr>
            <w:r>
              <w:rPr>
                <w:rFonts w:ascii="Arial" w:cs="Arial" w:eastAsia="Arial" w:hAnsi="Arial"/>
                <w:sz w:val="18"/>
                <w:szCs w:val="18"/>
                <w:color w:val="auto"/>
              </w:rPr>
              <w:t>123</w:t>
            </w:r>
          </w:p>
        </w:tc>
        <w:tc>
          <w:tcPr>
            <w:tcW w:w="1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607" w:right="239" w:bottom="392"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22"/>
          </w:tcPr>
          <w:p>
            <w:pPr>
              <w:ind w:left="3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80" w:type="dxa"/>
            <w:vAlign w:val="bottom"/>
            <w:gridSpan w:val="22"/>
          </w:tcPr>
          <w:p>
            <w:pPr>
              <w:ind w:left="12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10.16.1#</w:t>
            </w:r>
          </w:p>
        </w:tc>
        <w:tc>
          <w:tcPr>
            <w:tcW w:w="160" w:type="dxa"/>
            <w:vAlign w:val="bottom"/>
          </w:tcPr>
          <w:p>
            <w:pPr>
              <w:spacing w:after="0"/>
              <w:rPr>
                <w:sz w:val="14"/>
                <w:szCs w:val="14"/>
                <w:color w:val="auto"/>
              </w:rPr>
            </w:pPr>
          </w:p>
        </w:tc>
        <w:tc>
          <w:tcPr>
            <w:tcW w:w="10240" w:type="dxa"/>
            <w:vAlign w:val="bottom"/>
            <w:tcBorders>
              <w:top w:val="single" w:sz="8" w:color="auto"/>
              <w:bottom w:val="single" w:sz="8" w:color="0000EE"/>
            </w:tcBorders>
            <w:gridSpan w:val="24"/>
          </w:tcPr>
          <w:p>
            <w:pPr>
              <w:spacing w:after="0" w:line="169"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Amendment to Amended and Restated Employment Agreement by and between the Registrant and R. LaDuane Clifton, dated as of October</w:t>
              </w:r>
            </w:hyperlink>
          </w:p>
        </w:tc>
        <w:tc>
          <w:tcPr>
            <w:tcW w:w="20" w:type="dxa"/>
            <w:vAlign w:val="bottom"/>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13, 2015 (incorporated herein by reference to the Registrant's Quarterly Report on Form 10-Q as filed with the SEC on November 13, 2015).</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10.17#</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r:id="rId161">
              <w:r>
                <w:rPr>
                  <w:rFonts w:ascii="Arial" w:cs="Arial" w:eastAsia="Arial" w:hAnsi="Arial"/>
                  <w:sz w:val="18"/>
                  <w:szCs w:val="18"/>
                  <w:color w:val="0000EE"/>
                  <w:w w:val="97"/>
                </w:rPr>
                <w:t>Employment Agreement by and between the Registrant and Christal M.M. Mickle, dated as of May 30, 2014 (incorporated herein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reference to the Registrant's Registration Statement on Form S-1 (File No. 333-202660) as filed with the SEC on March 11, 2015).</w:t>
              </w:r>
            </w:hyperlink>
          </w:p>
        </w:tc>
        <w:tc>
          <w:tcPr>
            <w:tcW w:w="860" w:type="dxa"/>
            <w:vAlign w:val="bottom"/>
            <w:gridSpan w:val="9"/>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10.17.1#</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Amendment to Employment Agreement by and between the Registrant and Christal M.M. Mickle, dated as of October 13, 2015 (incorporated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herein by reference to Exhibit 10.1 to the Registrant's Quarterly Report on Form 10-Q filed with the SEC on November 13, 2015).</w:t>
              </w:r>
            </w:hyperlink>
          </w:p>
        </w:tc>
        <w:tc>
          <w:tcPr>
            <w:tcW w:w="880" w:type="dxa"/>
            <w:vAlign w:val="bottom"/>
            <w:gridSpan w:val="10"/>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10.18#</w:t>
            </w:r>
          </w:p>
        </w:tc>
        <w:tc>
          <w:tcPr>
            <w:tcW w:w="160" w:type="dxa"/>
            <w:vAlign w:val="bottom"/>
          </w:tcPr>
          <w:p>
            <w:pPr>
              <w:spacing w:after="0"/>
              <w:rPr>
                <w:sz w:val="17"/>
                <w:szCs w:val="17"/>
                <w:color w:val="auto"/>
              </w:rPr>
            </w:pPr>
          </w:p>
        </w:tc>
        <w:tc>
          <w:tcPr>
            <w:tcW w:w="1024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r:id="rId163">
              <w:r>
                <w:rPr>
                  <w:rFonts w:ascii="Arial" w:cs="Arial" w:eastAsia="Arial" w:hAnsi="Arial"/>
                  <w:sz w:val="18"/>
                  <w:szCs w:val="18"/>
                  <w:color w:val="0000EE"/>
                  <w:w w:val="97"/>
                </w:rPr>
                <w:t>Amended and Restated Employment Agreement by and between the Registrant and Gordon K. Johnson, dated as of June 25, 2015</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(incorporated herein by reference to the Registrant's Quarterly Report on Form 10-Q as filed with the SEC on August 14,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10.18.1#</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Amendment to Amended and Restated Employment Agreement by and between the Registrant and Gordon K. Johnson, dated as of October</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13, 2015 (incorporated herein by reference to the Registrant's Quarterly Report on Form 10-Q as filed with the SEC on November 13, 2015).</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10.19#</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165">
              <w:r>
                <w:rPr>
                  <w:rFonts w:ascii="Arial" w:cs="Arial" w:eastAsia="Arial" w:hAnsi="Arial"/>
                  <w:sz w:val="18"/>
                  <w:szCs w:val="18"/>
                  <w:color w:val="0000EE"/>
                  <w:w w:val="95"/>
                </w:rPr>
                <w:t>Employment Agreement by and between the Registrant and Travis C. Mickle, Ph.D., dated as of May 30, 2014 (incorporated herein by</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reference to the Registrant's Registration Statement on Form S-1 (File No. 333-202660) as filed with the SEC on March 11, 2015).</w:t>
              </w:r>
            </w:hyperlink>
          </w:p>
        </w:tc>
        <w:tc>
          <w:tcPr>
            <w:tcW w:w="860" w:type="dxa"/>
            <w:vAlign w:val="bottom"/>
            <w:gridSpan w:val="9"/>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10.19.1#</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Amendment to Employment Agreement by and between the Registrant and Travis C. Mickle, Ph.D., dated as of October 13, 2015</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(incorporated herein by reference to the Registrant's Quarterly Report on Form 10-Q filed with the SEC on November 13, 2015).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10.20#</w:t>
            </w:r>
          </w:p>
        </w:tc>
        <w:tc>
          <w:tcPr>
            <w:tcW w:w="160" w:type="dxa"/>
            <w:vAlign w:val="bottom"/>
          </w:tcPr>
          <w:p>
            <w:pPr>
              <w:spacing w:after="0"/>
              <w:rPr>
                <w:sz w:val="17"/>
                <w:szCs w:val="17"/>
                <w:color w:val="auto"/>
              </w:rPr>
            </w:pPr>
          </w:p>
        </w:tc>
        <w:tc>
          <w:tcPr>
            <w:tcW w:w="102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Employment Agreement by and between the Registrant and Daniel L. Cohen, dated as of April 13, 2016 (incorporated herein by reference to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the Registrant's Quarterly Report on Form 10-Q as filed with the SEC on May 13, 2016).</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0"/>
              </w:rPr>
              <w:t>10.21#</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Amended and Restated Employment Agreement by and between the Registrant and Sven Guenther, dated as of April 13, 2016 (incorporated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herein by reference to the Registrant's Quarterly Report on Form 10-Q as filed with the SEC on May 13, 2016).</w:t>
              </w:r>
            </w:hyperlink>
          </w:p>
        </w:tc>
        <w:tc>
          <w:tcPr>
            <w:tcW w:w="2240" w:type="dxa"/>
            <w:vAlign w:val="bottom"/>
            <w:gridSpan w:val="1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Common Stock Sales Agreement, dated October 3, 2016, by and between KemPharm, Inc. and Cowen and Company, LLC (incorporated</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herein by reference to the Registrant's Current Report on Form 8-K as filed with the SEC on October 3, 2016).</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10.23</w:t>
            </w: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Lease Agreement, by and between KemPharm, Inc. and BRE/COH FL LLC, dated as of November 3, 2014 (incorporated herein by reference</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to the Registrant's Annual Report on Form 10-K as filed with the SEC on March 10, 2017).</w:t>
              </w:r>
            </w:hyperlink>
          </w:p>
        </w:tc>
        <w:tc>
          <w:tcPr>
            <w:tcW w:w="8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10.24</w:t>
            </w:r>
          </w:p>
        </w:tc>
        <w:tc>
          <w:tcPr>
            <w:tcW w:w="160" w:type="dxa"/>
            <w:vAlign w:val="bottom"/>
          </w:tcPr>
          <w:p>
            <w:pPr>
              <w:spacing w:after="0"/>
              <w:rPr>
                <w:sz w:val="17"/>
                <w:szCs w:val="17"/>
                <w:color w:val="auto"/>
              </w:rPr>
            </w:pPr>
          </w:p>
        </w:tc>
        <w:tc>
          <w:tcPr>
            <w:tcW w:w="102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First Amendment to the Lease Agreement, by and between KemPharm, Inc. and BRE/COH FL LLC, dated as of April 21, 2015 (incorporated</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herein by reference to the Registrant's Annual Report on Form 10-K as filed with the SEC on March 10, 2017).</w:t>
              </w:r>
            </w:hyperlink>
          </w:p>
        </w:tc>
        <w:tc>
          <w:tcPr>
            <w:tcW w:w="2260" w:type="dxa"/>
            <w:vAlign w:val="bottom"/>
            <w:gridSpan w:val="1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10.25</w:t>
            </w:r>
          </w:p>
        </w:tc>
        <w:tc>
          <w:tcPr>
            <w:tcW w:w="16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Second Amendment to the Lease Agreement, by and between KemPharm, Inc. and BRE/COH FL LLC, dated as of December 22, 2015</w:t>
              </w:r>
            </w:hyperlink>
          </w:p>
        </w:tc>
        <w:tc>
          <w:tcPr>
            <w:tcW w:w="5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(incorporated herein by reference to the Registrant's Annual Report on Form 10-K as filed with the SEC on March 10, 2017).</w:t>
              </w:r>
            </w:hyperlink>
          </w:p>
        </w:tc>
        <w:tc>
          <w:tcPr>
            <w:tcW w:w="1240" w:type="dxa"/>
            <w:vAlign w:val="bottom"/>
            <w:gridSpan w:val="1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10.26</w:t>
            </w:r>
          </w:p>
        </w:tc>
        <w:tc>
          <w:tcPr>
            <w:tcW w:w="160" w:type="dxa"/>
            <w:vAlign w:val="bottom"/>
          </w:tcPr>
          <w:p>
            <w:pPr>
              <w:spacing w:after="0"/>
              <w:rPr>
                <w:sz w:val="17"/>
                <w:szCs w:val="17"/>
                <w:color w:val="auto"/>
              </w:rPr>
            </w:pPr>
          </w:p>
        </w:tc>
        <w:tc>
          <w:tcPr>
            <w:tcW w:w="102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Third Amendment to the Lease Agreement, by and between KemPharm, Inc. and BRE/COH FL LLC, dated as of July 15, 2016 (incorporated</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herein by reference to the Registrant's Annual Report on Form 10-K as filed with the SEC on March 10, 2017).</w:t>
              </w:r>
            </w:hyperlink>
          </w:p>
        </w:tc>
        <w:tc>
          <w:tcPr>
            <w:tcW w:w="2260" w:type="dxa"/>
            <w:vAlign w:val="bottom"/>
            <w:gridSpan w:val="1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10.27*</w:t>
            </w:r>
          </w:p>
        </w:tc>
        <w:tc>
          <w:tcPr>
            <w:tcW w:w="16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Lease Agreement, by and between KemPharm, Inc. and the Board of Regents, State of Iowa for the Use and Benefit of the University of</w:t>
              </w:r>
            </w:hyperlink>
          </w:p>
        </w:tc>
        <w:tc>
          <w:tcPr>
            <w:tcW w:w="4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Iowa, dated as of September 5, 2017.</w:t>
              </w:r>
            </w:hyperlink>
          </w:p>
        </w:tc>
        <w:tc>
          <w:tcPr>
            <w:tcW w:w="7580" w:type="dxa"/>
            <w:vAlign w:val="bottom"/>
            <w:gridSpan w:val="2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23.1*</w:t>
            </w: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Consent of RSM US LLP, Independent Registered Public Accounting Firm.</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23.2*</w:t>
            </w:r>
          </w:p>
        </w:tc>
        <w:tc>
          <w:tcPr>
            <w:tcW w:w="160" w:type="dxa"/>
            <w:vAlign w:val="bottom"/>
          </w:tcPr>
          <w:p>
            <w:pPr>
              <w:spacing w:after="0"/>
              <w:rPr>
                <w:sz w:val="17"/>
                <w:szCs w:val="17"/>
                <w:color w:val="auto"/>
              </w:rPr>
            </w:pPr>
          </w:p>
        </w:tc>
        <w:tc>
          <w:tcPr>
            <w:tcW w:w="58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Consent of Ernst &amp; Young LLP, Independent Registered Public Accounting Firm.</w:t>
              </w:r>
            </w:hyperlink>
          </w:p>
        </w:tc>
        <w:tc>
          <w:tcPr>
            <w:tcW w:w="4380" w:type="dxa"/>
            <w:vAlign w:val="bottom"/>
            <w:gridSpan w:val="20"/>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24.1*</w:t>
            </w: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sz w:val="20"/>
                <w:szCs w:val="20"/>
                <w:color w:val="auto"/>
              </w:rPr>
            </w:pPr>
            <w:r>
              <w:rPr>
                <w:rFonts w:ascii="Arial" w:cs="Arial" w:eastAsia="Arial" w:hAnsi="Arial"/>
                <w:sz w:val="18"/>
                <w:szCs w:val="18"/>
                <w:color w:val="0000EE"/>
              </w:rPr>
              <w:t>Power of Attorney (included on signature page).</w:t>
            </w: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Certification of the Principal Executive Officer pursuant to Rule 13a-14(a) or Rule 15d-14(a) of the Securities Exchange Act of 1934, as</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1">
              <w:r>
                <w:rPr>
                  <w:rFonts w:ascii="Arial" w:cs="Arial" w:eastAsia="Arial" w:hAnsi="Arial"/>
                  <w:sz w:val="18"/>
                  <w:szCs w:val="18"/>
                  <w:color w:val="0000EE"/>
                  <w:w w:val="84"/>
                </w:rPr>
                <w:t>amended.</w:t>
              </w:r>
            </w:hyperlink>
          </w:p>
        </w:tc>
        <w:tc>
          <w:tcPr>
            <w:tcW w:w="9100" w:type="dxa"/>
            <w:vAlign w:val="bottom"/>
            <w:tcBorders>
              <w:top w:val="single" w:sz="8" w:color="0000EE"/>
            </w:tcBorders>
            <w:gridSpan w:val="17"/>
          </w:tcPr>
          <w:p>
            <w:pPr>
              <w:spacing w:after="0"/>
              <w:rPr>
                <w:sz w:val="17"/>
                <w:szCs w:val="17"/>
                <w:color w:val="auto"/>
              </w:rPr>
            </w:pPr>
          </w:p>
        </w:tc>
        <w:tc>
          <w:tcPr>
            <w:tcW w:w="460" w:type="dxa"/>
            <w:vAlign w:val="bottom"/>
            <w:gridSpan w:val="7"/>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31.2*</w:t>
            </w:r>
          </w:p>
        </w:tc>
        <w:tc>
          <w:tcPr>
            <w:tcW w:w="160" w:type="dxa"/>
            <w:vAlign w:val="bottom"/>
          </w:tcPr>
          <w:p>
            <w:pPr>
              <w:spacing w:after="0"/>
              <w:rPr>
                <w:sz w:val="17"/>
                <w:szCs w:val="17"/>
                <w:color w:val="auto"/>
              </w:rPr>
            </w:pPr>
          </w:p>
        </w:tc>
        <w:tc>
          <w:tcPr>
            <w:tcW w:w="9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the Principal Financial Officer pursuant to Rule 13a-14(a) or Rule 15d-14(a) of the Securities Exchange Act of 1934, as</w:t>
              </w:r>
            </w:hyperlink>
          </w:p>
        </w:tc>
        <w:tc>
          <w:tcPr>
            <w:tcW w:w="5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42">
              <w:r>
                <w:rPr>
                  <w:rFonts w:ascii="Arial" w:cs="Arial" w:eastAsia="Arial" w:hAnsi="Arial"/>
                  <w:sz w:val="18"/>
                  <w:szCs w:val="18"/>
                  <w:color w:val="0000EE"/>
                  <w:w w:val="84"/>
                </w:rPr>
                <w:t>amended.</w:t>
              </w:r>
            </w:hyperlink>
          </w:p>
        </w:tc>
        <w:tc>
          <w:tcPr>
            <w:tcW w:w="9560" w:type="dxa"/>
            <w:vAlign w:val="bottom"/>
            <w:gridSpan w:val="2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Certification of the Principal Executive Officer pursuant to Rule 13a-14(b) of the Securities Exchange Act of 1934, as amended, and 18</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U.S.C. Section 1350, as adopted pursuant to Section 906 of the Sarbanes-Oxley Act of 2002. (1)</w:t>
              </w:r>
            </w:hyperlink>
          </w:p>
        </w:tc>
        <w:tc>
          <w:tcPr>
            <w:tcW w:w="3320" w:type="dxa"/>
            <w:vAlign w:val="bottom"/>
            <w:gridSpan w:val="17"/>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5"/>
              </w:rPr>
              <w:t>32.2*</w:t>
            </w:r>
          </w:p>
        </w:tc>
        <w:tc>
          <w:tcPr>
            <w:tcW w:w="16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the Principal Financial Officer pursuant to Rule 13a-14(b) of the Securities Exchange Act of 1934, as amended, and 18 U.S.C.</w:t>
              </w:r>
            </w:hyperlink>
          </w:p>
        </w:tc>
      </w:tr>
      <w:tr>
        <w:trPr>
          <w:trHeight w:val="196"/>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60" w:type="dxa"/>
            <w:vAlign w:val="bottom"/>
            <w:gridSpan w:val="2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Section 1350, as adopted pursuant to Section 906 of the Sarbanes-Oxley Act of 2002. (1)</w:t>
              </w:r>
            </w:hyperlink>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160" w:type="dxa"/>
            <w:vAlign w:val="bottom"/>
          </w:tcPr>
          <w:p>
            <w:pPr>
              <w:spacing w:after="0"/>
              <w:rPr>
                <w:sz w:val="19"/>
                <w:szCs w:val="19"/>
                <w:color w:val="auto"/>
              </w:rPr>
            </w:pPr>
          </w:p>
        </w:tc>
        <w:tc>
          <w:tcPr>
            <w:tcW w:w="64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 Document.</w:t>
            </w:r>
          </w:p>
        </w:tc>
        <w:tc>
          <w:tcPr>
            <w:tcW w:w="3860" w:type="dxa"/>
            <w:vAlign w:val="bottom"/>
            <w:gridSpan w:val="19"/>
          </w:tcPr>
          <w:p>
            <w:pPr>
              <w:spacing w:after="0"/>
              <w:rPr>
                <w:sz w:val="19"/>
                <w:szCs w:val="19"/>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160" w:type="dxa"/>
            <w:vAlign w:val="bottom"/>
          </w:tcPr>
          <w:p>
            <w:pPr>
              <w:spacing w:after="0"/>
              <w:rPr>
                <w:sz w:val="18"/>
                <w:szCs w:val="18"/>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60" w:type="dxa"/>
            <w:vAlign w:val="bottom"/>
          </w:tcPr>
          <w:p>
            <w:pPr>
              <w:spacing w:after="0"/>
              <w:rPr>
                <w:sz w:val="18"/>
                <w:szCs w:val="18"/>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160" w:type="dxa"/>
            <w:vAlign w:val="bottom"/>
          </w:tcPr>
          <w:p>
            <w:pPr>
              <w:spacing w:after="0"/>
              <w:rPr>
                <w:sz w:val="20"/>
                <w:szCs w:val="20"/>
                <w:color w:val="auto"/>
              </w:rPr>
            </w:pP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ind w:left="1180" w:hanging="711"/>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 w:lineRule="exact"/>
        <w:rPr>
          <w:sz w:val="20"/>
          <w:szCs w:val="20"/>
          <w:color w:val="auto"/>
        </w:rPr>
      </w:pPr>
    </w:p>
    <w:p>
      <w:pPr>
        <w:jc w:val="both"/>
        <w:ind w:left="1180" w:hanging="756"/>
        <w:spacing w:after="0" w:line="281" w:lineRule="auto"/>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Attached as Exhibit 101 to this Annual Report on Form 10-K for the year ended December 31, 2017, formatted in XBRL (Extensible Business Reporting Language): (i) Balance Sheets, (ii) Statements of Operations, (iii) Statements of Changes in Redeemable Convertible</w:t>
      </w:r>
    </w:p>
    <w:p>
      <w:pPr>
        <w:spacing w:after="0" w:line="1" w:lineRule="exact"/>
        <w:rPr>
          <w:sz w:val="20"/>
          <w:szCs w:val="20"/>
          <w:color w:val="auto"/>
        </w:rPr>
      </w:pPr>
    </w:p>
    <w:p>
      <w:pPr>
        <w:ind w:left="1180"/>
        <w:spacing w:after="0" w:line="250" w:lineRule="auto"/>
        <w:rPr>
          <w:sz w:val="20"/>
          <w:szCs w:val="20"/>
          <w:color w:val="auto"/>
        </w:rPr>
      </w:pPr>
      <w:r>
        <w:rPr>
          <w:rFonts w:ascii="Arial" w:cs="Arial" w:eastAsia="Arial" w:hAnsi="Arial"/>
          <w:sz w:val="18"/>
          <w:szCs w:val="18"/>
          <w:color w:val="auto"/>
        </w:rPr>
        <w:t>Preferred Stock and Stockholders’ Deficit, (iv) Statements of Cash Flows, and (v) Notes to Financial Statements, tagged as blocks of text and including detailed tags.</w:t>
      </w:r>
    </w:p>
    <w:p>
      <w:pPr>
        <w:ind w:left="1180" w:hanging="711"/>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1180" w:hanging="717"/>
        <w:spacing w:after="0" w:line="250"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grant for confidential treatment and have been separately filed with the Securities and Exchange Commission.</w:t>
      </w:r>
    </w:p>
    <w:p>
      <w:pPr>
        <w:jc w:val="both"/>
        <w:ind w:left="1180" w:right="20" w:hanging="771"/>
        <w:spacing w:after="0" w:line="277" w:lineRule="auto"/>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certification accompanies the Annual Report on Form 10-K to which it relates, is not deemed filed with the SEC and is not to be incorporated by reference into any filing of the Registrant under the Securities Act or the Exchange Act (whether made before or after the date of the Annual Report on Form 10-K), irrespective of any general incorporation language contained in such filing.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3420"/>
              <w:spacing w:after="0"/>
              <w:rPr>
                <w:sz w:val="20"/>
                <w:szCs w:val="20"/>
                <w:color w:val="auto"/>
              </w:rPr>
            </w:pPr>
            <w:r>
              <w:rPr>
                <w:rFonts w:ascii="Arial" w:cs="Arial" w:eastAsia="Arial" w:hAnsi="Arial"/>
                <w:sz w:val="18"/>
                <w:szCs w:val="18"/>
                <w:color w:val="auto"/>
              </w:rPr>
              <w:t>KemPharm,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30, 2018</w:t>
            </w:r>
          </w:p>
        </w:tc>
        <w:tc>
          <w:tcPr>
            <w:tcW w:w="7800" w:type="dxa"/>
            <w:vAlign w:val="bottom"/>
            <w:gridSpan w:val="2"/>
          </w:tcPr>
          <w:p>
            <w:pPr>
              <w:ind w:left="3420"/>
              <w:spacing w:after="0"/>
              <w:rPr>
                <w:sz w:val="20"/>
                <w:szCs w:val="20"/>
                <w:color w:val="auto"/>
              </w:rPr>
            </w:pPr>
            <w:r>
              <w:rPr>
                <w:rFonts w:ascii="Arial" w:cs="Arial" w:eastAsia="Arial" w:hAnsi="Arial"/>
                <w:sz w:val="18"/>
                <w:szCs w:val="18"/>
                <w:color w:val="auto"/>
              </w:rPr>
              <w:t>By:  /s/ Travis C. Mickle</w:t>
            </w:r>
          </w:p>
        </w:tc>
      </w:tr>
      <w:tr>
        <w:trPr>
          <w:trHeight w:val="195"/>
        </w:trPr>
        <w:tc>
          <w:tcPr>
            <w:tcW w:w="3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6"/>
        </w:trPr>
        <w:tc>
          <w:tcPr>
            <w:tcW w:w="3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30, 2018</w:t>
            </w:r>
          </w:p>
        </w:tc>
        <w:tc>
          <w:tcPr>
            <w:tcW w:w="7800" w:type="dxa"/>
            <w:vAlign w:val="bottom"/>
            <w:gridSpan w:val="2"/>
          </w:tcPr>
          <w:p>
            <w:pPr>
              <w:ind w:left="3420"/>
              <w:spacing w:after="0"/>
              <w:rPr>
                <w:sz w:val="20"/>
                <w:szCs w:val="20"/>
                <w:color w:val="auto"/>
              </w:rPr>
            </w:pPr>
            <w:r>
              <w:rPr>
                <w:rFonts w:ascii="Arial" w:cs="Arial" w:eastAsia="Arial" w:hAnsi="Arial"/>
                <w:sz w:val="18"/>
                <w:szCs w:val="18"/>
                <w:color w:val="auto"/>
              </w:rPr>
              <w:t>By:  /s/ R. LaDuane Clifton</w:t>
            </w:r>
          </w:p>
        </w:tc>
      </w:tr>
      <w:tr>
        <w:trPr>
          <w:trHeight w:val="195"/>
        </w:trPr>
        <w:tc>
          <w:tcPr>
            <w:tcW w:w="3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LaDuane Clifton, CPA</w:t>
            </w:r>
          </w:p>
        </w:tc>
      </w:tr>
      <w:tr>
        <w:trPr>
          <w:trHeight w:val="216"/>
        </w:trPr>
        <w:tc>
          <w:tcPr>
            <w:tcW w:w="36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6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20" w:type="dxa"/>
            <w:vAlign w:val="bottom"/>
          </w:tcPr>
          <w:p>
            <w:pPr>
              <w:spacing w:after="0"/>
              <w:rPr>
                <w:sz w:val="24"/>
                <w:szCs w:val="24"/>
                <w:color w:val="auto"/>
              </w:rPr>
            </w:pPr>
          </w:p>
        </w:tc>
        <w:tc>
          <w:tcPr>
            <w:tcW w:w="3800" w:type="dxa"/>
            <w:vAlign w:val="bottom"/>
          </w:tcPr>
          <w:p>
            <w:pPr>
              <w:jc w:val="right"/>
              <w:ind w:right="1490"/>
              <w:spacing w:after="0"/>
              <w:rPr>
                <w:sz w:val="20"/>
                <w:szCs w:val="20"/>
                <w:color w:val="auto"/>
              </w:rPr>
            </w:pPr>
            <w:r>
              <w:rPr>
                <w:rFonts w:ascii="Arial" w:cs="Arial" w:eastAsia="Arial" w:hAnsi="Arial"/>
                <w:sz w:val="18"/>
                <w:szCs w:val="18"/>
                <w:color w:val="auto"/>
              </w:rPr>
              <w:t>125</w:t>
            </w:r>
          </w:p>
        </w:tc>
        <w:tc>
          <w:tcPr>
            <w:tcW w:w="400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hereby constitute and appoint Travis C. Mickle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70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Travis C. Mickle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Travis C. Mickle, Ph.D.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LaDuane Clifton, CPA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Timothy J. Sangiovanni, CPA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Danny L.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Danny L. Thompson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Matthew R. Plooster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R. Plooster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Richard W. Pascoe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W. Pascoe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Joseph B. Saluri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B. Saluri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David S.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70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 Tierney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1"/>
              </w:rPr>
              <w:t>President, Chief Executive Officer and Chairman of the</w:t>
            </w: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6"/>
        </w:trPr>
        <w:tc>
          <w:tcPr>
            <w:tcW w:w="4460" w:type="dxa"/>
            <w:vAlign w:val="bottom"/>
          </w:tcPr>
          <w:p>
            <w:pPr>
              <w:jc w:val="center"/>
              <w:spacing w:after="0"/>
              <w:rPr>
                <w:sz w:val="20"/>
                <w:szCs w:val="20"/>
                <w:color w:val="auto"/>
              </w:rPr>
            </w:pPr>
            <w:r>
              <w:rPr>
                <w:rFonts w:ascii="Arial" w:cs="Arial" w:eastAsia="Arial" w:hAnsi="Arial"/>
                <w:sz w:val="18"/>
                <w:szCs w:val="18"/>
                <w:color w:val="auto"/>
                <w:w w:val="92"/>
              </w:rPr>
              <w:t>Board of Directors</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33"/>
        </w:trPr>
        <w:tc>
          <w:tcPr>
            <w:tcW w:w="4460" w:type="dxa"/>
            <w:vAlign w:val="bottom"/>
          </w:tcPr>
          <w:p>
            <w:pPr>
              <w:jc w:val="center"/>
              <w:spacing w:after="0"/>
              <w:rPr>
                <w:sz w:val="20"/>
                <w:szCs w:val="20"/>
                <w:color w:val="auto"/>
              </w:rPr>
            </w:pPr>
            <w:r>
              <w:rPr>
                <w:rFonts w:ascii="Arial" w:cs="Arial" w:eastAsia="Arial" w:hAnsi="Arial"/>
                <w:sz w:val="18"/>
                <w:szCs w:val="18"/>
                <w:color w:val="auto"/>
                <w:w w:val="90"/>
              </w:rPr>
              <w:t>Chief Financial Officer, Secretary and Treasurer</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33"/>
        </w:trPr>
        <w:tc>
          <w:tcPr>
            <w:tcW w:w="446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30, 2018</w:t>
            </w:r>
          </w:p>
        </w:tc>
      </w:tr>
      <w:tr>
        <w:trPr>
          <w:trHeight w:val="647"/>
        </w:trPr>
        <w:tc>
          <w:tcPr>
            <w:tcW w:w="4460" w:type="dxa"/>
            <w:vAlign w:val="bottom"/>
          </w:tcPr>
          <w:p>
            <w:pPr>
              <w:jc w:val="right"/>
              <w:ind w:right="31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2">
            <w:col w:w="3860" w:space="720"/>
            <w:col w:w="6840"/>
          </w:cols>
          <w:pgMar w:left="240" w:top="580"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Non-Employee Director Compensation Policy</w:t>
      </w:r>
    </w:p>
    <w:p>
      <w:pPr>
        <w:spacing w:after="0" w:line="210"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Each member of the board of director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KemPharm,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who is not also an employee of the Company or any subsidiary of the Company shall be entitled to the following compensation for service on the Board and its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firstLine="647"/>
        <w:spacing w:after="0" w:line="307" w:lineRule="auto"/>
        <w:rPr>
          <w:sz w:val="20"/>
          <w:szCs w:val="20"/>
          <w:color w:val="auto"/>
        </w:rPr>
      </w:pPr>
      <w:r>
        <w:rPr>
          <w:rFonts w:ascii="Arial" w:cs="Arial" w:eastAsia="Arial" w:hAnsi="Arial"/>
          <w:sz w:val="17"/>
          <w:szCs w:val="17"/>
          <w:color w:val="auto"/>
        </w:rPr>
        <w:t xml:space="preserve">Cash compensation shall be paid in the following annual amounts. Payments shall be made in quarterly installments in arrears on the last day of each calendar quarter in which service occurred, and shall be </w:t>
      </w:r>
      <w:r>
        <w:rPr>
          <w:rFonts w:ascii="Arial" w:cs="Arial" w:eastAsia="Arial" w:hAnsi="Arial"/>
          <w:sz w:val="17"/>
          <w:szCs w:val="17"/>
          <w:i w:val="1"/>
          <w:iCs w:val="1"/>
          <w:color w:val="auto"/>
        </w:rPr>
        <w:t>prorated</w:t>
      </w:r>
      <w:r>
        <w:rPr>
          <w:rFonts w:ascii="Arial" w:cs="Arial" w:eastAsia="Arial" w:hAnsi="Arial"/>
          <w:sz w:val="17"/>
          <w:szCs w:val="17"/>
          <w:color w:val="auto"/>
        </w:rPr>
        <w:t xml:space="preserve"> as appropriated for a director who does not serve for the full quarter.</w:t>
      </w:r>
    </w:p>
    <w:p>
      <w:pPr>
        <w:spacing w:after="0" w:line="147"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700" w:hanging="355"/>
        <w:spacing w:after="0"/>
        <w:tabs>
          <w:tab w:leader="none" w:pos="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non-employee directors: $35,000</w:t>
      </w:r>
    </w:p>
    <w:p>
      <w:pPr>
        <w:spacing w:after="0" w:line="23" w:lineRule="exact"/>
        <w:rPr>
          <w:rFonts w:ascii="Arial" w:cs="Arial" w:eastAsia="Arial" w:hAnsi="Arial"/>
          <w:sz w:val="18"/>
          <w:szCs w:val="18"/>
          <w:color w:val="auto"/>
        </w:rPr>
      </w:pPr>
    </w:p>
    <w:p>
      <w:pPr>
        <w:ind w:left="700" w:right="220" w:hanging="355"/>
        <w:spacing w:after="0" w:line="260" w:lineRule="auto"/>
        <w:tabs>
          <w:tab w:leader="none" w:pos="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Chairman of the Board, if not an employee, or lead independent director, if any (in addition to the retainer for all non-employee directors): $15,000</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Annual Committee Member Service Retainer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Member of the Audit Committee: $7,500</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Member of the Compensation Committee: $5,000</w:t>
      </w:r>
    </w:p>
    <w:p>
      <w:pPr>
        <w:spacing w:after="0" w:line="8"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210" w:lineRule="exact"/>
        <w:rPr>
          <w:rFonts w:ascii="Arial" w:cs="Arial" w:eastAsia="Arial" w:hAnsi="Arial"/>
          <w:sz w:val="18"/>
          <w:szCs w:val="18"/>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Retainer (in addition to Committee Member Service Retainer)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Chairman of the Audit Committee: $15,000</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Chairman of the Compensation Committee: $10,000</w:t>
      </w:r>
    </w:p>
    <w:p>
      <w:pPr>
        <w:spacing w:after="0" w:line="8" w:lineRule="exact"/>
        <w:rPr>
          <w:rFonts w:ascii="Arial" w:cs="Arial" w:eastAsia="Arial" w:hAnsi="Arial"/>
          <w:sz w:val="18"/>
          <w:szCs w:val="18"/>
          <w:color w:val="auto"/>
        </w:rPr>
      </w:pPr>
    </w:p>
    <w:p>
      <w:pPr>
        <w:ind w:left="700" w:hanging="341"/>
        <w:spacing w:after="0"/>
        <w:tabs>
          <w:tab w:leader="none" w:pos="7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$7,500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22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equity compensation set forth below will be granted under the Company’s 2014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Capital Market on the date of grant or, if such grant date is not a trading date, on the last trading date prior to the grant date, and with a term of ten years from the date of grant (subject to earlier termination in connection with a termination of service as provided in the Plan).</w:t>
      </w:r>
    </w:p>
    <w:p>
      <w:pPr>
        <w:spacing w:after="0" w:line="191"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u w:val="single" w:color="auto"/>
          <w:color w:val="auto"/>
        </w:rPr>
        <w:t>Annual Grant</w:t>
      </w:r>
      <w:r>
        <w:rPr>
          <w:rFonts w:ascii="Arial" w:cs="Arial" w:eastAsia="Arial" w:hAnsi="Arial"/>
          <w:sz w:val="17"/>
          <w:szCs w:val="17"/>
          <w:color w:val="auto"/>
        </w:rPr>
        <w:t>: On the date of each annual stockholders meeting of the Company, each director who continues to serve as a non-employee member of the Board following such stockholders meeting will be automatically, and without further action by the Board or the Compensation Committee of the Board, be granted a stock option for 15,000 shares of common stock.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w:t>
      </w:r>
    </w:p>
    <w:p>
      <w:pPr>
        <w:sectPr>
          <w:pgSz w:w="11900" w:h="16838" w:orient="portrait"/>
          <w:cols w:equalWidth="0" w:num="1">
            <w:col w:w="11420"/>
          </w:cols>
          <w:pgMar w:left="240" w:top="33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 DOCUMENT FOR THE UNIVERSITY OF IOWA BIOVENTURES CENTER</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LEASE MADE AND ENTERED INTO THIS, </w:t>
      </w:r>
      <w:r>
        <w:rPr>
          <w:rFonts w:ascii="Arial" w:cs="Arial" w:eastAsia="Arial" w:hAnsi="Arial"/>
          <w:sz w:val="18"/>
          <w:szCs w:val="18"/>
          <w:u w:val="single" w:color="auto"/>
          <w:color w:val="auto"/>
        </w:rPr>
        <w:t>5th of September,</w:t>
      </w:r>
      <w:r>
        <w:rPr>
          <w:rFonts w:ascii="Arial" w:cs="Arial" w:eastAsia="Arial" w:hAnsi="Arial"/>
          <w:sz w:val="18"/>
          <w:szCs w:val="18"/>
          <w:color w:val="auto"/>
        </w:rPr>
        <w:t xml:space="preserve"> 2017, by and between Board of Regents, State of Iowa, for the use and benefit of the University of Iowa, hereinafter referred to as LESSOR, and KemPharm, Inc., hereinafter referred to as the LESSEE. LESSOR and LESSEE are jointly referred to as the "parties".</w:t>
      </w:r>
    </w:p>
    <w:p>
      <w:pPr>
        <w:spacing w:after="0" w:line="183" w:lineRule="exact"/>
        <w:rPr>
          <w:sz w:val="20"/>
          <w:szCs w:val="20"/>
          <w:color w:val="auto"/>
        </w:rPr>
      </w:pPr>
    </w:p>
    <w:p>
      <w:pPr>
        <w:ind w:firstLine="8"/>
        <w:spacing w:after="0" w:line="277" w:lineRule="auto"/>
        <w:tabs>
          <w:tab w:leader="none" w:pos="38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PREMISES: The premises that are the subject of this lease are described in Exhibit A to this lease, which is hereby incorporated into this agreement by reference.</w:t>
      </w:r>
    </w:p>
    <w:p>
      <w:pPr>
        <w:spacing w:after="0" w:line="169" w:lineRule="exact"/>
        <w:rPr>
          <w:rFonts w:ascii="Arial" w:cs="Arial" w:eastAsia="Arial" w:hAnsi="Arial"/>
          <w:sz w:val="18"/>
          <w:szCs w:val="18"/>
          <w:color w:val="auto"/>
        </w:rPr>
      </w:pPr>
    </w:p>
    <w:p>
      <w:pPr>
        <w:ind w:left="360" w:hanging="35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LEASE PERIOD:</w:t>
      </w:r>
    </w:p>
    <w:p>
      <w:pPr>
        <w:spacing w:after="0" w:line="224" w:lineRule="exact"/>
        <w:rPr>
          <w:rFonts w:ascii="Arial" w:cs="Arial" w:eastAsia="Arial" w:hAnsi="Arial"/>
          <w:sz w:val="18"/>
          <w:szCs w:val="18"/>
          <w:color w:val="auto"/>
        </w:rPr>
      </w:pPr>
    </w:p>
    <w:p>
      <w:pPr>
        <w:ind w:firstLine="425"/>
        <w:spacing w:after="0" w:line="277" w:lineRule="auto"/>
        <w:tabs>
          <w:tab w:leader="none" w:pos="849"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term of this lease shall be a period of one (1) year, commencing October 1, 2017, and ending September 30, 2018. It is mutually agreed that this lease may be terminated by either party upon 30 days' written notice to the other party.</w:t>
      </w:r>
    </w:p>
    <w:p>
      <w:pPr>
        <w:spacing w:after="0" w:line="169" w:lineRule="exact"/>
        <w:rPr>
          <w:rFonts w:ascii="Arial" w:cs="Arial" w:eastAsia="Arial" w:hAnsi="Arial"/>
          <w:sz w:val="18"/>
          <w:szCs w:val="18"/>
          <w:color w:val="auto"/>
        </w:rPr>
      </w:pPr>
    </w:p>
    <w:p>
      <w:pPr>
        <w:jc w:val="both"/>
        <w:ind w:firstLine="499"/>
        <w:spacing w:after="0" w:line="301" w:lineRule="auto"/>
        <w:tabs>
          <w:tab w:leader="none" w:pos="962" w:val="left"/>
        </w:tabs>
        <w:numPr>
          <w:ilvl w:val="3"/>
          <w:numId w:val="74"/>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to the contrary, the parties acknowledge that LESSOR is presently a subtenant in the building where the premises are located. LESSOR is entering into the present agreement consistent with the authority granted in LESSOR's own multi-year lease and purchase option. The parties agree that the present lease will terminate prior to the end of the lease term described in 2(A) above upon termination of the LESSOR' s own lease of the property, unless the LESSOR's own lease terminates due to the LESSOR's purchase of the building and premises.</w:t>
      </w:r>
    </w:p>
    <w:p>
      <w:pPr>
        <w:spacing w:after="0" w:line="156" w:lineRule="exact"/>
        <w:rPr>
          <w:rFonts w:ascii="Arial" w:cs="Arial" w:eastAsia="Arial" w:hAnsi="Arial"/>
          <w:sz w:val="16"/>
          <w:szCs w:val="16"/>
          <w:color w:val="auto"/>
        </w:rPr>
      </w:pPr>
    </w:p>
    <w:p>
      <w:pPr>
        <w:ind w:right="20" w:firstLine="8"/>
        <w:spacing w:after="0" w:line="277" w:lineRule="auto"/>
        <w:tabs>
          <w:tab w:leader="none" w:pos="3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RENT: Rent and other charges, including late charges, relating to this lease are described in Exhibit B to this lease, which is hereby incorporated into this agreement by reference.</w:t>
      </w:r>
    </w:p>
    <w:p>
      <w:pPr>
        <w:spacing w:after="0" w:line="169" w:lineRule="exact"/>
        <w:rPr>
          <w:rFonts w:ascii="Arial" w:cs="Arial" w:eastAsia="Arial" w:hAnsi="Arial"/>
          <w:sz w:val="18"/>
          <w:szCs w:val="18"/>
          <w:color w:val="auto"/>
        </w:rPr>
      </w:pPr>
    </w:p>
    <w:p>
      <w:pPr>
        <w:ind w:right="20" w:firstLine="8"/>
        <w:spacing w:after="0" w:line="277" w:lineRule="auto"/>
        <w:tabs>
          <w:tab w:leader="none" w:pos="3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RENEWAL: This lease may be renewed for successive terms of one (l) year periods at a rental rate to be agreed upon 45 days prior to the expiration of the existing lease term. If no agreement is reached, the lease shall expire at the end of that term.</w:t>
      </w:r>
    </w:p>
    <w:p>
      <w:pPr>
        <w:spacing w:after="0" w:line="169" w:lineRule="exact"/>
        <w:rPr>
          <w:rFonts w:ascii="Arial" w:cs="Arial" w:eastAsia="Arial" w:hAnsi="Arial"/>
          <w:sz w:val="18"/>
          <w:szCs w:val="18"/>
          <w:color w:val="auto"/>
        </w:rPr>
      </w:pPr>
    </w:p>
    <w:p>
      <w:pPr>
        <w:jc w:val="both"/>
        <w:ind w:firstLine="8"/>
        <w:spacing w:after="0" w:line="263" w:lineRule="auto"/>
        <w:tabs>
          <w:tab w:leader="none" w:pos="399"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POSSESSION: LESSEE shall be entitled to possession on the first day of the term of this lease, and shall yield possession to LESSOR at the time and date of the close of the lease term. LESSEE shall receive an electronic key to enter the building, and a physical key to enter the premises. All keys and other property of the LESSOR shall be returned by LESSEE at that time.</w:t>
      </w:r>
    </w:p>
    <w:p>
      <w:pPr>
        <w:spacing w:after="0" w:line="182" w:lineRule="exact"/>
        <w:rPr>
          <w:rFonts w:ascii="Arial" w:cs="Arial" w:eastAsia="Arial" w:hAnsi="Arial"/>
          <w:sz w:val="18"/>
          <w:szCs w:val="18"/>
          <w:color w:val="auto"/>
        </w:rPr>
      </w:pPr>
    </w:p>
    <w:p>
      <w:pPr>
        <w:ind w:left="360" w:hanging="35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AND MODIFICATION OF PROPERTY:</w:t>
      </w:r>
    </w:p>
    <w:p>
      <w:pPr>
        <w:spacing w:after="0" w:line="224" w:lineRule="exact"/>
        <w:rPr>
          <w:rFonts w:ascii="Arial" w:cs="Arial" w:eastAsia="Arial" w:hAnsi="Arial"/>
          <w:sz w:val="18"/>
          <w:szCs w:val="18"/>
          <w:color w:val="auto"/>
        </w:rPr>
      </w:pPr>
    </w:p>
    <w:p>
      <w:pPr>
        <w:ind w:right="20" w:firstLine="393"/>
        <w:spacing w:after="0" w:line="277" w:lineRule="auto"/>
        <w:rPr>
          <w:rFonts w:ascii="Arial" w:cs="Arial" w:eastAsia="Arial" w:hAnsi="Arial"/>
          <w:sz w:val="18"/>
          <w:szCs w:val="18"/>
          <w:color w:val="auto"/>
        </w:rPr>
      </w:pPr>
      <w:r>
        <w:rPr>
          <w:rFonts w:ascii="Arial" w:cs="Arial" w:eastAsia="Arial" w:hAnsi="Arial"/>
          <w:sz w:val="18"/>
          <w:szCs w:val="18"/>
          <w:color w:val="auto"/>
        </w:rPr>
        <w:t>A. This property shall be used by LESSEE for the purpose of conducting a business to discover and develop new, safer therapies for the treatment of Attention Deficit/Hyperactivity Disorder, pain and various forms of cancer.</w:t>
      </w:r>
    </w:p>
    <w:p>
      <w:pPr>
        <w:spacing w:after="0" w:line="169" w:lineRule="exact"/>
        <w:rPr>
          <w:rFonts w:ascii="Arial" w:cs="Arial" w:eastAsia="Arial" w:hAnsi="Arial"/>
          <w:sz w:val="18"/>
          <w:szCs w:val="18"/>
          <w:color w:val="auto"/>
        </w:rPr>
      </w:pPr>
    </w:p>
    <w:p>
      <w:pPr>
        <w:jc w:val="both"/>
        <w:ind w:firstLine="429"/>
        <w:spacing w:after="0" w:line="293" w:lineRule="auto"/>
        <w:tabs>
          <w:tab w:leader="none" w:pos="849" w:val="left"/>
        </w:tabs>
        <w:numPr>
          <w:ilvl w:val="2"/>
          <w:numId w:val="75"/>
        </w:numPr>
        <w:rPr>
          <w:rFonts w:ascii="Arial" w:cs="Arial" w:eastAsia="Arial" w:hAnsi="Arial"/>
          <w:sz w:val="16"/>
          <w:szCs w:val="16"/>
          <w:color w:val="auto"/>
        </w:rPr>
      </w:pPr>
      <w:r>
        <w:rPr>
          <w:rFonts w:ascii="Arial" w:cs="Arial" w:eastAsia="Arial" w:hAnsi="Arial"/>
          <w:sz w:val="16"/>
          <w:szCs w:val="16"/>
          <w:color w:val="auto"/>
        </w:rPr>
        <w:t>LESSEE shall submit in writing any proposed plan for changes, modifications or additions to the building or premises and will not proceed with same without LESSOR's written approval, which shall not be umeasonably withheld. At LESSOR's sole discretion, such written approval may include a requirement that any or all such changes, modifications or additions be returned to the original condition of the building or premises upon the expiration or termination of this agreement or a renewal or extension thereof. Any such changes, modifications, or additions that require work to be performed outside the premises or on any of the heating, ventilating, air-conditioning, mechanical, elevator, plumbing, electrical, fire protection, life safety, or security systems in the building shall also require prior approval of BBQ TOO, LLC, or any successor to the interest of BBQ TOO, LLC in the building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both"/>
        <w:spacing w:after="0" w:line="255" w:lineRule="auto"/>
        <w:rPr>
          <w:sz w:val="20"/>
          <w:szCs w:val="20"/>
          <w:color w:val="auto"/>
        </w:rPr>
      </w:pPr>
      <w:r>
        <w:rPr>
          <w:rFonts w:ascii="Arial" w:cs="Arial" w:eastAsia="Arial" w:hAnsi="Arial"/>
          <w:sz w:val="18"/>
          <w:szCs w:val="18"/>
          <w:color w:val="auto"/>
        </w:rPr>
        <w:t>Any such changes, modifications, or additions to the building or premises shall be completed by LESSOR, unless agreed in writing by LESSOR and LESSEE that such changes, modifications or additions shall be completed by LESSEE. In the event changes, modifications, or additions to the building or premises are completed by LESSEE, LESSEE shall ensure that any such changes, modifications, or additions to the building or premises are performed in accordance with applicable law (including, but not limited to, the Americans with Disabilities Act), utilizing the appropriate permits and governmental approvals, and done in a good and workmanlike manner. LESSEE shall keep the premises and the building free and clear of all liens in any way related to work performed, materials furnished, or obligations incurred by LESSEE.</w:t>
      </w:r>
    </w:p>
    <w:p>
      <w:pPr>
        <w:spacing w:after="0" w:line="191" w:lineRule="exact"/>
        <w:rPr>
          <w:sz w:val="20"/>
          <w:szCs w:val="20"/>
          <w:color w:val="auto"/>
        </w:rPr>
      </w:pPr>
    </w:p>
    <w:p>
      <w:pPr>
        <w:jc w:val="both"/>
        <w:ind w:firstLine="390"/>
        <w:spacing w:after="0" w:line="254" w:lineRule="auto"/>
        <w:tabs>
          <w:tab w:leader="none" w:pos="7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Unless agreed to in writing beforehand by the parties, any such changes, modifications, or additions to the building or premises shall be completed at LESSEE's sole cost and expense. At LESSOR's sole discretion, LESSOR may agree to assume the up-front costs of changes, modifications, or additions and then modify the rent amount of LESSEE in this agreement to reflect the costs of such changes, modifications, or additions. Any such changes, modifications or additions to the building or premises shall become the property of LESSOR, including without limitation furniture and fixtures, laboratory casework and the like that are affixed to the floor, walls or ceiling. When providing approval in writing, LESSOR may require that LESSEE restore the changed, modified or added to building or premises to their original condition upon the expiration or termination of this agreement or renewals or extensions thereof.</w:t>
      </w:r>
    </w:p>
    <w:p>
      <w:pPr>
        <w:spacing w:after="0" w:line="193" w:lineRule="exact"/>
        <w:rPr>
          <w:rFonts w:ascii="Arial" w:cs="Arial" w:eastAsia="Arial" w:hAnsi="Arial"/>
          <w:sz w:val="18"/>
          <w:szCs w:val="18"/>
          <w:color w:val="auto"/>
        </w:rPr>
      </w:pPr>
    </w:p>
    <w:p>
      <w:pPr>
        <w:jc w:val="both"/>
        <w:ind w:firstLine="8"/>
        <w:spacing w:after="0" w:line="279" w:lineRule="auto"/>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CARE OF PREMISES: LESSEE shall keep the premises neat and orderly, and shall surrender the premises at the end of the lease term in the same condition as when it took possession, normal wear and tear excepted. LESSEE shall ensure that its operation shall not create unreasonable noise, interference or disruption for any other LESSEE or for the University. Pursuant to Section 15 herein, LESSOR and Ryan Companies US reserve the right to enter the premises to exercise safety or security measures and to make necessary alterations, repairs, additions or improvements.</w:t>
      </w:r>
    </w:p>
    <w:p>
      <w:pPr>
        <w:spacing w:after="0" w:line="170" w:lineRule="exact"/>
        <w:rPr>
          <w:rFonts w:ascii="Arial" w:cs="Arial" w:eastAsia="Arial" w:hAnsi="Arial"/>
          <w:sz w:val="17"/>
          <w:szCs w:val="17"/>
          <w:color w:val="auto"/>
        </w:rPr>
      </w:pPr>
    </w:p>
    <w:p>
      <w:pPr>
        <w:jc w:val="both"/>
        <w:ind w:firstLine="8"/>
        <w:spacing w:after="0" w:line="256" w:lineRule="auto"/>
        <w:tabs>
          <w:tab w:leader="none" w:pos="4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UTILITIES AND SERVICES: General purpose water, heat, light, trash removal, maintenance, sidewalk maintenance including snow removal and general care of hallways and public areas will be provided by LESSOR or BBQ TOO, LLC. Should LESSEE's operations result in excessive and inordinate utility consumption as determined in the sole discretion of the LESSOR, the LESSOR reserves the right to charge a reasonable fee for such consumption. LESSEE is responsible for telephone and data services and charges. LESSEE will have equal access to conference rooms, the equipment room, equipment, a break room, restrooms, showers, and parking at no additional charge.</w:t>
      </w:r>
    </w:p>
    <w:p>
      <w:pPr>
        <w:spacing w:after="0" w:line="191" w:lineRule="exact"/>
        <w:rPr>
          <w:rFonts w:ascii="Arial" w:cs="Arial" w:eastAsia="Arial" w:hAnsi="Arial"/>
          <w:sz w:val="18"/>
          <w:szCs w:val="18"/>
          <w:color w:val="auto"/>
        </w:rPr>
      </w:pP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INSURANCE: LESSOR and LESSEE shall each be responsible to protect its respective property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LESSEE shall purchase and maintain liability insurance with a minimum limit of not less than One Million Dollars ($1,000,000) per occurrence and Two Million Dollars ($2,000,000) annual aggregate. This policy shall be endorsed to include the State of Iowa; University of Iowa; and Board of Regents, State of Iowa as an additional insured. Policy shall contain a severability of interests provision.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Applicable Workers Compensation insurance to cover liability imposed by State statutes. Employer's Liability insurance of no less than $100,000 each employee and $100,000 each accident.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LESSEE shall provide to LESSOR a certificate of insurance evidencing above insurance with the signed Lease and annually.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required insurance policies shall be issued by insurance companies authorized to engage in the insurance business in the State of Iowa, with an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Best's rating of A-, VII or better. These policies shall be primary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2" w:name="page133"/>
    <w:bookmarkEnd w:id="132"/>
    <w:p>
      <w:pPr>
        <w:jc w:val="both"/>
        <w:ind w:left="-8" w:firstLine="8"/>
        <w:spacing w:after="0" w:line="259" w:lineRule="auto"/>
        <w:tabs>
          <w:tab w:leader="none" w:pos="5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LIABILITY: LESSEE agrees to indemnify, defend and hold hannless the University of Iowa, the State of Iowa, the Iowa Board of Regents, the University of Iowa Research Park Corporation, and their board members, officers, employees, and agents (hereinafter the "Released Parties") from and against any and all liability, loss, costs, damage and expenses occasioned by, arising out of, or relating in any way to LESSEE's business operations, products or services, debts or obligations, or any action of LESSEE, its employees, agents and others.</w:t>
      </w:r>
    </w:p>
    <w:p>
      <w:pPr>
        <w:spacing w:after="0" w:line="185" w:lineRule="exact"/>
        <w:rPr>
          <w:rFonts w:ascii="Arial" w:cs="Arial" w:eastAsia="Arial" w:hAnsi="Arial"/>
          <w:sz w:val="18"/>
          <w:szCs w:val="18"/>
          <w:color w:val="auto"/>
        </w:rPr>
      </w:pPr>
    </w:p>
    <w:p>
      <w:pPr>
        <w:jc w:val="both"/>
        <w:ind w:left="-8" w:firstLine="8"/>
        <w:spacing w:after="0" w:line="259" w:lineRule="auto"/>
        <w:tabs>
          <w:tab w:leader="none" w:pos="5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HOLDING OVER: Continued possession beyond the expiration date of the term of this lease by the LESSEE shall constitute a month-to-month extension of this lease at the rate of One Hundred Twenty Percent (120%) of the lease amount set forth on Exhibit B to this agreement. Nothing in this provision limits the right of LESSOR to exercise its right to remove LESSEE from the premises following expiration of this agreement or to exercise any other rights that LESSOR may have in law or in equity.</w:t>
      </w:r>
    </w:p>
    <w:p>
      <w:pPr>
        <w:spacing w:after="0" w:line="185" w:lineRule="exact"/>
        <w:rPr>
          <w:rFonts w:ascii="Arial" w:cs="Arial" w:eastAsia="Arial" w:hAnsi="Arial"/>
          <w:sz w:val="18"/>
          <w:szCs w:val="18"/>
          <w:color w:val="auto"/>
        </w:rPr>
      </w:pPr>
    </w:p>
    <w:p>
      <w:pPr>
        <w:ind w:left="-8" w:right="20" w:firstLine="8"/>
        <w:spacing w:after="0" w:line="341" w:lineRule="auto"/>
        <w:tabs>
          <w:tab w:leader="none" w:pos="49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RULES: LESSEE understands and acknowledges that it and its officers, employees, agents, visitors and guests shall observe all operating policies of the LESSOR, including, but not limited to, rules procedures and traffic and parking regulations. Such policies shall be provided in writing by LESSOR.</w:t>
      </w:r>
    </w:p>
    <w:p>
      <w:pPr>
        <w:spacing w:after="0" w:line="124" w:lineRule="exact"/>
        <w:rPr>
          <w:rFonts w:ascii="Arial" w:cs="Arial" w:eastAsia="Arial" w:hAnsi="Arial"/>
          <w:sz w:val="16"/>
          <w:szCs w:val="16"/>
          <w:color w:val="auto"/>
        </w:rPr>
      </w:pPr>
    </w:p>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REPRESENTATIONS: LESSEE agrees that it will not represent itself as acting on behalf of or as part of, the University of Iowa.</w:t>
      </w:r>
    </w:p>
    <w:p>
      <w:pPr>
        <w:spacing w:after="0" w:line="224"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ASSIGNMENT: LESSEE shall not assign or sublet this lease or its rights hereunder to any other party without the prior written approval of LESSOR.</w:t>
      </w:r>
    </w:p>
    <w:p>
      <w:pPr>
        <w:spacing w:after="0" w:line="247" w:lineRule="exact"/>
        <w:rPr>
          <w:rFonts w:ascii="Arial" w:cs="Arial" w:eastAsia="Arial" w:hAnsi="Arial"/>
          <w:sz w:val="16"/>
          <w:szCs w:val="16"/>
          <w:color w:val="auto"/>
        </w:rPr>
      </w:pPr>
    </w:p>
    <w:p>
      <w:pPr>
        <w:jc w:val="both"/>
        <w:ind w:left="-8" w:right="20" w:firstLine="8"/>
        <w:spacing w:after="0" w:line="263" w:lineRule="auto"/>
        <w:tabs>
          <w:tab w:leader="none" w:pos="6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INSPECTION: LESSEE shall allow LESSOR to enter the leased premises at reasonable times, and with reasonable notice considering the circumstances, for the purposes of inspection, repairs or improvements, to exercise safety or security measures, or to show the premises to prospective Lessees.</w:t>
      </w:r>
    </w:p>
    <w:p>
      <w:pPr>
        <w:spacing w:after="0" w:line="182" w:lineRule="exact"/>
        <w:rPr>
          <w:rFonts w:ascii="Arial" w:cs="Arial" w:eastAsia="Arial" w:hAnsi="Arial"/>
          <w:sz w:val="18"/>
          <w:szCs w:val="18"/>
          <w:color w:val="auto"/>
        </w:rPr>
      </w:pPr>
    </w:p>
    <w:p>
      <w:pPr>
        <w:jc w:val="both"/>
        <w:ind w:left="-8" w:firstLine="8"/>
        <w:spacing w:after="0" w:line="255" w:lineRule="auto"/>
        <w:tabs>
          <w:tab w:leader="none" w:pos="5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REMEDIES: If LESSEE fails to comply with the tenns of this lease, and refuses to correct such non-compliance within thirty (30) calendar days following written notice, LESSOR may terminate this lease and proceed to remove LESSEE from the premise, or take such other action as is provided by law. LESSEE and LESSOR agree that the remedies for default set forth above are not exclusive, but shall be cumulative and shall be in addition to any other remedies now or hereinafter allowed by law. Any breach or default by LESSEE shall not be waived or released other than by writing signed by LESSOR. Failure by LESSOR at any time to require performance by LESSEE or to claim a breach of any provision of the agreement shall not be construed as affecting the right to require performance or to claim a breach.</w:t>
      </w:r>
    </w:p>
    <w:p>
      <w:pPr>
        <w:spacing w:after="0" w:line="191"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CHANGES IN WRITING: Any and all changes, additions or deletions to the terms of this lease shall be in writing, executed by both parties.</w:t>
      </w:r>
    </w:p>
    <w:p>
      <w:pPr>
        <w:spacing w:after="0" w:line="236" w:lineRule="exact"/>
        <w:rPr>
          <w:rFonts w:ascii="Arial" w:cs="Arial" w:eastAsia="Arial" w:hAnsi="Arial"/>
          <w:sz w:val="17"/>
          <w:szCs w:val="17"/>
          <w:color w:val="auto"/>
        </w:rPr>
      </w:pPr>
    </w:p>
    <w:p>
      <w:pPr>
        <w:ind w:left="-8" w:right="20" w:firstLine="8"/>
        <w:spacing w:after="0" w:line="277" w:lineRule="auto"/>
        <w:tabs>
          <w:tab w:leader="none" w:pos="4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COMMON AREAS: LESSEE shall have reasonable use of common areas of the building for normal business purposes, within the policy guidelines of the University of Iowa.</w:t>
      </w:r>
    </w:p>
    <w:p>
      <w:pPr>
        <w:spacing w:after="0" w:line="169" w:lineRule="exact"/>
        <w:rPr>
          <w:rFonts w:ascii="Arial" w:cs="Arial" w:eastAsia="Arial" w:hAnsi="Arial"/>
          <w:sz w:val="18"/>
          <w:szCs w:val="18"/>
          <w:color w:val="auto"/>
        </w:rPr>
      </w:pPr>
    </w:p>
    <w:p>
      <w:pPr>
        <w:jc w:val="both"/>
        <w:ind w:left="-8" w:firstLine="8"/>
        <w:spacing w:after="0" w:line="279" w:lineRule="auto"/>
        <w:tabs>
          <w:tab w:leader="none" w:pos="499"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SECURITY: LESSEE is responsible for securing all windows and doors within and on its leased space and shall exert diligence in keeping building entrances and openings locked after normal business hours. LESSEE shall be solely responsible for any and all losses, damages, claims, or causes of action that may arise that relate in any way from LESSEE's failure or alleged failure to perform the obligations under this provision. LESSEE further agrees to defend, hold harmless, and indemnify LESSOR for any violation of the obligations under this provision.</w:t>
      </w:r>
    </w:p>
    <w:p>
      <w:pPr>
        <w:spacing w:after="0" w:line="170" w:lineRule="exact"/>
        <w:rPr>
          <w:rFonts w:ascii="Arial" w:cs="Arial" w:eastAsia="Arial" w:hAnsi="Arial"/>
          <w:sz w:val="17"/>
          <w:szCs w:val="17"/>
          <w:color w:val="auto"/>
        </w:rPr>
      </w:pPr>
    </w:p>
    <w:p>
      <w:pPr>
        <w:ind w:left="-8" w:right="20" w:firstLine="8"/>
        <w:spacing w:after="0" w:line="277" w:lineRule="auto"/>
        <w:tabs>
          <w:tab w:leader="none" w:pos="4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RELOCATION: LESSOR reserves the right to relocate LESSEE to a comparable space at LESSOR's discretion. LESSOR will provide 30 days notice prior to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33" w:name="page134"/>
    <w:bookmarkEnd w:id="133"/>
    <w:p>
      <w:pPr>
        <w:ind w:left="-8" w:firstLine="8"/>
        <w:spacing w:after="0" w:line="277" w:lineRule="auto"/>
        <w:tabs>
          <w:tab w:leader="none" w:pos="4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HAZARDOUS WASTE: LESSEE is required to enter into a Hazardous Waste Agreement with the University of Iowa, which is attached as Exhibit C to this lease and hereby incorporated into this agreement by reference.</w:t>
      </w:r>
    </w:p>
    <w:p>
      <w:pPr>
        <w:spacing w:after="0" w:line="169" w:lineRule="exact"/>
        <w:rPr>
          <w:rFonts w:ascii="Arial" w:cs="Arial" w:eastAsia="Arial" w:hAnsi="Arial"/>
          <w:sz w:val="18"/>
          <w:szCs w:val="18"/>
          <w:color w:val="auto"/>
        </w:rPr>
      </w:pPr>
    </w:p>
    <w:p>
      <w:pPr>
        <w:jc w:val="both"/>
        <w:ind w:left="-8" w:firstLine="8"/>
        <w:spacing w:after="0" w:line="263" w:lineRule="auto"/>
        <w:tabs>
          <w:tab w:leader="none" w:pos="5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BUILDING RULES, AND UNIVERSITY AND REGENT POLICIES: LESSEE agrees to abide by all building rules of BBQ TOO, LLC and LESSOR, and all policies and regulations of the University of Iowa and the Iowa Board of Regents, that may be applicable to the use of University-controlled buildings in general and these premises in particular.</w:t>
      </w:r>
    </w:p>
    <w:p>
      <w:pPr>
        <w:spacing w:after="0" w:line="182" w:lineRule="exact"/>
        <w:rPr>
          <w:rFonts w:ascii="Arial" w:cs="Arial" w:eastAsia="Arial" w:hAnsi="Arial"/>
          <w:sz w:val="18"/>
          <w:szCs w:val="18"/>
          <w:color w:val="auto"/>
        </w:rPr>
      </w:pPr>
    </w:p>
    <w:p>
      <w:pPr>
        <w:jc w:val="both"/>
        <w:ind w:left="-8" w:firstLine="8"/>
        <w:spacing w:after="0" w:line="263" w:lineRule="auto"/>
        <w:tabs>
          <w:tab w:leader="none" w:pos="5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APPLICABILITY TO THIRD PARTIES AND SUCCESSORS IN INTEREST. There are no third party beneficiaries to this agreement. The tenns, provisions, and conditions of the agreement shall be binding upon and inure to the benefit of LESSOR and LESSEE and their respective successors, assigns, and legal representatives.</w:t>
      </w:r>
    </w:p>
    <w:p>
      <w:pPr>
        <w:spacing w:after="0" w:line="182" w:lineRule="exact"/>
        <w:rPr>
          <w:rFonts w:ascii="Arial" w:cs="Arial" w:eastAsia="Arial" w:hAnsi="Arial"/>
          <w:sz w:val="18"/>
          <w:szCs w:val="18"/>
          <w:color w:val="auto"/>
        </w:rPr>
      </w:pPr>
    </w:p>
    <w:p>
      <w:pPr>
        <w:jc w:val="both"/>
        <w:ind w:left="-8" w:firstLine="8"/>
        <w:spacing w:after="0" w:line="279" w:lineRule="auto"/>
        <w:tabs>
          <w:tab w:leader="none" w:pos="475"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COUNTERPARTS AND FACIMILE SIGNATURES. The parties agree that this agreement has been or may be executed in several counterparts, each of which shall be deemed an original and all such counterparts shall together constitute one and the same instrument. The parties further agree that the signatures on this Agreement or any amendment or schedule may be manual or a facsimile signature of the person authorized to sign the appropriate document. All authorized facsimile signatures shall have the same force and effect as if manually signed.</w:t>
      </w:r>
    </w:p>
    <w:p>
      <w:pPr>
        <w:spacing w:after="0" w:line="170" w:lineRule="exact"/>
        <w:rPr>
          <w:rFonts w:ascii="Arial" w:cs="Arial" w:eastAsia="Arial" w:hAnsi="Arial"/>
          <w:sz w:val="17"/>
          <w:szCs w:val="17"/>
          <w:color w:val="auto"/>
        </w:rPr>
      </w:pPr>
    </w:p>
    <w:p>
      <w:pPr>
        <w:ind w:left="-8" w:firstLine="8"/>
        <w:spacing w:after="0" w:line="341" w:lineRule="auto"/>
        <w:tabs>
          <w:tab w:leader="none" w:pos="522"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SEVERABILITY. If any provision of this agreement is determined by a court of competent jurisdiction to be invalid or unenforceable, the invalid portion shall be severed from this agreement. Such a determination shall not affect the validity or enforceability of other parts or provisions of the agreement.</w:t>
      </w:r>
    </w:p>
    <w:p>
      <w:pPr>
        <w:spacing w:after="0" w:line="124" w:lineRule="exact"/>
        <w:rPr>
          <w:rFonts w:ascii="Arial" w:cs="Arial" w:eastAsia="Arial" w:hAnsi="Arial"/>
          <w:sz w:val="16"/>
          <w:szCs w:val="16"/>
          <w:color w:val="auto"/>
        </w:rPr>
      </w:pPr>
    </w:p>
    <w:p>
      <w:pPr>
        <w:jc w:val="both"/>
        <w:ind w:left="-8" w:firstLine="8"/>
        <w:spacing w:after="0" w:line="286" w:lineRule="auto"/>
        <w:tabs>
          <w:tab w:leader="none" w:pos="531"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INTEGRATION. This agreement, including all the exhibits and documents incorporated by reference, represents the entire agreement between the parties and neither LESSOR nor LESSEE is relying on any representation that may have been made which is not included in this agreement. This agreement supersedes all prior agreements between LESSOR and LESSEE regarding the premises and the subject matter of this agreement.</w:t>
      </w:r>
    </w:p>
    <w:p>
      <w:pPr>
        <w:spacing w:after="0" w:line="164" w:lineRule="exact"/>
        <w:rPr>
          <w:rFonts w:ascii="Arial" w:cs="Arial" w:eastAsia="Arial" w:hAnsi="Arial"/>
          <w:sz w:val="17"/>
          <w:szCs w:val="17"/>
          <w:color w:val="auto"/>
        </w:rPr>
      </w:pPr>
    </w:p>
    <w:p>
      <w:pPr>
        <w:jc w:val="both"/>
        <w:ind w:left="-8" w:firstLine="8"/>
        <w:spacing w:after="0" w:line="256"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ENDORSEMENT BY LESSOR. LESSEE understands and agrees that neither this agreement nor LESSEE's use of the premises constitutes an endorsement by LESSOR or the University of Iowa of the products or services provided by LESSOR. Neither LESSOR nor the University of Iowa will make any endorsement of LESSOR's products or services. Except in the mailing address, LESSOR shall not use the name of the LESSOR or the University of Iowa in connection with LESSEE's products or services. LESSOR, the University of Iowa, and the State of Iowa will not be responsible for any past, present, or future debts of LESSEE</w:t>
      </w:r>
    </w:p>
    <w:p>
      <w:pPr>
        <w:spacing w:after="0" w:line="191" w:lineRule="exact"/>
        <w:rPr>
          <w:rFonts w:ascii="Arial" w:cs="Arial" w:eastAsia="Arial" w:hAnsi="Arial"/>
          <w:sz w:val="18"/>
          <w:szCs w:val="18"/>
          <w:color w:val="auto"/>
        </w:rPr>
      </w:pPr>
    </w:p>
    <w:p>
      <w:pPr>
        <w:jc w:val="both"/>
        <w:ind w:left="-8" w:firstLine="8"/>
        <w:spacing w:after="0" w:line="256" w:lineRule="auto"/>
        <w:tabs>
          <w:tab w:leader="none" w:pos="4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FORCE MAJEURE. Neither LESSOR nor LESSEE shall be liable to the other for any delay or failure of performance of this agreement and no delay or failure of performance shall constitute a default or give rise to any liability for damages if, and only to the extent that, such delay or failure is caused by a "force majeure". As used in this agreement, "force majeure" includes acts of God, war, civil disturbance and any other similar causes which are beyond the control and anticipation of the party affected and which, by the exercise of reasonable diligence, the party was unable to anticipate or prevent. Business downturns or difficulties by LESSEE shall not be considered a force majeure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34" w:name="page135"/>
    <w:bookmarkEnd w:id="134"/>
    <w:p>
      <w:pPr>
        <w:jc w:val="both"/>
        <w:ind w:firstLine="8"/>
        <w:spacing w:after="0" w:line="296" w:lineRule="auto"/>
        <w:tabs>
          <w:tab w:leader="none" w:pos="544"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CHOICE OF LAW AND FORUM. The laws of the State of Iowa shall govern and determine all matters arising out of or in connection with this agreement. In the event that any procedding of a quasi-judicial or judicial nature is commenced relating in any way to this agreement, the exclusive jurisdiction for the proceeding is the Johnson County District Court, Iowa City, Iowa, or the United States District Court for the Southern District of Iowa, wherever jurisdiction is appropriate. This provision shall not be construed as waiving any immunity to suit or liability, including without limitation sovereign immunity or Eleventh Amendment immunity, which may be available to the University of Iowa, the Iowa Board of Regents, or the State of Iowa.</w:t>
      </w:r>
    </w:p>
    <w:p>
      <w:pPr>
        <w:spacing w:after="0" w:line="160" w:lineRule="exact"/>
        <w:rPr>
          <w:rFonts w:ascii="Arial" w:cs="Arial" w:eastAsia="Arial" w:hAnsi="Arial"/>
          <w:sz w:val="16"/>
          <w:szCs w:val="16"/>
          <w:color w:val="auto"/>
        </w:rPr>
      </w:pPr>
    </w:p>
    <w:p>
      <w:pPr>
        <w:ind w:firstLine="8"/>
        <w:spacing w:after="0" w:line="277" w:lineRule="auto"/>
        <w:tabs>
          <w:tab w:leader="none" w:pos="4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PAYMENTS: Rent payments and other payments due to LESSOR shall be paid at the following address or such other address as may be communicated to LESSEE from time to time in writing: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UI BioVentures Center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2500 Crosspark Rd. El56</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Coralville, IA 52241</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LESSOR: Board of Regents,</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w w:val="95"/>
              </w:rPr>
              <w:t>LESSEE: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KemPharm, Inc.</w:t>
            </w:r>
          </w:p>
        </w:tc>
        <w:tc>
          <w:tcPr>
            <w:tcW w:w="5140" w:type="dxa"/>
            <w:vAlign w:val="bottom"/>
          </w:tcPr>
          <w:p>
            <w:pPr>
              <w:spacing w:after="0"/>
              <w:rPr>
                <w:sz w:val="20"/>
                <w:szCs w:val="20"/>
                <w:color w:val="auto"/>
              </w:rPr>
            </w:pPr>
          </w:p>
        </w:tc>
      </w:tr>
      <w:tr>
        <w:trPr>
          <w:trHeight w:val="195"/>
        </w:trPr>
        <w:tc>
          <w:tcPr>
            <w:tcW w:w="2680" w:type="dxa"/>
            <w:vAlign w:val="bottom"/>
            <w:gridSpan w:val="2"/>
          </w:tcPr>
          <w:p>
            <w:pPr>
              <w:spacing w:after="0" w:line="195" w:lineRule="exact"/>
              <w:rPr>
                <w:sz w:val="20"/>
                <w:szCs w:val="20"/>
                <w:color w:val="auto"/>
              </w:rPr>
            </w:pPr>
            <w:r>
              <w:rPr>
                <w:rFonts w:ascii="Arial" w:cs="Arial" w:eastAsia="Arial" w:hAnsi="Arial"/>
                <w:sz w:val="18"/>
                <w:szCs w:val="18"/>
                <w:color w:val="auto"/>
              </w:rPr>
              <w:t>State of Iowa, for the Use</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and Benefit of the University of</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Iowa</w:t>
            </w:r>
          </w:p>
        </w:tc>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David Kieft</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 LaDuane Clifton</w:t>
            </w:r>
          </w:p>
        </w:tc>
        <w:tc>
          <w:tcPr>
            <w:tcW w:w="5140" w:type="dxa"/>
            <w:vAlign w:val="bottom"/>
          </w:tcPr>
          <w:p>
            <w:pPr>
              <w:spacing w:after="0"/>
              <w:rPr>
                <w:sz w:val="24"/>
                <w:szCs w:val="24"/>
                <w:color w:val="auto"/>
              </w:rPr>
            </w:pPr>
          </w:p>
        </w:tc>
      </w:tr>
      <w:tr>
        <w:trPr>
          <w:trHeight w:val="411"/>
        </w:trPr>
        <w:tc>
          <w:tcPr>
            <w:tcW w:w="520" w:type="dxa"/>
            <w:vAlign w:val="bottom"/>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David Kieft</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Business Manager,</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TITLE: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CFO</w:t>
            </w:r>
          </w:p>
        </w:tc>
        <w:tc>
          <w:tcPr>
            <w:tcW w:w="5140" w:type="dxa"/>
            <w:vAlign w:val="bottom"/>
          </w:tcPr>
          <w:p>
            <w:pPr>
              <w:spacing w:after="0"/>
              <w:rPr>
                <w:sz w:val="20"/>
                <w:szCs w:val="20"/>
                <w:color w:val="auto"/>
              </w:rPr>
            </w:pPr>
          </w:p>
        </w:tc>
      </w:tr>
      <w:tr>
        <w:trPr>
          <w:trHeight w:val="195"/>
        </w:trPr>
        <w:tc>
          <w:tcPr>
            <w:tcW w:w="520" w:type="dxa"/>
            <w:vAlign w:val="bottom"/>
          </w:tcPr>
          <w:p>
            <w:pPr>
              <w:spacing w:after="0"/>
              <w:rPr>
                <w:sz w:val="16"/>
                <w:szCs w:val="16"/>
                <w:color w:val="auto"/>
              </w:rPr>
            </w:pPr>
          </w:p>
        </w:tc>
        <w:tc>
          <w:tcPr>
            <w:tcW w:w="2160" w:type="dxa"/>
            <w:vAlign w:val="bottom"/>
          </w:tcPr>
          <w:p>
            <w:pPr>
              <w:ind w:left="60"/>
              <w:spacing w:after="0" w:line="195" w:lineRule="exact"/>
              <w:rPr>
                <w:sz w:val="20"/>
                <w:szCs w:val="20"/>
                <w:color w:val="auto"/>
              </w:rPr>
            </w:pPr>
            <w:r>
              <w:rPr>
                <w:rFonts w:ascii="Arial" w:cs="Arial" w:eastAsia="Arial" w:hAnsi="Arial"/>
                <w:sz w:val="18"/>
                <w:szCs w:val="18"/>
                <w:color w:val="auto"/>
              </w:rPr>
              <w:t>University of Iowa, On</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Behalf of the Board of</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Regents,</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State of Iowa</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4"/>
              </w:rPr>
              <w:t>DATE:</w:t>
            </w:r>
          </w:p>
        </w:tc>
        <w:tc>
          <w:tcPr>
            <w:tcW w:w="2160" w:type="dxa"/>
            <w:vAlign w:val="bottom"/>
          </w:tcPr>
          <w:p>
            <w:pPr>
              <w:ind w:left="840"/>
              <w:spacing w:after="0"/>
              <w:rPr>
                <w:sz w:val="20"/>
                <w:szCs w:val="20"/>
                <w:color w:val="auto"/>
              </w:rPr>
            </w:pPr>
            <w:r>
              <w:rPr>
                <w:rFonts w:ascii="Arial" w:cs="Arial" w:eastAsia="Arial" w:hAnsi="Arial"/>
                <w:sz w:val="18"/>
                <w:szCs w:val="18"/>
                <w:color w:val="auto"/>
              </w:rPr>
              <w:t>9/22/17</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DATE:</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5 SEP 2017</w:t>
            </w:r>
          </w:p>
        </w:tc>
        <w:tc>
          <w:tcPr>
            <w:tcW w:w="5140" w:type="dxa"/>
            <w:vAlign w:val="bottom"/>
          </w:tcPr>
          <w:p>
            <w:pPr>
              <w:spacing w:after="0"/>
              <w:rPr>
                <w:sz w:val="24"/>
                <w:szCs w:val="24"/>
                <w:color w:val="auto"/>
              </w:rPr>
            </w:pPr>
          </w:p>
        </w:tc>
      </w:tr>
      <w:tr>
        <w:trPr>
          <w:trHeight w:val="783"/>
        </w:trPr>
        <w:tc>
          <w:tcPr>
            <w:tcW w:w="520" w:type="dxa"/>
            <w:vAlign w:val="bottom"/>
            <w:tcBorders>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5" w:name="page136"/>
    <w:bookmarkEnd w:id="135"/>
    <w:p>
      <w:pPr>
        <w:ind w:left="3900"/>
        <w:spacing w:after="0"/>
        <w:rPr>
          <w:sz w:val="20"/>
          <w:szCs w:val="20"/>
          <w:color w:val="auto"/>
        </w:rPr>
      </w:pPr>
      <w:r>
        <w:rPr>
          <w:rFonts w:ascii="Arial" w:cs="Arial" w:eastAsia="Arial" w:hAnsi="Arial"/>
          <w:sz w:val="18"/>
          <w:szCs w:val="18"/>
          <w:b w:val="1"/>
          <w:bCs w:val="1"/>
          <w:u w:val="single" w:color="auto"/>
          <w:color w:val="auto"/>
        </w:rPr>
        <w:t>EXHIBIT A—DESCRIPTION OF PREMISES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Premises include the following wet laboratory rooms located in the building at 2500 Crosspark Road, Coralville, Iowa: El27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premises also include the following office rooms located in the building at 2500 Crosspark Road, Coralville, Iowa: EI26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u w:val="single" w:color="auto"/>
          <w:color w:val="auto"/>
        </w:rPr>
        <w:t>EXHIBIT B--RENTAL CHARGES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Base Rent includes </w:t>
      </w:r>
      <w:r>
        <w:rPr>
          <w:rFonts w:ascii="Arial" w:cs="Arial" w:eastAsia="Arial" w:hAnsi="Arial"/>
          <w:sz w:val="17"/>
          <w:szCs w:val="17"/>
          <w:b w:val="1"/>
          <w:bCs w:val="1"/>
          <w:color w:val="auto"/>
        </w:rPr>
        <w:t>Two Thousand Six Hundred and Twenty Dollars ($2620.00)</w:t>
      </w:r>
      <w:r>
        <w:rPr>
          <w:rFonts w:ascii="Arial" w:cs="Arial" w:eastAsia="Arial" w:hAnsi="Arial"/>
          <w:sz w:val="17"/>
          <w:szCs w:val="17"/>
          <w:color w:val="auto"/>
        </w:rPr>
        <w:t xml:space="preserve"> per month for each of the following wet laboratory rooms: E127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 Rent also includes </w:t>
      </w:r>
      <w:r>
        <w:rPr>
          <w:rFonts w:ascii="Arial" w:cs="Arial" w:eastAsia="Arial" w:hAnsi="Arial"/>
          <w:sz w:val="18"/>
          <w:szCs w:val="18"/>
          <w:b w:val="1"/>
          <w:bCs w:val="1"/>
          <w:color w:val="auto"/>
        </w:rPr>
        <w:t>Six Hundred Seventy Dollars ($670.00)</w:t>
      </w:r>
      <w:r>
        <w:rPr>
          <w:rFonts w:ascii="Arial" w:cs="Arial" w:eastAsia="Arial" w:hAnsi="Arial"/>
          <w:sz w:val="18"/>
          <w:szCs w:val="18"/>
          <w:color w:val="auto"/>
        </w:rPr>
        <w:t xml:space="preserve"> per month for the following office suites: El26,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foregoing, Total Base Rent is </w:t>
      </w:r>
      <w:r>
        <w:rPr>
          <w:rFonts w:ascii="Arial" w:cs="Arial" w:eastAsia="Arial" w:hAnsi="Arial"/>
          <w:sz w:val="18"/>
          <w:szCs w:val="18"/>
          <w:b w:val="1"/>
          <w:bCs w:val="1"/>
          <w:color w:val="auto"/>
        </w:rPr>
        <w:t>Three Thousand Two Hundred and Ninety Dollars ($3,290.00)</w:t>
      </w:r>
      <w:r>
        <w:rPr>
          <w:rFonts w:ascii="Arial" w:cs="Arial" w:eastAsia="Arial" w:hAnsi="Arial"/>
          <w:sz w:val="18"/>
          <w:szCs w:val="18"/>
          <w:color w:val="auto"/>
        </w:rPr>
        <w:t xml:space="preserve"> per month.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rent includes lease of chemical fume hood(s)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chemical fume hood installed in Room E127</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Standard hood at </w:t>
      </w:r>
      <w:r>
        <w:rPr>
          <w:rFonts w:ascii="Arial" w:cs="Arial" w:eastAsia="Arial" w:hAnsi="Arial"/>
          <w:sz w:val="18"/>
          <w:szCs w:val="18"/>
          <w:b w:val="1"/>
          <w:bCs w:val="1"/>
          <w:color w:val="auto"/>
        </w:rPr>
        <w:t>Two Hundred Dollars ($200.00)</w:t>
      </w:r>
      <w:r>
        <w:rPr>
          <w:rFonts w:ascii="Arial" w:cs="Arial" w:eastAsia="Arial" w:hAnsi="Arial"/>
          <w:sz w:val="18"/>
          <w:szCs w:val="18"/>
          <w:color w:val="auto"/>
        </w:rPr>
        <w:t xml:space="preserve"> per month.</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Low flow chemical hood specially installed at </w:t>
      </w:r>
      <w:r>
        <w:rPr>
          <w:rFonts w:ascii="Arial" w:cs="Arial" w:eastAsia="Arial" w:hAnsi="Arial"/>
          <w:sz w:val="18"/>
          <w:szCs w:val="18"/>
          <w:b w:val="1"/>
          <w:bCs w:val="1"/>
          <w:color w:val="auto"/>
        </w:rPr>
        <w:t>Four Hundred Seventy Seven Dollars ($477.00)</w:t>
      </w:r>
      <w:r>
        <w:rPr>
          <w:rFonts w:ascii="Arial" w:cs="Arial" w:eastAsia="Arial" w:hAnsi="Arial"/>
          <w:sz w:val="18"/>
          <w:szCs w:val="18"/>
          <w:color w:val="auto"/>
        </w:rPr>
        <w:t xml:space="preserve"> per month.</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Base Rent</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Wet Laboratory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5"/>
              </w:rPr>
              <w:t>$2620.00 per month</w:t>
            </w:r>
          </w:p>
        </w:tc>
      </w:tr>
      <w:tr>
        <w:trPr>
          <w:trHeight w:val="216"/>
        </w:trPr>
        <w:tc>
          <w:tcPr>
            <w:tcW w:w="1460" w:type="dxa"/>
            <w:vAlign w:val="bottom"/>
          </w:tcPr>
          <w:p>
            <w:pPr>
              <w:ind w:left="160"/>
              <w:spacing w:after="0"/>
              <w:rPr>
                <w:sz w:val="20"/>
                <w:szCs w:val="20"/>
                <w:color w:val="auto"/>
              </w:rPr>
            </w:pPr>
            <w:r>
              <w:rPr>
                <w:rFonts w:ascii="Arial" w:cs="Arial" w:eastAsia="Arial" w:hAnsi="Arial"/>
                <w:sz w:val="18"/>
                <w:szCs w:val="18"/>
                <w:color w:val="auto"/>
              </w:rPr>
              <w:t>Office Suite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$670.00 per month</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Additional Rent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$677.00 per month</w:t>
            </w:r>
          </w:p>
        </w:tc>
      </w:t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Total Rent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$3,490.00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5"/>
              </w:rPr>
              <w:t>per month</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27"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Rent payments are due and payable on the first day of the month. Rents received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are subject to a late payment fee ofone and one-half percent (1.5%) of the outstanding balance of rent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t>EXHIBIT C—HAZARDOUS WASTE AGREEMENT</w:t>
      </w:r>
    </w:p>
    <w:p>
      <w:pPr>
        <w:sectPr>
          <w:pgSz w:w="11900" w:h="16838" w:orient="portrait"/>
          <w:cols w:equalWidth="0" w:num="1">
            <w:col w:w="9019"/>
          </w:cols>
          <w:pgMar w:left="1440" w:top="580" w:right="1440"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 the UI's standard agreement here.]</w:t>
      </w:r>
    </w:p>
    <w:p>
      <w:pPr>
        <w:sectPr>
          <w:pgSz w:w="11900" w:h="16838" w:orient="portrait"/>
          <w:cols w:equalWidth="0" w:num="1">
            <w:col w:w="9019"/>
          </w:cols>
          <w:pgMar w:left="1440" w:top="580"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(No. 333-213926) on Form S-3 and Registration Statement (No. 333-203703, No. 333-210369 and No. 333-216858) on Form S-8 of KemPharm, Inc. of our report dated March 30, 2018, relating to the financial statements of KemPharm, Inc., appearing in this Annual Report on Form 10-K of KemPharm, Inc. for the year ended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ectPr>
          <w:pgSz w:w="11900" w:h="16838" w:orient="portrait"/>
          <w:cols w:equalWidth="0" w:num="1">
            <w:col w:w="11420"/>
          </w:cols>
          <w:pgMar w:left="240" w:top="121" w:right="239" w:bottom="1440" w:gutter="0" w:footer="0" w:header="0"/>
        </w:sectPr>
      </w:pPr>
    </w:p>
    <w:bookmarkStart w:id="139" w:name="page140"/>
    <w:bookmarkEnd w:id="139"/>
    <w:p>
      <w:pPr>
        <w:ind w:left="10360"/>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333-216858) pertaining to the 2014 Equity Incentive Plan of KemPharm, Inc.,</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S-3 No. 333-213926) of KemPharm, Inc.,</w:t>
      </w:r>
    </w:p>
    <w:p>
      <w:pPr>
        <w:spacing w:after="0" w:line="8" w:lineRule="exact"/>
        <w:rPr>
          <w:rFonts w:ascii="Arial" w:cs="Arial" w:eastAsia="Arial" w:hAnsi="Arial"/>
          <w:sz w:val="18"/>
          <w:szCs w:val="18"/>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333-210369) pertaining to the 2014 Equity Incentive Plan of KemPharm, Inc., and</w:t>
      </w:r>
    </w:p>
    <w:p>
      <w:pPr>
        <w:spacing w:after="0" w:line="8" w:lineRule="exact"/>
        <w:rPr>
          <w:rFonts w:ascii="Arial" w:cs="Arial" w:eastAsia="Arial" w:hAnsi="Arial"/>
          <w:sz w:val="18"/>
          <w:szCs w:val="18"/>
          <w:color w:val="auto"/>
        </w:rPr>
      </w:pPr>
    </w:p>
    <w:p>
      <w:pPr>
        <w:ind w:left="360" w:right="140" w:hanging="352"/>
        <w:spacing w:after="0" w:line="260" w:lineRule="auto"/>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Registration Statement (Form S-8 No. 333-203703) pertaining to the Incentive Stock Plan, as amended, and the 2014 Equity Incentive Plan of KemPharm, Inc.</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of our report dated March 10, 2017 (except for the effects of the retrospective adoption of Accounting Standards Update 2016-18 discussed in Note A, </w:t>
      </w:r>
      <w:r>
        <w:rPr>
          <w:rFonts w:ascii="Arial" w:cs="Arial" w:eastAsia="Arial" w:hAnsi="Arial"/>
          <w:sz w:val="18"/>
          <w:szCs w:val="18"/>
          <w:i w:val="1"/>
          <w:iCs w:val="1"/>
          <w:color w:val="auto"/>
        </w:rPr>
        <w:t>Reclassifications</w:t>
      </w:r>
      <w:r>
        <w:rPr>
          <w:rFonts w:ascii="Arial" w:cs="Arial" w:eastAsia="Arial" w:hAnsi="Arial"/>
          <w:sz w:val="18"/>
          <w:szCs w:val="18"/>
          <w:color w:val="auto"/>
        </w:rPr>
        <w:t>, as to which the date is March 30, 2018), with respect to the financial statements of KemPharm, Inc. included in this Annual Report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 of KemPharm, Inc.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5" w:lineRule="exact"/>
        <w:rPr>
          <w:sz w:val="20"/>
          <w:szCs w:val="20"/>
          <w:color w:val="auto"/>
        </w:rPr>
      </w:pPr>
    </w:p>
    <w:p>
      <w:pPr>
        <w:ind w:left="920" w:hanging="453"/>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23" w:lineRule="exact"/>
        <w:rPr>
          <w:rFonts w:ascii="Arial" w:cs="Arial" w:eastAsia="Arial" w:hAnsi="Arial"/>
          <w:sz w:val="18"/>
          <w:szCs w:val="18"/>
          <w:color w:val="auto"/>
        </w:rPr>
      </w:pPr>
    </w:p>
    <w:p>
      <w:pPr>
        <w:jc w:val="both"/>
        <w:ind w:left="920" w:hanging="453"/>
        <w:spacing w:after="0" w:line="250"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20" w:hanging="453"/>
        <w:spacing w:after="0" w:line="264" w:lineRule="auto"/>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920" w:hanging="453"/>
        <w:spacing w:after="0" w:line="250"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500" w:hanging="453"/>
        <w:spacing w:after="0" w:line="250"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500" w:hanging="453"/>
        <w:spacing w:after="0" w:line="250"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500" w:hanging="453"/>
        <w:spacing w:after="0" w:line="281"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453"/>
        <w:spacing w:after="0" w:line="250"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20" w:hanging="453"/>
        <w:spacing w:after="0" w:line="264" w:lineRule="auto"/>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500" w:hanging="453"/>
        <w:spacing w:after="0" w:line="264" w:lineRule="auto"/>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500" w:hanging="453"/>
        <w:spacing w:after="0" w:line="260"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March 30, 2018</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140" w:type="dxa"/>
            <w:vAlign w:val="bottom"/>
          </w:tcPr>
          <w:p>
            <w:pPr>
              <w:spacing w:after="0"/>
              <w:rPr>
                <w:sz w:val="20"/>
                <w:szCs w:val="20"/>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5" w:lineRule="exact"/>
        <w:rPr>
          <w:sz w:val="20"/>
          <w:szCs w:val="20"/>
          <w:color w:val="auto"/>
        </w:rPr>
      </w:pPr>
    </w:p>
    <w:p>
      <w:pPr>
        <w:ind w:left="920" w:hanging="453"/>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23" w:lineRule="exact"/>
        <w:rPr>
          <w:rFonts w:ascii="Arial" w:cs="Arial" w:eastAsia="Arial" w:hAnsi="Arial"/>
          <w:sz w:val="18"/>
          <w:szCs w:val="18"/>
          <w:color w:val="auto"/>
        </w:rPr>
      </w:pPr>
    </w:p>
    <w:p>
      <w:pPr>
        <w:jc w:val="both"/>
        <w:ind w:left="920" w:hanging="453"/>
        <w:spacing w:after="0" w:line="250"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20" w:hanging="453"/>
        <w:spacing w:after="0" w:line="264"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920" w:hanging="453"/>
        <w:spacing w:after="0" w:line="250"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500" w:hanging="453"/>
        <w:spacing w:after="0" w:line="250"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500" w:hanging="453"/>
        <w:spacing w:after="0" w:line="250"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500" w:hanging="453"/>
        <w:spacing w:after="0" w:line="281"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453"/>
        <w:spacing w:after="0" w:line="250"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20" w:hanging="453"/>
        <w:spacing w:after="0" w:line="264"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500" w:hanging="453"/>
        <w:spacing w:after="0" w:line="264" w:lineRule="auto"/>
        <w:tabs>
          <w:tab w:leader="none" w:pos="15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500" w:hanging="453"/>
        <w:spacing w:after="0" w:line="260" w:lineRule="auto"/>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March 30, 2018</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6140" w:type="dxa"/>
            <w:vAlign w:val="bottom"/>
          </w:tcPr>
          <w:p>
            <w:pPr>
              <w:spacing w:after="0"/>
              <w:rPr>
                <w:sz w:val="20"/>
                <w:szCs w:val="20"/>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2017,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20" w:hanging="453"/>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March 30, 2018</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140" w:type="dxa"/>
            <w:vAlign w:val="bottom"/>
          </w:tcPr>
          <w:p>
            <w:pPr>
              <w:spacing w:after="0"/>
              <w:rPr>
                <w:sz w:val="20"/>
                <w:szCs w:val="20"/>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(Principal Executive Officer)</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2017,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20" w:hanging="453"/>
        <w:spacing w:after="0"/>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March 30, 2018</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14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6"/>
        </w:trPr>
        <w:tc>
          <w:tcPr>
            <w:tcW w:w="6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6140" w:type="dxa"/>
            <w:vAlign w:val="bottom"/>
          </w:tcPr>
          <w:p>
            <w:pPr>
              <w:spacing w:after="0"/>
              <w:rPr>
                <w:sz w:val="20"/>
                <w:szCs w:val="20"/>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(Principal Financial Officer)</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7"/>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upperLetter"/>
      <w:start w:val="35"/>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decimal"/>
      <w:start w:val="2"/>
    </w:lvl>
  </w:abstractNum>
  <w:abstractNum w:abstractNumId="49">
    <w:nsid w:val="1381823A"/>
    <w:multiLevelType w:val="hybridMultilevel"/>
    <w:lvl w:ilvl="0">
      <w:lvlJc w:val="left"/>
      <w:lvlText w:val="%1."/>
      <w:numFmt w:val="decimal"/>
      <w:start w:val="12"/>
    </w:lvl>
  </w:abstractNum>
  <w:abstractNum w:abstractNumId="50">
    <w:nsid w:val="5DB70AE5"/>
    <w:multiLevelType w:val="hybridMultilevel"/>
    <w:lvl w:ilvl="0">
      <w:lvlJc w:val="left"/>
      <w:lvlText w:val="%1."/>
      <w:numFmt w:val="upperLetter"/>
      <w:start w:val="1"/>
    </w:lvl>
  </w:abstractNum>
  <w:abstractNum w:abstractNumId="51">
    <w:nsid w:val="100F8FCA"/>
    <w:multiLevelType w:val="hybridMultilevel"/>
    <w:lvl w:ilvl="0">
      <w:lvlJc w:val="left"/>
      <w:lvlText w:val="%1."/>
      <w:numFmt w:val="upperLetter"/>
      <w:start w:val="2"/>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upperLetter"/>
      <w:start w:val="3"/>
    </w:lvl>
  </w:abstractNum>
  <w:abstractNum w:abstractNumId="54">
    <w:nsid w:val="5F5E7FD0"/>
    <w:multiLevelType w:val="hybridMultilevel"/>
    <w:lvl w:ilvl="0">
      <w:lvlJc w:val="left"/>
      <w:lvlText w:val="%1."/>
      <w:numFmt w:val="upperLetter"/>
      <w:start w:val="5"/>
    </w:lvl>
  </w:abstractNum>
  <w:abstractNum w:abstractNumId="55">
    <w:nsid w:val="98A3148"/>
    <w:multiLevelType w:val="hybridMultilevel"/>
    <w:lvl w:ilvl="0">
      <w:lvlJc w:val="left"/>
      <w:lvlText w:val="%1."/>
      <w:numFmt w:val="upperLetter"/>
      <w:start w:val="7"/>
    </w:lvl>
  </w:abstractNum>
  <w:abstractNum w:abstractNumId="56">
    <w:nsid w:val="799D0247"/>
    <w:multiLevelType w:val="hybridMultilevel"/>
    <w:lvl w:ilvl="0">
      <w:lvlJc w:val="left"/>
      <w:lvlText w:val="%1."/>
      <w:numFmt w:val="upperLetter"/>
      <w:start w:val="8"/>
    </w:lvl>
  </w:abstractNum>
  <w:abstractNum w:abstractNumId="57">
    <w:nsid w:val="6B94764"/>
    <w:multiLevelType w:val="hybridMultilevel"/>
    <w:lvl w:ilvl="0">
      <w:lvlJc w:val="left"/>
      <w:lvlText w:val="%1."/>
      <w:numFmt w:val="upperLetter"/>
      <w:start w:val="9"/>
    </w:lvl>
  </w:abstractNum>
  <w:abstractNum w:abstractNumId="58">
    <w:nsid w:val="42C296BD"/>
    <w:multiLevelType w:val="hybridMultilevel"/>
    <w:lvl w:ilvl="0">
      <w:lvlJc w:val="left"/>
      <w:lvlText w:val="%1."/>
      <w:numFmt w:val="upperLetter"/>
      <w:start w:val="10"/>
    </w:lvl>
  </w:abstractNum>
  <w:abstractNum w:abstractNumId="59">
    <w:nsid w:val="168E121F"/>
    <w:multiLevelType w:val="hybridMultilevel"/>
    <w:lvl w:ilvl="0">
      <w:lvlJc w:val="left"/>
      <w:lvlText w:val="%1."/>
      <w:numFmt w:val="upperLetter"/>
      <w:start w:val="11"/>
    </w:lvl>
  </w:abstractNum>
  <w:abstractNum w:abstractNumId="60">
    <w:nsid w:val="1EBA5D23"/>
    <w:multiLevelType w:val="hybridMultilevel"/>
    <w:lvl w:ilvl="0">
      <w:lvlJc w:val="left"/>
      <w:lvlText w:val="%1."/>
      <w:numFmt w:val="upperLetter"/>
      <w:start w:val="12"/>
    </w:lvl>
  </w:abstractNum>
  <w:abstractNum w:abstractNumId="61">
    <w:nsid w:val="661E3F1E"/>
    <w:multiLevelType w:val="hybridMultilevel"/>
    <w:lvl w:ilvl="0">
      <w:lvlJc w:val="left"/>
      <w:lvlText w:val="%1."/>
      <w:numFmt w:val="upperLetter"/>
      <w:start w:val="13"/>
    </w:lvl>
  </w:abstractNum>
  <w:abstractNum w:abstractNumId="62">
    <w:nsid w:val="5DC79EA8"/>
    <w:multiLevelType w:val="hybridMultilevel"/>
    <w:lvl w:ilvl="0">
      <w:lvlJc w:val="left"/>
      <w:lvlText w:val="%1."/>
      <w:numFmt w:val="upperLetter"/>
      <w:start w:val="14"/>
    </w:lvl>
  </w:abstractNum>
  <w:abstractNum w:abstractNumId="63">
    <w:nsid w:val="540A471C"/>
    <w:multiLevelType w:val="hybridMultilevel"/>
    <w:lvl w:ilvl="0">
      <w:lvlJc w:val="left"/>
      <w:lvlText w:val="%1."/>
      <w:numFmt w:val="upperLetter"/>
      <w:start w:val="15"/>
    </w:lvl>
  </w:abstractNum>
  <w:abstractNum w:abstractNumId="64">
    <w:nsid w:val="7BD3EE7B"/>
    <w:multiLevelType w:val="hybridMultilevel"/>
    <w:lvl w:ilvl="0">
      <w:lvlJc w:val="left"/>
      <w:lvlText w:val="%1."/>
      <w:numFmt w:val="upperLetter"/>
      <w:start w:val="16"/>
    </w:lvl>
  </w:abstractNum>
  <w:abstractNum w:abstractNumId="65">
    <w:nsid w:val="51D9C564"/>
    <w:multiLevelType w:val="hybridMultilevel"/>
    <w:lvl w:ilvl="0">
      <w:lvlJc w:val="left"/>
      <w:lvlText w:val="%1."/>
      <w:numFmt w:val="upperLetter"/>
      <w:start w:val="17"/>
    </w:lvl>
  </w:abstractNum>
  <w:abstractNum w:abstractNumId="66">
    <w:nsid w:val="613EFDC5"/>
    <w:multiLevelType w:val="hybridMultilevel"/>
    <w:lvl w:ilvl="0">
      <w:lvlJc w:val="left"/>
      <w:lvlText w:val="%1."/>
      <w:numFmt w:val="upperLetter"/>
      <w:start w:val="18"/>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3B0FD37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2"/>
    </w:lvl>
  </w:abstractNum>
  <w:abstractNum w:abstractNumId="74">
    <w:nsid w:val="68EB2F6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lvl w:ilvl="3">
      <w:lvlJc w:val="left"/>
      <w:lvlText w:val="%4"/>
      <w:numFmt w:val="upperLetter"/>
      <w:start w:val="1"/>
    </w:lvl>
  </w:abstractNum>
  <w:abstractNum w:abstractNumId="75">
    <w:nsid w:val="4962813B"/>
    <w:multiLevelType w:val="hybridMultilevel"/>
    <w:lvl w:ilvl="0">
      <w:lvlJc w:val="left"/>
      <w:lvlText w:val="%1"/>
      <w:numFmt w:val="decimal"/>
      <w:start w:val="1"/>
    </w:lvl>
    <w:lvl w:ilvl="1">
      <w:lvlJc w:val="left"/>
      <w:lvlText w:val="%2."/>
      <w:numFmt w:val="upperLetter"/>
      <w:start w:val="3"/>
    </w:lvl>
  </w:abstractNum>
  <w:abstractNum w:abstractNumId="76">
    <w:nsid w:val="60B6DF70"/>
    <w:multiLevelType w:val="hybridMultilevel"/>
    <w:lvl w:ilvl="0">
      <w:lvlJc w:val="left"/>
      <w:lvlText w:val="%1."/>
      <w:numFmt w:val="decimal"/>
      <w:start w:val="7"/>
    </w:lvl>
    <w:lvl w:ilvl="1">
      <w:lvlJc w:val="left"/>
      <w:lvlText w:val="%2"/>
      <w:numFmt w:val="upperLetter"/>
      <w:start w:val="1"/>
    </w:lvl>
  </w:abstractNum>
  <w:abstractNum w:abstractNumId="77">
    <w:nsid w:val="6A5EE64"/>
    <w:multiLevelType w:val="hybridMultilevel"/>
    <w:lvl w:ilvl="0">
      <w:lvlJc w:val="left"/>
      <w:lvlText w:val="%1."/>
      <w:numFmt w:val="decimal"/>
      <w:start w:val="10"/>
    </w:lvl>
  </w:abstractNum>
  <w:abstractNum w:abstractNumId="78">
    <w:nsid w:val="14330624"/>
    <w:multiLevelType w:val="hybridMultilevel"/>
    <w:lvl w:ilvl="0">
      <w:lvlJc w:val="left"/>
      <w:lvlText w:val="%1."/>
      <w:numFmt w:val="decimal"/>
      <w:start w:val="21"/>
    </w:lvl>
  </w:abstractNum>
  <w:abstractNum w:abstractNumId="79">
    <w:nsid w:val="7FFFCA11"/>
    <w:multiLevelType w:val="hybridMultilevel"/>
    <w:lvl w:ilvl="0">
      <w:lvlJc w:val="left"/>
      <w:lvlText w:val="%1."/>
      <w:numFmt w:val="decimal"/>
      <w:start w:val="29"/>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34" Type="http://schemas.openxmlformats.org/officeDocument/2006/relationships/hyperlink" Target="http://www.sec.gov/Archives/edgar/data/1434647/000119312515119078/d793437dex21.htm" TargetMode="External"/><Relationship Id="rId135" Type="http://schemas.openxmlformats.org/officeDocument/2006/relationships/hyperlink" Target="http://www.sec.gov/Archives/edgar/data/1434647/000119312515140072/d911803dex31.htm" TargetMode="External"/><Relationship Id="rId136" Type="http://schemas.openxmlformats.org/officeDocument/2006/relationships/hyperlink" Target="http://www.sec.gov/Archives/edgar/data/1434647/000119312515140072/d911803dex32.htm" TargetMode="External"/><Relationship Id="rId137" Type="http://schemas.openxmlformats.org/officeDocument/2006/relationships/hyperlink" Target="http://www.sec.gov/Archives/edgar/data/1434647/000119312515124387/d793437dex42.htm" TargetMode="External"/><Relationship Id="rId138" Type="http://schemas.openxmlformats.org/officeDocument/2006/relationships/hyperlink" Target="http://www.sec.gov/Archives/edgar/data/1434647/000156459016012531/kmph-ex41_148.htm" TargetMode="External"/><Relationship Id="rId139" Type="http://schemas.openxmlformats.org/officeDocument/2006/relationships/hyperlink" Target="http://www.sec.gov/Archives/edgar/data/1434647/000119312515119078/d793437dex101.htm" TargetMode="External"/><Relationship Id="rId140" Type="http://schemas.openxmlformats.org/officeDocument/2006/relationships/hyperlink" Target="http://www.sec.gov/Archives/edgar/data/1434647/000119312515087360/d793437dex102.htm" TargetMode="External"/><Relationship Id="rId141" Type="http://schemas.openxmlformats.org/officeDocument/2006/relationships/hyperlink" Target="http://www.sec.gov/Archives/edgar/data/1434647/000119312515087360/d793437dex1021.htm" TargetMode="External"/><Relationship Id="rId142" Type="http://schemas.openxmlformats.org/officeDocument/2006/relationships/hyperlink" Target="http://www.sec.gov/Archives/edgar/data/1434647/000119312515407859/d92721dex1022.htm" TargetMode="External"/><Relationship Id="rId143" Type="http://schemas.openxmlformats.org/officeDocument/2006/relationships/hyperlink" Target="http://www.sec.gov/Archives/edgar/data/1434647/000156459016012531/kmph-ex101_8.htm" TargetMode="External"/><Relationship Id="rId144" Type="http://schemas.openxmlformats.org/officeDocument/2006/relationships/hyperlink" Target="http://www.sec.gov/Archives/edgar/data/1434647/000119312515087360/d793437dex104.htm" TargetMode="External"/><Relationship Id="rId145" Type="http://schemas.openxmlformats.org/officeDocument/2006/relationships/hyperlink" Target="http://www.sec.gov/Archives/edgar/data/1434647/000156459016011814/kmph-ex101_35.htm" TargetMode="External"/><Relationship Id="rId146" Type="http://schemas.openxmlformats.org/officeDocument/2006/relationships/hyperlink" Target="http://www.sec.gov/Archives/edgar/data/1434647/000119312516728641/d273331dex102.htm" TargetMode="External"/><Relationship Id="rId147" Type="http://schemas.openxmlformats.org/officeDocument/2006/relationships/hyperlink" Target="http://www.sec.gov/Archives/edgar/data/1434647/000119312515087360/d793437dex103.htm" TargetMode="External"/><Relationship Id="rId148" Type="http://schemas.openxmlformats.org/officeDocument/2006/relationships/hyperlink" Target="http://www.sec.gov/Archives/edgar/data/1434647/000119312515087360/d793437dex105.htm" TargetMode="External"/><Relationship Id="rId149" Type="http://schemas.openxmlformats.org/officeDocument/2006/relationships/hyperlink" Target="http://www.sec.gov/Archives/edgar/data/1434647/000119312515087360/d793437dex107.htm" TargetMode="External"/><Relationship Id="rId150" Type="http://schemas.openxmlformats.org/officeDocument/2006/relationships/hyperlink" Target="http://www.sec.gov/Archives/edgar/data/1434647/000119312515119078/d793437dex1010.htm" TargetMode="External"/><Relationship Id="rId151" Type="http://schemas.openxmlformats.org/officeDocument/2006/relationships/hyperlink" Target="http://www.sec.gov/Archives/edgar/data/1434647/000119312515087360/d793437dex1011.htm" TargetMode="External"/><Relationship Id="rId152" Type="http://schemas.openxmlformats.org/officeDocument/2006/relationships/hyperlink" Target="http://www.sec.gov/Archives/edgar/data/1434647/000119312515087360/d793437dex1012.htm" TargetMode="External"/><Relationship Id="rId153" Type="http://schemas.openxmlformats.org/officeDocument/2006/relationships/hyperlink" Target="http://www.sec.gov/Archives/edgar/data/1434647/000119312515087360/d793437dex1013.htm" TargetMode="External"/><Relationship Id="rId154" Type="http://schemas.openxmlformats.org/officeDocument/2006/relationships/hyperlink" Target="http://www.sec.gov/Archives/edgar/data/1434647/000119312515119078/d793437dex1014.htm" TargetMode="External"/><Relationship Id="rId155" Type="http://schemas.openxmlformats.org/officeDocument/2006/relationships/hyperlink" Target="http://www.sec.gov/Archives/edgar/data/1434647/000119312515087360/d793437dex1015.htm" TargetMode="External"/><Relationship Id="rId156" Type="http://schemas.openxmlformats.org/officeDocument/2006/relationships/hyperlink" Target="http://www.sec.gov/Archives/edgar/data/1434647/000119312515087360/d793437dex1016.htm" TargetMode="External"/><Relationship Id="rId157" Type="http://schemas.openxmlformats.org/officeDocument/2006/relationships/hyperlink" Target="http://www.sec.gov/Archives/edgar/data/1434647/000156459016014881/kmph-ex1016_221.htm" TargetMode="External"/><Relationship Id="rId158" Type="http://schemas.openxmlformats.org/officeDocument/2006/relationships/hyperlink" Target="http://www.sec.gov/Archives/edgar/data/1434647/000119312515087360/d793437dex1017.htm" TargetMode="External"/><Relationship Id="rId159" Type="http://schemas.openxmlformats.org/officeDocument/2006/relationships/hyperlink" Target="http://www.sec.gov/Archives/edgar/data/1434647/000156459015007410/kmph-ex107_273.htm" TargetMode="External"/><Relationship Id="rId160" Type="http://schemas.openxmlformats.org/officeDocument/2006/relationships/hyperlink" Target="http://www.sec.gov/Archives/edgar/data/1434647/000156459015010727/kmph-ex102_27.htm" TargetMode="External"/><Relationship Id="rId161" Type="http://schemas.openxmlformats.org/officeDocument/2006/relationships/hyperlink" Target="http://www.sec.gov/Archives/edgar/data/1434647/000119312515087360/d793437dex1020.htm" TargetMode="External"/><Relationship Id="rId162" Type="http://schemas.openxmlformats.org/officeDocument/2006/relationships/hyperlink" Target="http://www.sec.gov/Archives/edgar/data/1434647/000156459015010727/kmph-ex101_26.htm" TargetMode="External"/><Relationship Id="rId163" Type="http://schemas.openxmlformats.org/officeDocument/2006/relationships/hyperlink" Target="http://www.sec.gov/Archives/edgar/data/1434647/000156459015007410/kmph-ex106_272.htm" TargetMode="External"/><Relationship Id="rId164" Type="http://schemas.openxmlformats.org/officeDocument/2006/relationships/hyperlink" Target="http://www.sec.gov/Archives/edgar/data/1434647/000156459015010727/kmph-ex103_28.htm" TargetMode="External"/><Relationship Id="rId165" Type="http://schemas.openxmlformats.org/officeDocument/2006/relationships/hyperlink" Target="http://www.sec.gov/Archives/edgar/data/1434647/000119312515087360/d793437dex1019.htm" TargetMode="External"/><Relationship Id="rId166" Type="http://schemas.openxmlformats.org/officeDocument/2006/relationships/hyperlink" Target="http://www.sec.gov/Archives/edgar/data/1434647/000156459015010727/kmph-ex104_29.htm" TargetMode="External"/><Relationship Id="rId167" Type="http://schemas.openxmlformats.org/officeDocument/2006/relationships/hyperlink" Target="http://www.sec.gov/Archives/edgar/data/1434647/000156459016019302/kmph-ex103_83.htm" TargetMode="External"/><Relationship Id="rId168" Type="http://schemas.openxmlformats.org/officeDocument/2006/relationships/hyperlink" Target="http://www.sec.gov/Archives/edgar/data/1434647/000156459016019302/kmph-ex104_84.htm" TargetMode="External"/><Relationship Id="rId169" Type="http://schemas.openxmlformats.org/officeDocument/2006/relationships/hyperlink" Target="http://www.sec.gov/Archives/edgar/data/1434647/000119312516728641/d273331dex101.htm" TargetMode="External"/><Relationship Id="rId170" Type="http://schemas.openxmlformats.org/officeDocument/2006/relationships/hyperlink" Target="http://www.sec.gov/Archives/edgar/data/1434647/000143774917004317/ex10-28.htm" TargetMode="External"/><Relationship Id="rId171" Type="http://schemas.openxmlformats.org/officeDocument/2006/relationships/hyperlink" Target="http://www.sec.gov/Archives/edgar/data/1434647/000143774917004317/ex10-29.htm" TargetMode="External"/><Relationship Id="rId172" Type="http://schemas.openxmlformats.org/officeDocument/2006/relationships/hyperlink" Target="http://www.sec.gov/Archives/edgar/data/1434647/000143774917004317/ex10-30.htm" TargetMode="External"/><Relationship Id="rId173" Type="http://schemas.openxmlformats.org/officeDocument/2006/relationships/hyperlink" Target="http://www.sec.gov/Archives/edgar/data/1434647/000143774917004317/e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2019-12-28T23:47:46Z</dcterms:created>
  <dcterms:modified xsi:type="dcterms:W3CDTF">2019-12-28T23:47:46Z</dcterms:modified>
</cp:coreProperties>
</file>