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5835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583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pacing w:after="0" w:line="32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140335</wp:posOffset>
            </wp:positionV>
            <wp:extent cx="17875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7525" cy="6985"/>
                    </a:xfrm>
                    <a:prstGeom prst="rect">
                      <a:avLst/>
                    </a:prstGeom>
                    <a:noFill/>
                  </pic:spPr>
                </pic:pic>
              </a:graphicData>
            </a:graphic>
          </wp:anchor>
        </w:drawing>
      </w:r>
    </w:p>
    <w:p>
      <w:pPr>
        <w:spacing w:after="0" w:line="2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(Rule 14a-101)</w:t>
      </w:r>
    </w:p>
    <w:p>
      <w:pPr>
        <w:spacing w:after="0" w:line="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INFORMATION REQUIRED IN PROXY STATEMENT</w:t>
      </w:r>
    </w:p>
    <w:p>
      <w:pPr>
        <w:spacing w:after="0" w:line="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SCHEDULE 14A INFORMATION</w:t>
      </w:r>
    </w:p>
    <w:p>
      <w:pPr>
        <w:spacing w:after="0" w:line="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Proxy Statement Pursuant to Section 14(a) of the</w:t>
      </w:r>
    </w:p>
    <w:p>
      <w:pPr>
        <w:spacing w:after="0" w:line="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3" w:lineRule="exact"/>
        <w:rPr>
          <w:sz w:val="24"/>
          <w:szCs w:val="24"/>
          <w:color w:val="auto"/>
        </w:rPr>
      </w:pPr>
    </w:p>
    <w:p>
      <w:pPr>
        <w:jc w:val="center"/>
        <w:ind w:right="-1140"/>
        <w:spacing w:after="0"/>
        <w:tabs>
          <w:tab w:leader="none" w:pos="120" w:val="left"/>
        </w:tabs>
        <w:rPr>
          <w:sz w:val="20"/>
          <w:szCs w:val="20"/>
          <w:color w:val="auto"/>
        </w:rPr>
      </w:pPr>
      <w:r>
        <w:rPr>
          <w:rFonts w:ascii="Times New Roman" w:cs="Times New Roman" w:eastAsia="Times New Roman" w:hAnsi="Times New Roman"/>
          <w:sz w:val="15"/>
          <w:szCs w:val="15"/>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140970</wp:posOffset>
            </wp:positionV>
            <wp:extent cx="17875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7525" cy="6985"/>
                    </a:xfrm>
                    <a:prstGeom prst="rect">
                      <a:avLst/>
                    </a:prstGeom>
                    <a:noFill/>
                  </pic:spPr>
                </pic:pic>
              </a:graphicData>
            </a:graphic>
          </wp:anchor>
        </w:drawing>
      </w:r>
    </w:p>
    <w:p>
      <w:pPr>
        <w:sectPr>
          <w:pgSz w:w="11900" w:h="16838" w:orient="portrait"/>
          <w:cols w:equalWidth="0" w:num="1">
            <w:col w:w="10159"/>
          </w:cols>
          <w:pgMar w:left="300" w:top="410"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4" w:lineRule="exact"/>
        <w:rPr>
          <w:sz w:val="24"/>
          <w:szCs w:val="24"/>
          <w:color w:val="auto"/>
        </w:rPr>
      </w:pPr>
    </w:p>
    <w:p>
      <w:pPr>
        <w:sectPr>
          <w:pgSz w:w="11900" w:h="16838" w:orient="portrait"/>
          <w:cols w:equalWidth="0" w:num="3">
            <w:col w:w="1880" w:space="720"/>
            <w:col w:w="2400" w:space="80"/>
            <w:col w:w="5079"/>
          </w:cols>
          <w:pgMar w:left="300" w:top="41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ectPr>
          <w:pgSz w:w="11900" w:h="16838" w:orient="portrait"/>
          <w:cols w:equalWidth="0" w:num="1">
            <w:col w:w="10159"/>
          </w:cols>
          <w:pgMar w:left="300" w:top="410" w:right="1440" w:bottom="1440" w:gutter="0" w:footer="0" w:header="0"/>
          <w:type w:val="continuous"/>
        </w:sectPr>
      </w:pPr>
    </w:p>
    <w:p>
      <w:pPr>
        <w:spacing w:after="0" w:line="190"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176" w:lineRule="exact"/>
        <w:rPr>
          <w:rFonts w:ascii="MS PGothic" w:cs="MS PGothic" w:eastAsia="MS PGothic" w:hAnsi="MS PGothic"/>
          <w:sz w:val="15"/>
          <w:szCs w:val="15"/>
          <w:color w:val="auto"/>
        </w:rPr>
      </w:pPr>
    </w:p>
    <w:p>
      <w:pPr>
        <w:ind w:left="280" w:hanging="272"/>
        <w:spacing w:after="0"/>
        <w:tabs>
          <w:tab w:leader="none" w:pos="2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180"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Proxy Statement</w:t>
      </w:r>
    </w:p>
    <w:p>
      <w:pPr>
        <w:spacing w:after="0" w:line="178" w:lineRule="exact"/>
        <w:rPr>
          <w:sz w:val="24"/>
          <w:szCs w:val="24"/>
          <w:color w:val="auto"/>
        </w:rPr>
      </w:pPr>
    </w:p>
    <w:p>
      <w:pPr>
        <w:ind w:left="280" w:hanging="272"/>
        <w:spacing w:after="0"/>
        <w:tabs>
          <w:tab w:leader="none" w:pos="2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178" w:lineRule="exact"/>
        <w:rPr>
          <w:rFonts w:ascii="MS PGothic" w:cs="MS PGothic" w:eastAsia="MS PGothic" w:hAnsi="MS PGothic"/>
          <w:sz w:val="15"/>
          <w:szCs w:val="15"/>
          <w:color w:val="auto"/>
        </w:rPr>
      </w:pPr>
    </w:p>
    <w:p>
      <w:pPr>
        <w:ind w:left="280" w:hanging="272"/>
        <w:spacing w:after="0"/>
        <w:tabs>
          <w:tab w:leader="none" w:pos="2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under §240.14a-12</w:t>
      </w:r>
    </w:p>
    <w:p>
      <w:pPr>
        <w:spacing w:after="0" w:line="1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6"/>
          <w:szCs w:val="26"/>
          <w:b w:val="1"/>
          <w:bCs w:val="1"/>
          <w:color w:val="auto"/>
        </w:rPr>
        <w:t>Zevra Therapeutics, Inc.</w:t>
      </w:r>
    </w:p>
    <w:p>
      <w:pPr>
        <w:spacing w:after="0" w:line="3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160" w:lineRule="exact"/>
        <w:rPr>
          <w:sz w:val="24"/>
          <w:szCs w:val="24"/>
          <w:color w:val="auto"/>
        </w:rPr>
      </w:pPr>
    </w:p>
    <w:p>
      <w:pPr>
        <w:jc w:val="right"/>
        <w:ind w:right="2219"/>
        <w:spacing w:after="0"/>
        <w:rPr>
          <w:sz w:val="20"/>
          <w:szCs w:val="20"/>
          <w:color w:val="auto"/>
        </w:rPr>
      </w:pPr>
      <w:r>
        <w:rPr>
          <w:rFonts w:ascii="Times New Roman" w:cs="Times New Roman" w:eastAsia="Times New Roman" w:hAnsi="Times New Roman"/>
          <w:sz w:val="15"/>
          <w:szCs w:val="15"/>
          <w:b w:val="1"/>
          <w:bCs w:val="1"/>
          <w:color w:val="auto"/>
        </w:rPr>
        <w:t>(Name of Person(s) Filing Proxy Statement, if Other Than the Registrant)</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178" w:lineRule="exact"/>
        <w:rPr>
          <w:sz w:val="24"/>
          <w:szCs w:val="24"/>
          <w:color w:val="auto"/>
        </w:rPr>
      </w:pPr>
    </w:p>
    <w:p>
      <w:pPr>
        <w:ind w:left="280" w:hanging="272"/>
        <w:spacing w:after="0"/>
        <w:tabs>
          <w:tab w:leader="none" w:pos="28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178" w:lineRule="exact"/>
        <w:rPr>
          <w:sz w:val="24"/>
          <w:szCs w:val="24"/>
          <w:color w:val="auto"/>
        </w:rPr>
      </w:pPr>
    </w:p>
    <w:p>
      <w:pPr>
        <w:ind w:left="280" w:hanging="272"/>
        <w:spacing w:after="0"/>
        <w:tabs>
          <w:tab w:leader="none" w:pos="28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178" w:lineRule="exact"/>
        <w:rPr>
          <w:rFonts w:ascii="MS PGothic" w:cs="MS PGothic" w:eastAsia="MS PGothic" w:hAnsi="MS PGothic"/>
          <w:sz w:val="15"/>
          <w:szCs w:val="15"/>
          <w:color w:val="auto"/>
        </w:rPr>
      </w:pPr>
    </w:p>
    <w:p>
      <w:pPr>
        <w:ind w:left="280" w:hanging="272"/>
        <w:spacing w:after="0"/>
        <w:tabs>
          <w:tab w:leader="none" w:pos="28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583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5835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15835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0159"/>
          </w:cols>
          <w:pgMar w:left="300" w:top="41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7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5"/>
          <w:szCs w:val="15"/>
          <w:b w:val="1"/>
          <w:bCs w:val="1"/>
          <w:color w:val="auto"/>
        </w:rPr>
        <w:t>ZEVRA THERAPEUTICS, INC.</w:t>
      </w:r>
    </w:p>
    <w:p>
      <w:pPr>
        <w:spacing w:after="0" w:line="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b w:val="1"/>
          <w:bCs w:val="1"/>
          <w:color w:val="auto"/>
        </w:rPr>
        <w:t>1180 Celebration Boulevard, Suite 103</w:t>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5"/>
          <w:szCs w:val="15"/>
          <w:b w:val="1"/>
          <w:bCs w:val="1"/>
          <w:color w:val="auto"/>
        </w:rPr>
        <w:t>Celebration, FL 34747</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OF ANNUAL MEETING OF STOCKHOLDERS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To Be Held On May 13,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Stockholder:</w:t>
      </w:r>
    </w:p>
    <w:p>
      <w:pPr>
        <w:spacing w:after="0" w:line="176" w:lineRule="exact"/>
        <w:rPr>
          <w:sz w:val="20"/>
          <w:szCs w:val="20"/>
          <w:color w:val="auto"/>
        </w:rPr>
      </w:pPr>
    </w:p>
    <w:p>
      <w:pPr>
        <w:jc w:val="both"/>
        <w:ind w:firstLine="132"/>
        <w:spacing w:after="0" w:line="257" w:lineRule="auto"/>
        <w:rPr>
          <w:sz w:val="20"/>
          <w:szCs w:val="20"/>
          <w:color w:val="auto"/>
        </w:rPr>
      </w:pPr>
      <w:r>
        <w:rPr>
          <w:rFonts w:ascii="Times New Roman" w:cs="Times New Roman" w:eastAsia="Times New Roman" w:hAnsi="Times New Roman"/>
          <w:sz w:val="15"/>
          <w:szCs w:val="15"/>
          <w:color w:val="auto"/>
        </w:rPr>
        <w:t xml:space="preserve">You are cordially invited to attend the 2024 Annual Meeting of Stockholders (the “Annual Meeting”) of </w:t>
      </w:r>
      <w:r>
        <w:rPr>
          <w:rFonts w:ascii="Times New Roman" w:cs="Times New Roman" w:eastAsia="Times New Roman" w:hAnsi="Times New Roman"/>
          <w:sz w:val="15"/>
          <w:szCs w:val="15"/>
          <w:b w:val="1"/>
          <w:bCs w:val="1"/>
          <w:color w:val="auto"/>
        </w:rPr>
        <w:t>ZEVRA THERAPEUTICS, INC.</w:t>
      </w:r>
      <w:r>
        <w:rPr>
          <w:rFonts w:ascii="Times New Roman" w:cs="Times New Roman" w:eastAsia="Times New Roman" w:hAnsi="Times New Roman"/>
          <w:sz w:val="15"/>
          <w:szCs w:val="15"/>
          <w:color w:val="auto"/>
        </w:rPr>
        <w:t xml:space="preserve">, a Delaware corporation (“Zevra,” the “Company,” “we,” “our” or “us”). The meeting will be held on Monday, May 13, 2024, at 9:00 am EST and will be held virtually on the internet at </w:t>
      </w:r>
      <w:r>
        <w:rPr>
          <w:rFonts w:ascii="Times New Roman" w:cs="Times New Roman" w:eastAsia="Times New Roman" w:hAnsi="Times New Roman"/>
          <w:sz w:val="15"/>
          <w:szCs w:val="15"/>
          <w:u w:val="single" w:color="auto"/>
          <w:color w:val="auto"/>
        </w:rPr>
        <w:t>www.meetnow.global/M2S695X</w:t>
      </w:r>
      <w:r>
        <w:rPr>
          <w:rFonts w:ascii="Times New Roman" w:cs="Times New Roman" w:eastAsia="Times New Roman" w:hAnsi="Times New Roman"/>
          <w:sz w:val="15"/>
          <w:szCs w:val="15"/>
          <w:color w:val="auto"/>
        </w:rPr>
        <w:t xml:space="preserve"> for the following purposes:</w:t>
      </w:r>
    </w:p>
    <w:p>
      <w:pPr>
        <w:spacing w:after="0" w:line="149" w:lineRule="exact"/>
        <w:rPr>
          <w:sz w:val="20"/>
          <w:szCs w:val="20"/>
          <w:color w:val="auto"/>
        </w:rPr>
      </w:pPr>
    </w:p>
    <w:p>
      <w:pPr>
        <w:ind w:left="280" w:hanging="141"/>
        <w:spacing w:after="0" w:line="268" w:lineRule="auto"/>
        <w:tabs>
          <w:tab w:leader="none" w:pos="280"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elect Thomas D. Anderson, Neil F. McFarlane, and Alvin Shih, M.D. to the Company’s board of directors as Class III directors to hold office until the 2027 annual meeting of stockholders, and until their respective successors shall have been duly elected and qualified;</w:t>
      </w:r>
    </w:p>
    <w:p>
      <w:pPr>
        <w:spacing w:after="0" w:line="140" w:lineRule="exact"/>
        <w:rPr>
          <w:rFonts w:ascii="Times New Roman" w:cs="Times New Roman" w:eastAsia="Times New Roman" w:hAnsi="Times New Roman"/>
          <w:sz w:val="15"/>
          <w:szCs w:val="15"/>
          <w:b w:val="1"/>
          <w:bCs w:val="1"/>
          <w:color w:val="auto"/>
        </w:rPr>
      </w:pPr>
    </w:p>
    <w:p>
      <w:pPr>
        <w:ind w:left="280" w:hanging="141"/>
        <w:spacing w:after="0"/>
        <w:tabs>
          <w:tab w:leader="none" w:pos="280"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ratify the appointment of Ernst &amp; Young LLP as the independent registered public accounting firm of the Company for its fiscal year ending December 31, 2024;</w:t>
      </w:r>
    </w:p>
    <w:p>
      <w:pPr>
        <w:spacing w:after="0" w:line="199" w:lineRule="exact"/>
        <w:rPr>
          <w:rFonts w:ascii="Times New Roman" w:cs="Times New Roman" w:eastAsia="Times New Roman" w:hAnsi="Times New Roman"/>
          <w:sz w:val="15"/>
          <w:szCs w:val="15"/>
          <w:b w:val="1"/>
          <w:bCs w:val="1"/>
          <w:color w:val="auto"/>
        </w:rPr>
      </w:pPr>
    </w:p>
    <w:p>
      <w:pPr>
        <w:ind w:left="280" w:hanging="141"/>
        <w:spacing w:after="0"/>
        <w:tabs>
          <w:tab w:leader="none" w:pos="280"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approve, on an advisory and non-binding basis, the compensation of the Company’s named executive officers; and</w:t>
      </w:r>
    </w:p>
    <w:p>
      <w:pPr>
        <w:spacing w:after="0" w:line="199" w:lineRule="exact"/>
        <w:rPr>
          <w:rFonts w:ascii="Times New Roman" w:cs="Times New Roman" w:eastAsia="Times New Roman" w:hAnsi="Times New Roman"/>
          <w:sz w:val="15"/>
          <w:szCs w:val="15"/>
          <w:b w:val="1"/>
          <w:bCs w:val="1"/>
          <w:color w:val="auto"/>
        </w:rPr>
      </w:pPr>
    </w:p>
    <w:p>
      <w:pPr>
        <w:ind w:left="280" w:hanging="141"/>
        <w:spacing w:after="0"/>
        <w:tabs>
          <w:tab w:leader="none" w:pos="280"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approve amendments to the Company’s Amended and Restated 2014 Equity Incentive Plan.</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These items of business are more fully described in the Proxy Statement accompanying this Notice.</w:t>
      </w:r>
    </w:p>
    <w:p>
      <w:pPr>
        <w:spacing w:after="0" w:line="178"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record date for the Annual Meeting is March 22, 2024. Only stockholders of record at the close of business on that date may vote at the meeting or any continuation, adjournment or postponement thereof. A complete list of such stockholders will be open to the examination of any stockholder for a period of ten days prior to the Annual Meeting for a purpose germane to the meeting during ordinary business hours at the Company’s principal executive offices.</w:t>
      </w:r>
    </w:p>
    <w:p>
      <w:pPr>
        <w:spacing w:after="0" w:line="1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10795</wp:posOffset>
            </wp:positionV>
            <wp:extent cx="17875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7525" cy="698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5"/>
          <w:szCs w:val="15"/>
          <w:color w:val="auto"/>
        </w:rPr>
        <w:t>R. LaDuane Clifton, MBA, CPA</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Chief Financial Officer, Secretary and</w:t>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Treasurer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Celebration, FL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58355" cy="2142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214249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IMPORTANT NOTICE REGARDING THE AVAILABILITY OF PROXY MATERIALS FOR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STOCKHOLDER MEETING TO BE HELD ON MONDAY, MAY 13, 2024</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This Proxy Statement and our 10-K for the year ended December 31, 2023, are available at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www.envisionreports.com/ZVRA</w:t>
      </w:r>
    </w:p>
    <w:p>
      <w:pPr>
        <w:spacing w:after="0" w:line="161" w:lineRule="exact"/>
        <w:rPr>
          <w:sz w:val="20"/>
          <w:szCs w:val="20"/>
          <w:color w:val="auto"/>
        </w:rPr>
      </w:pPr>
    </w:p>
    <w:p>
      <w:pPr>
        <w:jc w:val="both"/>
        <w:ind w:left="120" w:right="120" w:firstLine="131"/>
        <w:spacing w:after="0" w:line="252" w:lineRule="auto"/>
        <w:rPr>
          <w:sz w:val="20"/>
          <w:szCs w:val="20"/>
          <w:color w:val="auto"/>
        </w:rPr>
      </w:pPr>
      <w:r>
        <w:rPr>
          <w:rFonts w:ascii="Times New Roman" w:cs="Times New Roman" w:eastAsia="Times New Roman" w:hAnsi="Times New Roman"/>
          <w:sz w:val="15"/>
          <w:szCs w:val="15"/>
          <w:b w:val="1"/>
          <w:bCs w:val="1"/>
          <w:color w:val="auto"/>
        </w:rPr>
        <w:t>Pursuant to the internet proxy rules promulgated by the Securities and Exchange Commission, the Company has elected to provide access to its proxy materials over the internet. Accordingly, stockholders of record at the close of business on March 22, 2024, will receive a Notice of Internet Availability of Proxy Materials and may vote at the Annual Meeting and any continuation, adjournment or postponement thereof. The Company expects to mail the Notice of Internet Availability of Proxy Materials on or about April 3, 2024.</w:t>
      </w:r>
    </w:p>
    <w:p>
      <w:pPr>
        <w:spacing w:after="0" w:line="152" w:lineRule="exact"/>
        <w:rPr>
          <w:sz w:val="20"/>
          <w:szCs w:val="20"/>
          <w:color w:val="auto"/>
        </w:rPr>
      </w:pPr>
    </w:p>
    <w:p>
      <w:pPr>
        <w:jc w:val="both"/>
        <w:ind w:left="120" w:right="120" w:firstLine="131"/>
        <w:spacing w:after="0" w:line="252" w:lineRule="auto"/>
        <w:rPr>
          <w:sz w:val="20"/>
          <w:szCs w:val="20"/>
          <w:color w:val="auto"/>
        </w:rPr>
      </w:pPr>
      <w:r>
        <w:rPr>
          <w:rFonts w:ascii="Times New Roman" w:cs="Times New Roman" w:eastAsia="Times New Roman" w:hAnsi="Times New Roman"/>
          <w:sz w:val="15"/>
          <w:szCs w:val="15"/>
          <w:b w:val="1"/>
          <w:bCs w:val="1"/>
          <w:color w:val="auto"/>
        </w:rPr>
        <w:t>You are cordially invited to attend the meeting virtually on the internet. Whether or not you expect to attend the meeting, please vote by returning your proxy card, over the telephone, or the internet as instructed in these materials, as promptly as possible in order to ensure your representation at the meeting. Even if you have voted by proxy, you will still be able to change your vote virtually during the meeting if you attend. Please note, however, that if your shares are held of record by a broker, bank or other nominee and you wish to vote at the meeting, you must obtain a proxy issued in your name from that record holder.</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If you plan to attend the meeting virtually, please follow the registration instructions as outlined in the Proxy Statement accompanying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5835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10720" w:type="dxa"/>
            <w:vAlign w:val="bottom"/>
            <w:gridSpan w:val="18"/>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20" w:type="dxa"/>
            <w:vAlign w:val="bottom"/>
            <w:gridSpan w:val="8"/>
          </w:tcPr>
          <w:p>
            <w:pPr>
              <w:ind w:left="16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Page</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1360" w:type="dxa"/>
            <w:vAlign w:val="bottom"/>
            <w:tcBorders>
              <w:bottom w:val="single" w:sz="8" w:color="0000EE"/>
            </w:tcBorders>
            <w:gridSpan w:val="3"/>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0000EE"/>
                <w:w w:val="93"/>
              </w:rPr>
              <w:t>PROXY STATEMENT</w:t>
            </w:r>
          </w:p>
        </w:tc>
        <w:tc>
          <w:tcPr>
            <w:tcW w:w="9340" w:type="dxa"/>
            <w:vAlign w:val="bottom"/>
            <w:tcBorders>
              <w:bottom w:val="single" w:sz="8" w:color="CCEEFF"/>
            </w:tcBorders>
            <w:gridSpan w:val="14"/>
            <w:shd w:val="clear" w:color="auto" w:fill="CCEEFF"/>
          </w:tcPr>
          <w:p>
            <w:pPr>
              <w:spacing w:after="0"/>
              <w:rPr>
                <w:sz w:val="13"/>
                <w:szCs w:val="13"/>
                <w:color w:val="auto"/>
              </w:rPr>
            </w:pPr>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0000EE"/>
              <w:right w:val="single" w:sz="8" w:color="CCEEFF"/>
            </w:tcBorders>
            <w:shd w:val="clear" w:color="auto" w:fill="CCEEFF"/>
          </w:tcPr>
          <w:p>
            <w:pPr>
              <w:jc w:val="center"/>
              <w:spacing w:after="0" w:line="143" w:lineRule="exact"/>
              <w:rPr>
                <w:sz w:val="20"/>
                <w:szCs w:val="20"/>
                <w:color w:val="auto"/>
              </w:rPr>
            </w:pPr>
            <w:r>
              <w:rPr>
                <w:rFonts w:ascii="Times New Roman" w:cs="Times New Roman" w:eastAsia="Times New Roman" w:hAnsi="Times New Roman"/>
                <w:sz w:val="15"/>
                <w:szCs w:val="15"/>
                <w:color w:val="0000EE"/>
              </w:rPr>
              <w:t>1</w:t>
            </w:r>
          </w:p>
        </w:tc>
        <w:tc>
          <w:tcPr>
            <w:tcW w:w="20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5"/>
                <w:szCs w:val="15"/>
                <w:color w:val="0000EE"/>
                <w:w w:val="96"/>
              </w:rPr>
              <w:t>QUESTIONS AND ANSWERS ABOUT THESE PROXY MATERIALS AND VOTING</w:t>
            </w:r>
          </w:p>
        </w:tc>
        <w:tc>
          <w:tcPr>
            <w:tcW w:w="5440" w:type="dxa"/>
            <w:vAlign w:val="bottom"/>
            <w:gridSpan w:val="7"/>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0000EE"/>
            </w:tcBorders>
          </w:tcPr>
          <w:p>
            <w:pPr>
              <w:jc w:val="center"/>
              <w:spacing w:after="0" w:line="143" w:lineRule="exact"/>
              <w:rPr>
                <w:sz w:val="20"/>
                <w:szCs w:val="20"/>
                <w:color w:val="auto"/>
              </w:rPr>
            </w:pPr>
            <w:r>
              <w:rPr>
                <w:rFonts w:ascii="Times New Roman" w:cs="Times New Roman" w:eastAsia="Times New Roman" w:hAnsi="Times New Roman"/>
                <w:sz w:val="15"/>
                <w:szCs w:val="15"/>
                <w:color w:val="0000EE"/>
              </w:rPr>
              <w:t>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700" w:type="dxa"/>
            <w:vAlign w:val="bottom"/>
            <w:gridSpan w:val="17"/>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PROPOSAL 1: ELECTION OF DIRECTORS</w:t>
            </w:r>
          </w:p>
        </w:tc>
        <w:tc>
          <w:tcPr>
            <w:tcW w:w="360" w:type="dxa"/>
            <w:vAlign w:val="bottom"/>
            <w:tcBorders>
              <w:right w:val="single" w:sz="8" w:color="CCEEFF"/>
            </w:tcBorders>
            <w:gridSpan w:val="2"/>
            <w:shd w:val="clear" w:color="auto" w:fill="CCEEFF"/>
          </w:tcPr>
          <w:p>
            <w:pPr>
              <w:jc w:val="center"/>
              <w:ind w:left="127"/>
              <w:spacing w:after="0" w:line="156" w:lineRule="exact"/>
              <w:rPr>
                <w:sz w:val="20"/>
                <w:szCs w:val="20"/>
                <w:color w:val="auto"/>
              </w:rPr>
            </w:pPr>
            <w:r>
              <w:rPr>
                <w:rFonts w:ascii="Times New Roman" w:cs="Times New Roman" w:eastAsia="Times New Roman" w:hAnsi="Times New Roman"/>
                <w:sz w:val="15"/>
                <w:szCs w:val="15"/>
                <w:color w:val="0000EE"/>
              </w:rPr>
              <w:t>7</w:t>
            </w:r>
          </w:p>
        </w:tc>
        <w:tc>
          <w:tcPr>
            <w:tcW w:w="2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80" w:type="dxa"/>
            <w:vAlign w:val="bottom"/>
            <w:tcBorders>
              <w:right w:val="single" w:sz="8" w:color="CCEEFF"/>
            </w:tcBorders>
            <w:shd w:val="clear" w:color="auto" w:fill="0000EE"/>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0700" w:type="dxa"/>
            <w:vAlign w:val="bottom"/>
            <w:gridSpan w:val="17"/>
          </w:tcPr>
          <w:p>
            <w:pPr>
              <w:spacing w:after="0" w:line="143" w:lineRule="exact"/>
              <w:rPr>
                <w:sz w:val="20"/>
                <w:szCs w:val="20"/>
                <w:color w:val="auto"/>
              </w:rPr>
            </w:pPr>
            <w:r>
              <w:rPr>
                <w:rFonts w:ascii="Times New Roman" w:cs="Times New Roman" w:eastAsia="Times New Roman" w:hAnsi="Times New Roman"/>
                <w:sz w:val="15"/>
                <w:szCs w:val="15"/>
                <w:color w:val="0000EE"/>
              </w:rPr>
              <w:t>INFORMATION REGARDING THE BOARD OF DIRECTORS AND CORPORATE GOVERNANCE</w:t>
            </w:r>
          </w:p>
        </w:tc>
        <w:tc>
          <w:tcPr>
            <w:tcW w:w="360" w:type="dxa"/>
            <w:vAlign w:val="bottom"/>
            <w:gridSpan w:val="2"/>
          </w:tcPr>
          <w:p>
            <w:pPr>
              <w:jc w:val="center"/>
              <w:ind w:left="127"/>
              <w:spacing w:after="0" w:line="143" w:lineRule="exact"/>
              <w:rPr>
                <w:sz w:val="20"/>
                <w:szCs w:val="20"/>
                <w:color w:val="auto"/>
              </w:rPr>
            </w:pPr>
            <w:r>
              <w:rPr>
                <w:rFonts w:ascii="Times New Roman" w:cs="Times New Roman" w:eastAsia="Times New Roman" w:hAnsi="Times New Roman"/>
                <w:sz w:val="15"/>
                <w:szCs w:val="15"/>
                <w:color w:val="0000EE"/>
              </w:rPr>
              <w:t>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360" w:type="dxa"/>
            <w:vAlign w:val="bottom"/>
            <w:tcBorders>
              <w:bottom w:val="single" w:sz="8" w:color="0000EE"/>
            </w:tcBorders>
            <w:gridSpan w:val="16"/>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6"/>
              </w:rPr>
              <w:t>PROPOSAL 2: RATIFICATION OF APPOINTMENT OF INDEPENDENT REGISTERED PUBLIC ACCOUNTING FIRM</w:t>
            </w:r>
          </w:p>
        </w:tc>
        <w:tc>
          <w:tcPr>
            <w:tcW w:w="33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0000EE"/>
              <w:right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0000EE"/>
                <w:w w:val="79"/>
              </w:rPr>
              <w:t>18</w:t>
            </w: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0000EE"/>
            </w:tcBorders>
            <w:gridSpan w:val="11"/>
          </w:tcPr>
          <w:p>
            <w:pPr>
              <w:spacing w:after="0" w:line="143" w:lineRule="exact"/>
              <w:rPr>
                <w:sz w:val="20"/>
                <w:szCs w:val="20"/>
                <w:color w:val="auto"/>
              </w:rPr>
            </w:pPr>
            <w:r>
              <w:rPr>
                <w:rFonts w:ascii="Times New Roman" w:cs="Times New Roman" w:eastAsia="Times New Roman" w:hAnsi="Times New Roman"/>
                <w:sz w:val="15"/>
                <w:szCs w:val="15"/>
                <w:color w:val="0000EE"/>
                <w:w w:val="96"/>
              </w:rPr>
              <w:t>PROPOSAL 3: NON-BINDING ADVISORY VOTE ON EXECUTIVE COMPENSATION</w:t>
            </w:r>
          </w:p>
        </w:tc>
        <w:tc>
          <w:tcPr>
            <w:tcW w:w="5320" w:type="dxa"/>
            <w:vAlign w:val="bottom"/>
            <w:gridSpan w:val="6"/>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0000EE"/>
            </w:tcBorders>
          </w:tcPr>
          <w:p>
            <w:pPr>
              <w:jc w:val="center"/>
              <w:spacing w:after="0" w:line="143" w:lineRule="exact"/>
              <w:rPr>
                <w:sz w:val="20"/>
                <w:szCs w:val="20"/>
                <w:color w:val="auto"/>
              </w:rPr>
            </w:pPr>
            <w:r>
              <w:rPr>
                <w:rFonts w:ascii="Times New Roman" w:cs="Times New Roman" w:eastAsia="Times New Roman" w:hAnsi="Times New Roman"/>
                <w:sz w:val="15"/>
                <w:szCs w:val="15"/>
                <w:color w:val="0000EE"/>
                <w:w w:val="79"/>
              </w:rPr>
              <w:t>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20" w:type="dxa"/>
            <w:vAlign w:val="bottom"/>
            <w:tcBorders>
              <w:bottom w:val="single" w:sz="8" w:color="0000EE"/>
            </w:tcBorders>
            <w:gridSpan w:val="13"/>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6"/>
              </w:rPr>
              <w:t>PROPOSAL 4: APPROVAL OF AMENDED AND RESTATED 2014 EQUITY INCENTIVE PLAN</w:t>
            </w:r>
          </w:p>
        </w:tc>
        <w:tc>
          <w:tcPr>
            <w:tcW w:w="4780" w:type="dxa"/>
            <w:vAlign w:val="bottom"/>
            <w:tcBorders>
              <w:bottom w:val="single" w:sz="8" w:color="CCEEFF"/>
            </w:tcBorders>
            <w:gridSpan w:val="4"/>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0000EE"/>
              <w:right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0000EE"/>
                <w:w w:val="79"/>
              </w:rPr>
              <w:t>21</w:t>
            </w: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700" w:type="dxa"/>
            <w:vAlign w:val="bottom"/>
            <w:gridSpan w:val="17"/>
          </w:tcPr>
          <w:p>
            <w:pPr>
              <w:spacing w:after="0" w:line="143" w:lineRule="exact"/>
              <w:rPr>
                <w:sz w:val="20"/>
                <w:szCs w:val="20"/>
                <w:color w:val="auto"/>
              </w:rPr>
            </w:pPr>
            <w:r>
              <w:rPr>
                <w:rFonts w:ascii="Times New Roman" w:cs="Times New Roman" w:eastAsia="Times New Roman" w:hAnsi="Times New Roman"/>
                <w:sz w:val="15"/>
                <w:szCs w:val="15"/>
                <w:color w:val="0000EE"/>
              </w:rPr>
              <w:t>EXECUTIVE OFFICERS</w:t>
            </w:r>
          </w:p>
        </w:tc>
        <w:tc>
          <w:tcPr>
            <w:tcW w:w="360" w:type="dxa"/>
            <w:vAlign w:val="bottom"/>
            <w:gridSpan w:val="2"/>
          </w:tcPr>
          <w:p>
            <w:pPr>
              <w:jc w:val="center"/>
              <w:ind w:left="127"/>
              <w:spacing w:after="0" w:line="143" w:lineRule="exact"/>
              <w:rPr>
                <w:sz w:val="20"/>
                <w:szCs w:val="20"/>
                <w:color w:val="auto"/>
              </w:rPr>
            </w:pPr>
            <w:r>
              <w:rPr>
                <w:rFonts w:ascii="Times New Roman" w:cs="Times New Roman" w:eastAsia="Times New Roman" w:hAnsi="Times New Roman"/>
                <w:sz w:val="15"/>
                <w:szCs w:val="15"/>
                <w:color w:val="0000EE"/>
              </w:rPr>
              <w:t>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700" w:type="dxa"/>
            <w:vAlign w:val="bottom"/>
            <w:gridSpan w:val="17"/>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SECURITY OWNERSHIP OF CERTAIN BENEFICIAL OWNERS AND MANAGEMENT</w:t>
            </w:r>
          </w:p>
        </w:tc>
        <w:tc>
          <w:tcPr>
            <w:tcW w:w="360" w:type="dxa"/>
            <w:vAlign w:val="bottom"/>
            <w:tcBorders>
              <w:right w:val="single" w:sz="8" w:color="CCEEFF"/>
            </w:tcBorders>
            <w:gridSpan w:val="2"/>
            <w:shd w:val="clear" w:color="auto" w:fill="CCEEFF"/>
          </w:tcPr>
          <w:p>
            <w:pPr>
              <w:jc w:val="center"/>
              <w:ind w:left="127"/>
              <w:spacing w:after="0" w:line="156" w:lineRule="exact"/>
              <w:rPr>
                <w:sz w:val="20"/>
                <w:szCs w:val="20"/>
                <w:color w:val="auto"/>
              </w:rPr>
            </w:pPr>
            <w:r>
              <w:rPr>
                <w:rFonts w:ascii="Times New Roman" w:cs="Times New Roman" w:eastAsia="Times New Roman" w:hAnsi="Times New Roman"/>
                <w:sz w:val="15"/>
                <w:szCs w:val="15"/>
                <w:color w:val="0000EE"/>
              </w:rPr>
              <w:t>31</w:t>
            </w:r>
          </w:p>
        </w:tc>
        <w:tc>
          <w:tcPr>
            <w:tcW w:w="2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top w:val="single" w:sz="8" w:color="0000EE"/>
            </w:tcBorders>
            <w:gridSpan w:val="12"/>
          </w:tcPr>
          <w:p>
            <w:pPr>
              <w:spacing w:after="0" w:line="143" w:lineRule="exact"/>
              <w:rPr>
                <w:sz w:val="20"/>
                <w:szCs w:val="20"/>
                <w:color w:val="auto"/>
              </w:rPr>
            </w:pPr>
            <w:r>
              <w:rPr>
                <w:rFonts w:ascii="Times New Roman" w:cs="Times New Roman" w:eastAsia="Times New Roman" w:hAnsi="Times New Roman"/>
                <w:sz w:val="15"/>
                <w:szCs w:val="15"/>
                <w:color w:val="0000EE"/>
              </w:rPr>
              <w:t>DELINQUENT SECTION 16(A) REPORTS</w:t>
            </w:r>
          </w:p>
        </w:tc>
        <w:tc>
          <w:tcPr>
            <w:tcW w:w="5260" w:type="dxa"/>
            <w:vAlign w:val="bottom"/>
            <w:tcBorders>
              <w:top w:val="single" w:sz="8" w:color="CCEEFF"/>
            </w:tcBorders>
            <w:gridSpan w:val="5"/>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0000EE"/>
            </w:tcBorders>
          </w:tcPr>
          <w:p>
            <w:pPr>
              <w:jc w:val="center"/>
              <w:spacing w:after="0" w:line="143" w:lineRule="exact"/>
              <w:rPr>
                <w:sz w:val="20"/>
                <w:szCs w:val="20"/>
                <w:color w:val="auto"/>
              </w:rPr>
            </w:pPr>
            <w:r>
              <w:rPr>
                <w:rFonts w:ascii="Times New Roman" w:cs="Times New Roman" w:eastAsia="Times New Roman" w:hAnsi="Times New Roman"/>
                <w:sz w:val="15"/>
                <w:szCs w:val="15"/>
                <w:color w:val="0000EE"/>
                <w:w w:val="79"/>
              </w:rPr>
              <w:t>33</w:t>
            </w:r>
          </w:p>
        </w:tc>
        <w:tc>
          <w:tcPr>
            <w:tcW w:w="2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80" w:type="dxa"/>
            <w:vAlign w:val="bottom"/>
            <w:tcBorders>
              <w:top w:val="single" w:sz="8" w:color="0000EE"/>
              <w:bottom w:val="single" w:sz="8" w:color="0000EE"/>
            </w:tcBorders>
            <w:gridSpan w:val="6"/>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5"/>
              </w:rPr>
              <w:t>EXECUTIVE COMPENSATION</w:t>
            </w:r>
          </w:p>
        </w:tc>
        <w:tc>
          <w:tcPr>
            <w:tcW w:w="640" w:type="dxa"/>
            <w:vAlign w:val="bottom"/>
            <w:tcBorders>
              <w:top w:val="single" w:sz="8" w:color="0000EE"/>
              <w:bottom w:val="single" w:sz="8" w:color="CCEEFF"/>
            </w:tcBorders>
            <w:shd w:val="clear" w:color="auto" w:fill="CCEEFF"/>
          </w:tcPr>
          <w:p>
            <w:pPr>
              <w:spacing w:after="0"/>
              <w:rPr>
                <w:sz w:val="14"/>
                <w:szCs w:val="14"/>
                <w:color w:val="auto"/>
              </w:rPr>
            </w:pPr>
          </w:p>
        </w:tc>
        <w:tc>
          <w:tcPr>
            <w:tcW w:w="8080" w:type="dxa"/>
            <w:vAlign w:val="bottom"/>
            <w:tcBorders>
              <w:bottom w:val="single" w:sz="8" w:color="CCEEFF"/>
            </w:tcBorders>
            <w:gridSpan w:val="10"/>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0000EE"/>
              <w:bottom w:val="single" w:sz="8" w:color="0000EE"/>
              <w:right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0000EE"/>
                <w:w w:val="79"/>
              </w:rPr>
              <w:t>34</w:t>
            </w: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5"/>
                <w:szCs w:val="15"/>
                <w:color w:val="0000EE"/>
                <w:w w:val="94"/>
              </w:rPr>
              <w:t>DIRECTOR COMPENSATION</w:t>
            </w:r>
          </w:p>
        </w:tc>
        <w:tc>
          <w:tcPr>
            <w:tcW w:w="8820" w:type="dxa"/>
            <w:vAlign w:val="bottom"/>
            <w:gridSpan w:val="12"/>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0000EE"/>
            </w:tcBorders>
          </w:tcPr>
          <w:p>
            <w:pPr>
              <w:jc w:val="center"/>
              <w:spacing w:after="0" w:line="143" w:lineRule="exact"/>
              <w:rPr>
                <w:sz w:val="20"/>
                <w:szCs w:val="20"/>
                <w:color w:val="auto"/>
              </w:rPr>
            </w:pPr>
            <w:r>
              <w:rPr>
                <w:rFonts w:ascii="Times New Roman" w:cs="Times New Roman" w:eastAsia="Times New Roman" w:hAnsi="Times New Roman"/>
                <w:sz w:val="15"/>
                <w:szCs w:val="15"/>
                <w:color w:val="0000EE"/>
                <w:w w:val="79"/>
              </w:rPr>
              <w:t>45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700" w:type="dxa"/>
            <w:vAlign w:val="bottom"/>
            <w:gridSpan w:val="17"/>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SECURITIES AUTHORIZED FOR ISSUANCE UNDER THE EQUITY COMPENSATION PLANS</w:t>
            </w:r>
          </w:p>
        </w:tc>
        <w:tc>
          <w:tcPr>
            <w:tcW w:w="360" w:type="dxa"/>
            <w:vAlign w:val="bottom"/>
            <w:tcBorders>
              <w:right w:val="single" w:sz="8" w:color="CCEEFF"/>
            </w:tcBorders>
            <w:gridSpan w:val="2"/>
            <w:shd w:val="clear" w:color="auto" w:fill="CCEEFF"/>
          </w:tcPr>
          <w:p>
            <w:pPr>
              <w:jc w:val="center"/>
              <w:ind w:left="127"/>
              <w:spacing w:after="0" w:line="156" w:lineRule="exact"/>
              <w:rPr>
                <w:sz w:val="20"/>
                <w:szCs w:val="20"/>
                <w:color w:val="auto"/>
              </w:rPr>
            </w:pPr>
            <w:r>
              <w:rPr>
                <w:rFonts w:ascii="Times New Roman" w:cs="Times New Roman" w:eastAsia="Times New Roman" w:hAnsi="Times New Roman"/>
                <w:sz w:val="15"/>
                <w:szCs w:val="15"/>
                <w:color w:val="0000EE"/>
              </w:rPr>
              <w:t>48</w:t>
            </w:r>
          </w:p>
        </w:tc>
        <w:tc>
          <w:tcPr>
            <w:tcW w:w="2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top w:val="single" w:sz="8" w:color="0000EE"/>
            </w:tcBorders>
            <w:gridSpan w:val="14"/>
          </w:tcPr>
          <w:p>
            <w:pPr>
              <w:spacing w:after="0" w:line="143" w:lineRule="exact"/>
              <w:rPr>
                <w:sz w:val="20"/>
                <w:szCs w:val="20"/>
                <w:color w:val="auto"/>
              </w:rPr>
            </w:pPr>
            <w:r>
              <w:rPr>
                <w:rFonts w:ascii="Times New Roman" w:cs="Times New Roman" w:eastAsia="Times New Roman" w:hAnsi="Times New Roman"/>
                <w:sz w:val="15"/>
                <w:szCs w:val="15"/>
                <w:color w:val="0000EE"/>
              </w:rPr>
              <w:t>TRANSACTIONS WITH RELATED PARTIES</w:t>
            </w:r>
          </w:p>
        </w:tc>
        <w:tc>
          <w:tcPr>
            <w:tcW w:w="4740" w:type="dxa"/>
            <w:vAlign w:val="bottom"/>
            <w:tcBorders>
              <w:top w:val="single" w:sz="8" w:color="CCEEFF"/>
            </w:tcBorders>
            <w:gridSpan w:val="3"/>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0000EE"/>
            </w:tcBorders>
          </w:tcPr>
          <w:p>
            <w:pPr>
              <w:jc w:val="center"/>
              <w:spacing w:after="0" w:line="143" w:lineRule="exact"/>
              <w:rPr>
                <w:sz w:val="20"/>
                <w:szCs w:val="20"/>
                <w:color w:val="auto"/>
              </w:rPr>
            </w:pPr>
            <w:r>
              <w:rPr>
                <w:rFonts w:ascii="Times New Roman" w:cs="Times New Roman" w:eastAsia="Times New Roman" w:hAnsi="Times New Roman"/>
                <w:sz w:val="15"/>
                <w:szCs w:val="15"/>
                <w:color w:val="0000EE"/>
                <w:w w:val="79"/>
              </w:rPr>
              <w:t>49</w:t>
            </w:r>
          </w:p>
        </w:tc>
        <w:tc>
          <w:tcPr>
            <w:tcW w:w="2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00" w:type="dxa"/>
            <w:vAlign w:val="bottom"/>
            <w:tcBorders>
              <w:top w:val="single" w:sz="8" w:color="0000EE"/>
              <w:right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6"/>
              </w:rPr>
              <w:t>HOUSEHOLDING OF PROXY MATERIALS</w:t>
            </w:r>
          </w:p>
        </w:tc>
        <w:tc>
          <w:tcPr>
            <w:tcW w:w="7900" w:type="dxa"/>
            <w:vAlign w:val="bottom"/>
            <w:gridSpan w:val="9"/>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top w:val="single" w:sz="8" w:color="0000EE"/>
              <w:right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0000EE"/>
                <w:w w:val="79"/>
              </w:rPr>
              <w:t>51</w:t>
            </w:r>
          </w:p>
        </w:tc>
        <w:tc>
          <w:tcPr>
            <w:tcW w:w="2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5"/>
                <w:szCs w:val="15"/>
                <w:color w:val="0000EE"/>
                <w:w w:val="93"/>
              </w:rPr>
              <w:t>OTHER MATTERS</w:t>
            </w:r>
          </w:p>
        </w:tc>
        <w:tc>
          <w:tcPr>
            <w:tcW w:w="1620" w:type="dxa"/>
            <w:vAlign w:val="bottom"/>
            <w:tcBorders>
              <w:top w:val="single" w:sz="8" w:color="0000EE"/>
            </w:tcBorders>
            <w:gridSpan w:val="6"/>
          </w:tcPr>
          <w:p>
            <w:pPr>
              <w:spacing w:after="0"/>
              <w:rPr>
                <w:sz w:val="12"/>
                <w:szCs w:val="12"/>
                <w:color w:val="auto"/>
              </w:rPr>
            </w:pPr>
          </w:p>
        </w:tc>
        <w:tc>
          <w:tcPr>
            <w:tcW w:w="7900" w:type="dxa"/>
            <w:vAlign w:val="bottom"/>
            <w:tcBorders>
              <w:top w:val="single" w:sz="8" w:color="CCEEFF"/>
            </w:tcBorders>
            <w:gridSpan w:val="9"/>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0000EE"/>
              <w:bottom w:val="single" w:sz="8" w:color="0000EE"/>
            </w:tcBorders>
          </w:tcPr>
          <w:p>
            <w:pPr>
              <w:jc w:val="center"/>
              <w:spacing w:after="0" w:line="143" w:lineRule="exact"/>
              <w:rPr>
                <w:sz w:val="20"/>
                <w:szCs w:val="20"/>
                <w:color w:val="auto"/>
              </w:rPr>
            </w:pPr>
            <w:r>
              <w:rPr>
                <w:rFonts w:ascii="Times New Roman" w:cs="Times New Roman" w:eastAsia="Times New Roman" w:hAnsi="Times New Roman"/>
                <w:sz w:val="15"/>
                <w:szCs w:val="15"/>
                <w:color w:val="0000EE"/>
                <w:w w:val="79"/>
              </w:rPr>
              <w:t>52</w:t>
            </w:r>
          </w:p>
        </w:tc>
        <w:tc>
          <w:tcPr>
            <w:tcW w:w="2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700" w:type="dxa"/>
            <w:vAlign w:val="bottom"/>
            <w:gridSpan w:val="17"/>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ANNEX A: AMENDED AND RESTATED 2014 EQUITY INCENTIVE PLAN</w:t>
            </w:r>
          </w:p>
        </w:tc>
        <w:tc>
          <w:tcPr>
            <w:tcW w:w="24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center"/>
              <w:ind w:right="160"/>
              <w:spacing w:after="0" w:line="155" w:lineRule="exact"/>
              <w:rPr>
                <w:sz w:val="20"/>
                <w:szCs w:val="20"/>
                <w:color w:val="auto"/>
              </w:rPr>
            </w:pPr>
            <w:r>
              <w:rPr>
                <w:rFonts w:ascii="Times New Roman" w:cs="Times New Roman" w:eastAsia="Times New Roman" w:hAnsi="Times New Roman"/>
                <w:sz w:val="14"/>
                <w:szCs w:val="14"/>
                <w:color w:val="0000EE"/>
                <w:w w:val="73"/>
              </w:rPr>
              <w:t>A-1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80" w:type="dxa"/>
            <w:vAlign w:val="bottom"/>
            <w:shd w:val="clear" w:color="auto" w:fill="0000EE"/>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4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80" w:lineRule="exact"/>
        <w:rPr>
          <w:sz w:val="20"/>
          <w:szCs w:val="20"/>
          <w:color w:val="auto"/>
        </w:rPr>
      </w:pPr>
    </w:p>
    <w:p>
      <w:pPr>
        <w:jc w:val="both"/>
        <w:ind w:firstLine="132"/>
        <w:spacing w:after="0" w:line="245" w:lineRule="auto"/>
        <w:rPr>
          <w:sz w:val="20"/>
          <w:szCs w:val="20"/>
          <w:color w:val="auto"/>
        </w:rPr>
      </w:pPr>
      <w:r>
        <w:rPr>
          <w:rFonts w:ascii="Times New Roman" w:cs="Times New Roman" w:eastAsia="Times New Roman" w:hAnsi="Times New Roman"/>
          <w:sz w:val="15"/>
          <w:szCs w:val="15"/>
          <w:color w:val="auto"/>
        </w:rPr>
        <w:t>Certain statements herein constitute “forward-looking statements” within the meaning of the Private Securities Litigation Reform Act of 1995. Such forward-looking statements involve known and unknown risks, uncertainties and other important factors that may cause the actual results, performance or achievements of the Company and its subsidiaries to be materially different from any future results, performance or achievements expressed or implied by such forward-looking statements. The words or phrases “guidance,” “believe,” “expect,” “anticipate,” “estimates,” “forecast” and similar words or expressions are intended to identify such forward-looking statements. In addition, any statements that refer to expectations or other characterizations of future events or circumstances, such as statements about our business plans, strategies and initiatives, and our corporate governance initiatives, are forward-looking statements. These statements are not guarantees of future performance and are subject to certain risks, uncertainties and other important factors, some of which are beyond our control and are difficult to predict. These forward-looking statements are based on information currently available to us and our current plans or expectations and are subject to a number of known and unknown uncertainties, risks and other important factors that may cause our actual results, performance or achievements to be materially different from any future results, performance or achievements expressed or implied by the forward-looking statements. These and other important factors are described in detail in the “Risk Factors” section of our Annual Report on Form 10-K for the year ended December 31, 2023, and our other filings with the Securities and Exchange Commission. Other unknown or unpredictable factors also could have material adverse effects on our future results, performance or achievements. In light of these risks, uncertainties, assumptions and factors, the forward-looking events discussed herein may not occur. You are cautioned not to place undue reliance on these forward-looking statements, which speak only as of the date stated, or if no date is stated, as of the date hereof. The Company does not undertake any obligation to publicly update or revise any forward-looking statements because of new information, future events or otherwise.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5835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09"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ZEVRA THERAPEUTICS,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1180 Celebration Boulevard, Suite 103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Celebration, FL 34747</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PROXY STATEMENT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2024 ANNUAL MEETING OF STOCKHOLDERS</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TO BE HELD ON MAY 13, 2024, AT 9:00 A.M. EASTERN TIME</w:t>
      </w:r>
    </w:p>
    <w:p>
      <w:pPr>
        <w:spacing w:after="0" w:line="17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5"/>
          <w:szCs w:val="15"/>
          <w:b w:val="1"/>
          <w:bCs w:val="1"/>
          <w:color w:val="auto"/>
        </w:rPr>
        <w:t>QUESTIONS AND ANSWERS ABOUT THESE PROXY MATERIALS AND VOTING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Why did I receive a notice regarding the availability of proxy materials on the internet?</w:t>
      </w:r>
    </w:p>
    <w:p>
      <w:pPr>
        <w:spacing w:after="0" w:line="180"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Zevra Therapeutics, Inc. (sometimes referred to as “us,” “we,” the “Company” or “Zevra”) is soliciting your proxy to vote at the 2024 Annual Meeting of Stockholders (the “Annual Meeting”), including at any continuation, adjournments or postponements of the meeting. All stockholders as of the Record Date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We intend to mail the Notice on or about April 3, 2024, to all stockholders of record entitled to vote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Will I receive any other proxy materials by mail?</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We may send to our stockholders on the Record Date this proxy statement, the Company’s Annual Report on Form 10-K for the year ended December 31, 2023, and a proxy card, along with a copy of the Notice, on or after April 15,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do I attend the Annual Meeting?</w:t>
      </w:r>
    </w:p>
    <w:p>
      <w:pPr>
        <w:spacing w:after="0" w:line="180" w:lineRule="exact"/>
        <w:rPr>
          <w:sz w:val="20"/>
          <w:szCs w:val="20"/>
          <w:color w:val="auto"/>
        </w:rPr>
      </w:pPr>
    </w:p>
    <w:p>
      <w:pPr>
        <w:jc w:val="both"/>
        <w:ind w:firstLine="132"/>
        <w:spacing w:after="0" w:line="304" w:lineRule="auto"/>
        <w:rPr>
          <w:sz w:val="20"/>
          <w:szCs w:val="20"/>
          <w:color w:val="auto"/>
        </w:rPr>
      </w:pPr>
      <w:r>
        <w:rPr>
          <w:rFonts w:ascii="Times New Roman" w:cs="Times New Roman" w:eastAsia="Times New Roman" w:hAnsi="Times New Roman"/>
          <w:sz w:val="14"/>
          <w:szCs w:val="14"/>
          <w:color w:val="auto"/>
        </w:rPr>
        <w:t>The Annual Meeting will be a completely virtual meeting of stockholders, which will be conducted exclusively by webcast. You are entitled to participate in the Annual Meeting only if you were a stockholder of the Company as of the close of business on March 22, 2024 (the “Record Date”), or if you hold a valid proxy for the Annual Meeting. No physical meeting will be held.</w:t>
      </w:r>
    </w:p>
    <w:p>
      <w:pPr>
        <w:spacing w:after="0" w:line="118"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 xml:space="preserve">You will be able to attend the Annual Meeting online and submit your questions during the Annual Meeting by visiting </w:t>
      </w:r>
      <w:r>
        <w:rPr>
          <w:rFonts w:ascii="Times New Roman" w:cs="Times New Roman" w:eastAsia="Times New Roman" w:hAnsi="Times New Roman"/>
          <w:sz w:val="15"/>
          <w:szCs w:val="15"/>
          <w:u w:val="single" w:color="auto"/>
          <w:color w:val="auto"/>
        </w:rPr>
        <w:t>www.meetnow.global/M2S695X</w:t>
      </w:r>
      <w:r>
        <w:rPr>
          <w:rFonts w:ascii="Times New Roman" w:cs="Times New Roman" w:eastAsia="Times New Roman" w:hAnsi="Times New Roman"/>
          <w:sz w:val="15"/>
          <w:szCs w:val="15"/>
          <w:color w:val="auto"/>
        </w:rPr>
        <w:t>. You also will be able to vote your shares online by attending the Annual Meeting by webcast.</w:t>
      </w:r>
    </w:p>
    <w:p>
      <w:pPr>
        <w:spacing w:after="0" w:line="141"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To participate in the Annual Meeting, you will need to review the information included on your Notice, on your proxy card or on the instructions that accompanied your proxy materials. You will need a password to enter the Annual Meeting. Your password for the Annual Meeting is included in your Notice, on your proxy card or on the instructions that accompanied your proxy materials. If you virtually, enter the meeting using your password, you will be considered present for purposes of the Annual Meeting and your shares will be counted toward the Annual Meeting quorum requirement.</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If you hold your shares through an intermediary, such as a bank or broker, you must register in advance using the instructions below.</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Annual Meeting will begin promptly at 9:00 a.m., Eastern Time. We encourage you to access the Annual Meeting prior to the start time, leaving ample time for the check in process.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Please follow the registration instructions as outlined in this proxy statement.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Why are you holding a virtual meeting instead of a physical meeting?</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We believe that hosting a virtual meeting will enable more of our stockholders to attend and participate in the meeting since our stockholders can participate from any location around the world with internet access.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can vote at the Annual Meeting?</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Only stockholders of record at the close of business on the Record Date or holders of a valid proxy will be entitled to vote at the Annual Meeting. On the Record Date, there were 41,850,494 shares of the Company’s common stock (the “Common Stock”) outstanding and entitled to vote.</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Stockholder of Record: Shares Registered in Your Name</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If at the close of business on the Record Date, your shares were registered directly in your name with our transfer agent, Computershare Trust Company, N.A. (“Computershare”), then you are a stockholder of record. As a stockholder of record, you may vote virtually at the Annual Meeting or vote by proxy. Whether or not you plan to attend the Annual Meeting, we urge you to vote by proxy over the telephone or on the internet as instructed below or return the proxy card we may mail to you to ensure your vote is counted.</w:t>
      </w:r>
    </w:p>
    <w:p>
      <w:pPr>
        <w:spacing w:after="0" w:line="1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Beneficial Owner: Shares Registered in the Name of a Broker, Bank, or Other Nominee</w:t>
      </w:r>
    </w:p>
    <w:p>
      <w:pPr>
        <w:spacing w:after="0" w:line="180"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If at the close of business on the Record Date, your shares were held, not in your name, but rather in an account at a broker, bank, or other nominee,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nominee regarding how to vote the shares in your account. You are also invited to attend the Annual Meeting by registering to attend in accordance with the instructions provided below. However, since you are not the stockholder of record, you may not vote your shares virtually at the Annual Meeting unless you request and obtain a valid legal proxy from your broker, bank, or other nominee.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am I voting on?</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There are four matters scheduled for a vote:</w:t>
      </w:r>
    </w:p>
    <w:p>
      <w:pPr>
        <w:spacing w:after="0" w:line="178" w:lineRule="exact"/>
        <w:rPr>
          <w:sz w:val="20"/>
          <w:szCs w:val="20"/>
          <w:color w:val="auto"/>
        </w:rPr>
      </w:pPr>
    </w:p>
    <w:p>
      <w:pPr>
        <w:ind w:left="280" w:hanging="141"/>
        <w:spacing w:after="0" w:line="268"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Election of Thomas D. Anderson, Neil F. McFarlane, and Alvin Shih, M.D. to the Company’s board of directors as Class III directors to hold office until the 2027 annual meeting of stockholders, and until their respective successors shall have been duly elected and qualified (Proposal 1);</w:t>
      </w:r>
    </w:p>
    <w:p>
      <w:pPr>
        <w:spacing w:after="0" w:line="140"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Ratification of the appointment by the audit committee of the Board (the “Audit Committee”) of Ernst &amp; Young LLP (“EY”) as independent registered public accounting firm of the Company for its fiscal year ending December 31, 2024 (Proposal 2);</w:t>
      </w:r>
    </w:p>
    <w:p>
      <w:pPr>
        <w:spacing w:after="0" w:line="140"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on an advisory and non-binding basis, the compensation of the Company’s named executive officers; and</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amendments to the Company’s Amended and Restated 2014 Equity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do I register to attend the Annual Meeting virtually on the internet?</w:t>
      </w:r>
    </w:p>
    <w:p>
      <w:pPr>
        <w:spacing w:after="0" w:line="180" w:lineRule="exact"/>
        <w:rPr>
          <w:sz w:val="20"/>
          <w:szCs w:val="20"/>
          <w:color w:val="auto"/>
        </w:rPr>
      </w:pPr>
    </w:p>
    <w:p>
      <w:pPr>
        <w:ind w:firstLine="132"/>
        <w:spacing w:after="0" w:line="268" w:lineRule="auto"/>
        <w:rPr>
          <w:sz w:val="20"/>
          <w:szCs w:val="20"/>
          <w:color w:val="auto"/>
        </w:rPr>
      </w:pPr>
      <w:r>
        <w:rPr>
          <w:rFonts w:ascii="Times New Roman" w:cs="Times New Roman" w:eastAsia="Times New Roman" w:hAnsi="Times New Roman"/>
          <w:sz w:val="15"/>
          <w:szCs w:val="15"/>
          <w:color w:val="auto"/>
        </w:rPr>
        <w:t>If you are a registered stockholder (i.e., you hold your shares through our transfer agent, Computershare), you do not need to register to attend the Annual Meeting. Please follow the instructions on the notice or proxy card that you received.</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If you hold your shares through an intermediary, such as a bank or broker, you must register in advance to attend the Annual Meeting.</w:t>
      </w:r>
    </w:p>
    <w:p>
      <w:pPr>
        <w:spacing w:after="0" w:line="178" w:lineRule="exact"/>
        <w:rPr>
          <w:sz w:val="20"/>
          <w:szCs w:val="20"/>
          <w:color w:val="auto"/>
        </w:rPr>
      </w:pPr>
    </w:p>
    <w:p>
      <w:pPr>
        <w:ind w:firstLine="132"/>
        <w:spacing w:after="0" w:line="268" w:lineRule="auto"/>
        <w:rPr>
          <w:sz w:val="20"/>
          <w:szCs w:val="20"/>
          <w:color w:val="auto"/>
        </w:rPr>
      </w:pPr>
      <w:r>
        <w:rPr>
          <w:rFonts w:ascii="Times New Roman" w:cs="Times New Roman" w:eastAsia="Times New Roman" w:hAnsi="Times New Roman"/>
          <w:sz w:val="15"/>
          <w:szCs w:val="15"/>
          <w:color w:val="auto"/>
        </w:rPr>
        <w:t>To register to attend the Annual Meeting online, you must submit proof of your proxy power (legal proxy) reflecting your Zevra holdings along with your name and email address to Computershare. Requests for registration must be labeled as “Legal Proxy” and be received no later than 5:00 p.m., Eastern Time, on May 9, 2024.</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You will receive confirmation of your registration by email after we receive your registration materials.</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Requests for registration should be directed as follows:</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If by email:</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 xml:space="preserve">Forward the email from your broker, or attach an image of your legal proxy, to </w:t>
      </w:r>
      <w:r>
        <w:rPr>
          <w:rFonts w:ascii="Times New Roman" w:cs="Times New Roman" w:eastAsia="Times New Roman" w:hAnsi="Times New Roman"/>
          <w:sz w:val="15"/>
          <w:szCs w:val="15"/>
          <w:u w:val="single" w:color="auto"/>
          <w:color w:val="auto"/>
        </w:rPr>
        <w:t>legalproxy@computershare.com</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If by mail:</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Mail a copy of your legal proxy to:</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Computershare</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Zevra Legal Proxy</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P.O. Box 43001</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Providence, RI 02940-3001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if another matter is properly brought before the meeting?</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do I vote?</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For Proposal 1, you may either vote “For” all the nominees to the Board or you may “Withhold” your vote for any nominee you specify. For Proposals 2, 3, and 4, you may vote “For” or “Against” or abstain from voting.</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procedures for voting are fairly simple:</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Stockholder of Record: Shares Registered in Your Name</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If you are a stockholder of record, you may vote online at the Annual Meeting, vote by proxy over the telephone, vote by proxy online, or vote by proxy using and mailing a proxy card that you may request or that we may elect to deliver at a later time. Whether or not you plan to attend the Annual Meeting, we urge you to vote by proxy to ensure your vote is counted. You may still attend the meeting and vote online during the Annual Meeting even if you have already voted by proxy.</w:t>
      </w:r>
    </w:p>
    <w:p>
      <w:pPr>
        <w:spacing w:after="0" w:line="149" w:lineRule="exact"/>
        <w:rPr>
          <w:sz w:val="20"/>
          <w:szCs w:val="20"/>
          <w:color w:val="auto"/>
        </w:rPr>
      </w:pPr>
    </w:p>
    <w:p>
      <w:pPr>
        <w:ind w:left="280" w:hanging="141"/>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vote online at the Annual Meeting, register for the Annual Meeting using the instructions above.</w:t>
      </w:r>
    </w:p>
    <w:p>
      <w:pPr>
        <w:spacing w:after="0" w:line="199"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vote via telephone, dial toll-free 1-800-652-8683 using a touch-tone phone and follow the recorded instructions. You will be asked to provide the company number and control number from the Notice or proxy card. Your telephone vote must be received by 8:59 a.m. Eastern Time on May 13, 2024, to be counted.</w:t>
      </w:r>
    </w:p>
    <w:p>
      <w:pPr>
        <w:spacing w:after="0" w:line="140"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vote online prior to the Annual Meeting, go to </w:t>
      </w:r>
      <w:r>
        <w:rPr>
          <w:rFonts w:ascii="Times New Roman" w:cs="Times New Roman" w:eastAsia="Times New Roman" w:hAnsi="Times New Roman"/>
          <w:sz w:val="15"/>
          <w:szCs w:val="15"/>
          <w:u w:val="single" w:color="auto"/>
          <w:color w:val="auto"/>
        </w:rPr>
        <w:t>http://www.envisionreports.com/ZVRA</w:t>
      </w:r>
      <w:r>
        <w:rPr>
          <w:rFonts w:ascii="Times New Roman" w:cs="Times New Roman" w:eastAsia="Times New Roman" w:hAnsi="Times New Roman"/>
          <w:sz w:val="15"/>
          <w:szCs w:val="15"/>
          <w:color w:val="auto"/>
        </w:rPr>
        <w:t xml:space="preserve"> to complete an electronic proxy card. You will be asked to provide the company number and control number from the Notice or proxy card. Your internet vote must be received by 8:59 a.m. Eastern Time on May 13, 2024, to be counted.</w:t>
      </w:r>
    </w:p>
    <w:p>
      <w:pPr>
        <w:spacing w:after="0" w:line="140"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vote by mail using the proxy card, if you request one or we elect to deliver one, simply complete, sign and date the proxy card and return it promptly in the envelope provided. If you return your signed proxy card to us before the Annual Meeting, we will vote your shares as you direct.</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Beneficial Owner: Shares Registered in the Name of Broker, Bank, or Other Nominee</w:t>
      </w:r>
    </w:p>
    <w:p>
      <w:pPr>
        <w:spacing w:after="0" w:line="180"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If you are a beneficial owner of shares registered in the name of your broker, bank, or other nominee, you should have received a Notice containing voting instructions from that organization rather than from us. Simply follow the voting instructions in the Notice to ensure that your vote is counted. To vote online at the Annual Meeting, you must obtain a valid legal proxy from your broker, bank or other nominee. Follow the instructions from your broker, bank or other nominee included with these proxy materials, or contact your broker, bank or other nominee to request a proxy form.</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many votes do I have?</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On each matter to be voted upon, you have one vote for each share of Common Stock you own at the close of business on the Record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happens if I do not vote?</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Stockholder of Record: Shares Registered in Your Name</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If you are a stockholder of record as of the Record Date and do not vote prior to the Annual Meeting online, by telephone, by completing your proxy card, or during the Annual Meeting online, your shares will not be voted.</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Beneficial Owner: Shares Registered in the Name of Broker, Bank, or Other Nominee</w:t>
      </w:r>
    </w:p>
    <w:p>
      <w:pPr>
        <w:spacing w:after="0" w:line="180"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If you are a beneficial owner and do not instruct your broker, bank or other nominee how to vote your shares, the question of whether your broker, bank or other nominee will still be able to vote your shares depends on whether the New York Stock Exchange (“NYSE”) deems the particular proposal to be a “routine” matter. Brokers and nominees can use their discretion to vote “uninstructed” shares with respect to matters that are considered to be “routine,” but not with respect to “non-routine” matters. Under the rules and interpretations of the NYSE,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w:t>
      </w:r>
    </w:p>
    <w:p>
      <w:pPr>
        <w:spacing w:after="0" w:line="158"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In this regard, Proposal 1 (election of directors), Proposal 3 (approval on an advisory and non-binding of the compensation of the Company’s named executive officers), and Proposal 4 (approval of amendments to the Company’s Amended and Restated 2014 Equity Incentive Plan) are considered to be “non-routine” under NYSE rules, meaning that your broker or nominee may not vote your shares on these proposals in the absence of your voting instructions. However, Proposal 2 (ratification of the appointment by the Audit Committee of EY as the independent registered public accounting firm of the Company for its fiscal year ending December 31, 2024) is considered to be a “routine” matter under NYSE rules, meaning that if you do not return voting instructions to your broker or nominee by its deadline, your shares may be voted by your broker or nominee in its discretion on Proposal 2. However, we understand that certain brokerage firms have elected not to vote even on “routine” matters without your voting instructions. If your bank, broker or other nominee has made this decision, and you do not provide voting instructions, your vote will not be cast for Proposal 2. Accordingly, we urge you to direct your bank, broker or other nominee how to vote by returning your voting materials as instructed or by obtaining a proxy from your broker or other nominee in order to vote your shares electronically at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if I return a proxy card or otherwise vote but do not make specific choices?</w:t>
      </w:r>
    </w:p>
    <w:p>
      <w:pPr>
        <w:spacing w:after="0" w:line="180"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If you return a signed and dated proxy card or otherwise vote without marking voting selections, your shares will be voted, as applicable, “For” the election of all three director nominees, “For” the ratification of the appointment by the Audit Committee of EY as the Company’s independent registered public accounting firm for the fiscal year ending December 31, 2024, “For” the approval on an advisory and non-binding of the compensation of the Company’s named executive officers, and “For” the approval of amendments to the Company’s Amended and Restated 2014 Equity Incentive Plan. If any other matter is properly presented at the Annual Meeting, your proxyholder (one of the individuals named on your proxy card) will vote your shares using his or her best judgment.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is paying for this proxy solicitation?</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does it mean if I receive more than one Notice?</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If you receive more than one Notice, your shares may be registered in more than one name or in different accounts. Please follow the voting instructions on the applicable Notice to ensure that all of your shares are voted.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Can I change my vote after submitting my proxy?</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Stockholder of Record: Shares Registered in Your Name</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Yes. You can revoke your proxy at any time before the final vote at the meeting. If you are the record holder of your shares, you may revoke your proxy in any one of the following ways:</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Before the Annual Meeting:</w:t>
      </w:r>
    </w:p>
    <w:p>
      <w:pPr>
        <w:spacing w:after="0" w:line="178" w:lineRule="exact"/>
        <w:rPr>
          <w:sz w:val="20"/>
          <w:szCs w:val="20"/>
          <w:color w:val="auto"/>
        </w:rPr>
      </w:pPr>
    </w:p>
    <w:p>
      <w:pPr>
        <w:ind w:left="280" w:hanging="141"/>
        <w:spacing w:after="0"/>
        <w:tabs>
          <w:tab w:leader="none" w:pos="2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grant a subsequent proxy by telephone.</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grant a subsequent proxy online.</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submit another properly completed proxy card with a later date.</w:t>
      </w:r>
    </w:p>
    <w:p>
      <w:pPr>
        <w:spacing w:after="0" w:line="199" w:lineRule="exact"/>
        <w:rPr>
          <w:rFonts w:ascii="Times New Roman" w:cs="Times New Roman" w:eastAsia="Times New Roman" w:hAnsi="Times New Roman"/>
          <w:sz w:val="15"/>
          <w:szCs w:val="15"/>
          <w:color w:val="auto"/>
        </w:rPr>
      </w:pPr>
    </w:p>
    <w:p>
      <w:pPr>
        <w:ind w:left="140" w:right="1340" w:hanging="1"/>
        <w:spacing w:after="0" w:line="503" w:lineRule="auto"/>
        <w:tabs>
          <w:tab w:leader="none" w:pos="27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send a timely written notice that you are revoking your proxy to our Corporate Secretary at 1180 Celebration Boulevard, Suite 103, Celebration, FL, 34747. During the Annual Meeting:</w:t>
      </w:r>
    </w:p>
    <w:p>
      <w:pPr>
        <w:ind w:left="280" w:hanging="141"/>
        <w:spacing w:after="0"/>
        <w:tabs>
          <w:tab w:leader="none" w:pos="2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attend the Annual Meeting and vote online. Simply attending the meeting will not, by itself, revoke your proxy.</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Your most current proxy card, telephone or internet proxy is the one that is counted.</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Beneficial Owner: Shares Registered in the Name of Broker, Bank, or Other Nominee</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If your shares are held by your broker or bank as a nominee or agent, you should follow the instructions provided by your broker or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When are stockholder proposals and director nominations due for next year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 annual meeting?</w:t>
      </w:r>
    </w:p>
    <w:p>
      <w:pPr>
        <w:spacing w:after="0" w:line="180"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Stockholders who intend to have a proposal considered for inclusion in next year’s proxy materials for presentation at our 2025 annual meeting of stockholders pursuant to Rule 14a-8 under the Securities Exchange Act of 1934, as amended (the “Exchange Act”) must submit the proposal in writing by December 4, 2024, to our Corporate Secretary at 1180 Celebration Boulevard, Suite 103, Celebration, FL 34747. If you wish to submit a proposal (including a director nomination) for presentation at the meeting that is not to be included in next year’s proxy materials, you must do so by February 12, 2025, but no earlier than January 13, 2025; provided, however that if next year's annual meeting is advanced more than 30 days prior to or delayed by more than 30 days after May 13, 2025, your proposal must be submitted (i) not earlier than the close of business on the 120th day prior to such annual meeting and not later than the close of business on the later of the 90th day prior to such annual meeting; or if later, (ii) the tenth day following the day on which public announcement of the date of such meeting is first made. You are also advised to review our bylaws, which contain additional requirements about advance notice of stockholder proposals and director nominations.</w:t>
      </w:r>
    </w:p>
    <w:p>
      <w:pPr>
        <w:spacing w:after="0" w:line="16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Stockholders may obtain our proxy statement (and any amendments and supplements thereto) and other documents as and when filed with the SEC without charge from the SEC’s website 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are votes counted?</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Votes will be counted by the inspector of election appointed for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What are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broker non-votes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As discussed above, when a beneficial owner of shares held in “street name” does not give instructions to the broker or nominee holding the shares as to how to vote on matters deemed by the NYSE to be “non-routine,” the broker or nominee cannot vote the shares. These unvoted shares are counted as “broker non-votes.”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many votes are needed to approve each proposal?</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following table summarizes the minimum vote needed to approve each proposal and the effect of abstentions and broker non-votes.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Effect of Votes</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Proposal</w:t>
            </w: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Withheld or</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Effect of Broker Non-</w:t>
            </w:r>
          </w:p>
        </w:tc>
      </w:tr>
      <w:tr>
        <w:trPr>
          <w:trHeight w:val="192"/>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Number</w:t>
            </w:r>
          </w:p>
        </w:tc>
        <w:tc>
          <w:tcPr>
            <w:tcW w:w="120" w:type="dxa"/>
            <w:vAlign w:val="bottom"/>
          </w:tcPr>
          <w:p>
            <w:pPr>
              <w:spacing w:after="0"/>
              <w:rPr>
                <w:sz w:val="16"/>
                <w:szCs w:val="16"/>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Proposal Description</w:t>
            </w:r>
          </w:p>
        </w:tc>
        <w:tc>
          <w:tcPr>
            <w:tcW w:w="120" w:type="dxa"/>
            <w:vAlign w:val="bottom"/>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Vote Required for Approval</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Abstentions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Votes</w:t>
            </w:r>
          </w:p>
        </w:tc>
      </w:tr>
      <w:tr>
        <w:trPr>
          <w:trHeight w:val="152"/>
        </w:trPr>
        <w:tc>
          <w:tcPr>
            <w:tcW w:w="68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w w:val="79"/>
              </w:rPr>
              <w:t>1</w:t>
            </w:r>
          </w:p>
        </w:tc>
        <w:tc>
          <w:tcPr>
            <w:tcW w:w="120" w:type="dxa"/>
            <w:vAlign w:val="bottom"/>
            <w:shd w:val="clear" w:color="auto" w:fill="CCEEFF"/>
          </w:tcPr>
          <w:p>
            <w:pPr>
              <w:spacing w:after="0"/>
              <w:rPr>
                <w:sz w:val="13"/>
                <w:szCs w:val="13"/>
                <w:color w:val="auto"/>
              </w:rPr>
            </w:pPr>
          </w:p>
        </w:tc>
        <w:tc>
          <w:tcPr>
            <w:tcW w:w="340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w w:val="98"/>
              </w:rPr>
              <w:t>Election of Directors</w:t>
            </w:r>
          </w:p>
        </w:tc>
        <w:tc>
          <w:tcPr>
            <w:tcW w:w="120" w:type="dxa"/>
            <w:vAlign w:val="bottom"/>
            <w:shd w:val="clear" w:color="auto" w:fill="CCEEFF"/>
          </w:tcPr>
          <w:p>
            <w:pPr>
              <w:spacing w:after="0"/>
              <w:rPr>
                <w:sz w:val="13"/>
                <w:szCs w:val="13"/>
                <w:color w:val="auto"/>
              </w:rPr>
            </w:pPr>
          </w:p>
        </w:tc>
        <w:tc>
          <w:tcPr>
            <w:tcW w:w="336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w w:val="96"/>
              </w:rPr>
              <w:t>The plurality of the votes of the holders of shares present</w:t>
            </w:r>
          </w:p>
        </w:tc>
        <w:tc>
          <w:tcPr>
            <w:tcW w:w="1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w w:val="95"/>
              </w:rPr>
              <w:t>Votes withheld will not be</w:t>
            </w:r>
          </w:p>
        </w:tc>
        <w:tc>
          <w:tcPr>
            <w:tcW w:w="1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w w:val="97"/>
              </w:rPr>
              <w:t>Broker non-votes will not be</w:t>
            </w:r>
          </w:p>
        </w:tc>
      </w:tr>
      <w:tr>
        <w:trPr>
          <w:trHeight w:val="175"/>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and entitled to vote on the proposal. The three nominees</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counted as votes cast and</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counted as votes cast and</w:t>
            </w:r>
          </w:p>
        </w:tc>
      </w:tr>
      <w:tr>
        <w:trPr>
          <w:trHeight w:val="175"/>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receiving the most “For” votes will be elected as Class III</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will have no effect.</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will have no effect</w:t>
            </w:r>
          </w:p>
        </w:tc>
      </w:tr>
      <w:tr>
        <w:trPr>
          <w:trHeight w:val="175"/>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directors.</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Abstentions are not</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90"/>
        </w:trPr>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applicable</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175"/>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61"/>
        </w:trPr>
        <w:tc>
          <w:tcPr>
            <w:tcW w:w="6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79"/>
              </w:rPr>
              <w:t>2</w:t>
            </w:r>
          </w:p>
        </w:tc>
        <w:tc>
          <w:tcPr>
            <w:tcW w:w="120" w:type="dxa"/>
            <w:vAlign w:val="bottom"/>
            <w:shd w:val="clear" w:color="auto" w:fill="CCEEFF"/>
          </w:tcPr>
          <w:p>
            <w:pPr>
              <w:spacing w:after="0"/>
              <w:rPr>
                <w:sz w:val="13"/>
                <w:szCs w:val="13"/>
                <w:color w:val="auto"/>
              </w:rPr>
            </w:pPr>
          </w:p>
        </w:tc>
        <w:tc>
          <w:tcPr>
            <w:tcW w:w="34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Ratification of the appointment of Ernst &amp; Young LLP as</w:t>
            </w:r>
          </w:p>
        </w:tc>
        <w:tc>
          <w:tcPr>
            <w:tcW w:w="120" w:type="dxa"/>
            <w:vAlign w:val="bottom"/>
            <w:shd w:val="clear" w:color="auto" w:fill="CCEEFF"/>
          </w:tcPr>
          <w:p>
            <w:pPr>
              <w:spacing w:after="0"/>
              <w:rPr>
                <w:sz w:val="13"/>
                <w:szCs w:val="13"/>
                <w:color w:val="auto"/>
              </w:rPr>
            </w:pPr>
          </w:p>
        </w:tc>
        <w:tc>
          <w:tcPr>
            <w:tcW w:w="336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“For” votes from the holders of a majority of shares</w:t>
            </w:r>
          </w:p>
        </w:tc>
        <w:tc>
          <w:tcPr>
            <w:tcW w:w="1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Abstentions will be counted</w:t>
            </w:r>
          </w:p>
        </w:tc>
        <w:tc>
          <w:tcPr>
            <w:tcW w:w="1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As brokers have discretion</w:t>
            </w:r>
          </w:p>
        </w:tc>
      </w:tr>
      <w:tr>
        <w:trPr>
          <w:trHeight w:val="175"/>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the Company’s independent registered public accounting</w:t>
            </w:r>
          </w:p>
        </w:tc>
        <w:tc>
          <w:tcPr>
            <w:tcW w:w="120" w:type="dxa"/>
            <w:vAlign w:val="bottom"/>
            <w:shd w:val="clear" w:color="auto" w:fill="CCEEFF"/>
          </w:tcPr>
          <w:p>
            <w:pPr>
              <w:spacing w:after="0"/>
              <w:rPr>
                <w:sz w:val="15"/>
                <w:szCs w:val="15"/>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present in person or represented by proxy and entitled to</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as votes “Against” this</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to vote, we do not expect</w:t>
            </w:r>
          </w:p>
        </w:tc>
      </w:tr>
      <w:tr>
        <w:trPr>
          <w:trHeight w:val="175"/>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firm for its fiscal year ending December 31, 2024</w:t>
            </w:r>
          </w:p>
        </w:tc>
        <w:tc>
          <w:tcPr>
            <w:tcW w:w="120" w:type="dxa"/>
            <w:vAlign w:val="bottom"/>
            <w:shd w:val="clear" w:color="auto" w:fill="CCEEFF"/>
          </w:tcPr>
          <w:p>
            <w:pPr>
              <w:spacing w:after="0"/>
              <w:rPr>
                <w:sz w:val="15"/>
                <w:szCs w:val="15"/>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vote on the matter will ratify the appointment.</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proposal</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any broker non-votes on this</w:t>
            </w:r>
          </w:p>
        </w:tc>
      </w:tr>
      <w:tr>
        <w:trPr>
          <w:trHeight w:val="190"/>
        </w:trPr>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proposal. (1)</w:t>
            </w:r>
          </w:p>
        </w:tc>
      </w:tr>
      <w:tr>
        <w:trPr>
          <w:trHeight w:val="175"/>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61"/>
        </w:trPr>
        <w:tc>
          <w:tcPr>
            <w:tcW w:w="6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79"/>
              </w:rPr>
              <w:t>3</w:t>
            </w:r>
          </w:p>
        </w:tc>
        <w:tc>
          <w:tcPr>
            <w:tcW w:w="120" w:type="dxa"/>
            <w:vAlign w:val="bottom"/>
            <w:shd w:val="clear" w:color="auto" w:fill="CCEEFF"/>
          </w:tcPr>
          <w:p>
            <w:pPr>
              <w:spacing w:after="0"/>
              <w:rPr>
                <w:sz w:val="13"/>
                <w:szCs w:val="13"/>
                <w:color w:val="auto"/>
              </w:rPr>
            </w:pPr>
          </w:p>
        </w:tc>
        <w:tc>
          <w:tcPr>
            <w:tcW w:w="34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6"/>
              </w:rPr>
              <w:t>To approve, on an advisory and non-binding basis, the</w:t>
            </w:r>
          </w:p>
        </w:tc>
        <w:tc>
          <w:tcPr>
            <w:tcW w:w="120" w:type="dxa"/>
            <w:vAlign w:val="bottom"/>
            <w:shd w:val="clear" w:color="auto" w:fill="CCEEFF"/>
          </w:tcPr>
          <w:p>
            <w:pPr>
              <w:spacing w:after="0"/>
              <w:rPr>
                <w:sz w:val="13"/>
                <w:szCs w:val="13"/>
                <w:color w:val="auto"/>
              </w:rPr>
            </w:pPr>
          </w:p>
        </w:tc>
        <w:tc>
          <w:tcPr>
            <w:tcW w:w="336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For” votes from the holders of a majority of shares</w:t>
            </w:r>
          </w:p>
        </w:tc>
        <w:tc>
          <w:tcPr>
            <w:tcW w:w="1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Abstentions will be counted</w:t>
            </w:r>
          </w:p>
        </w:tc>
        <w:tc>
          <w:tcPr>
            <w:tcW w:w="1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Broker non-votes will have</w:t>
            </w:r>
          </w:p>
        </w:tc>
      </w:tr>
      <w:tr>
        <w:trPr>
          <w:trHeight w:val="175"/>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compensation of the Company’s named executive</w:t>
            </w:r>
          </w:p>
        </w:tc>
        <w:tc>
          <w:tcPr>
            <w:tcW w:w="120" w:type="dxa"/>
            <w:vAlign w:val="bottom"/>
            <w:shd w:val="clear" w:color="auto" w:fill="CCEEFF"/>
          </w:tcPr>
          <w:p>
            <w:pPr>
              <w:spacing w:after="0"/>
              <w:rPr>
                <w:sz w:val="15"/>
                <w:szCs w:val="15"/>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present in person or represented by proxy and entitled to</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as votes “Against” this</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no effect on this proposal</w:t>
            </w:r>
          </w:p>
        </w:tc>
      </w:tr>
      <w:tr>
        <w:trPr>
          <w:trHeight w:val="190"/>
        </w:trPr>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officers as disclosed in the proxy materials.</w:t>
            </w:r>
          </w:p>
        </w:tc>
        <w:tc>
          <w:tcPr>
            <w:tcW w:w="120" w:type="dxa"/>
            <w:vAlign w:val="bottom"/>
            <w:shd w:val="clear" w:color="auto" w:fill="CCEEFF"/>
          </w:tcPr>
          <w:p>
            <w:pPr>
              <w:spacing w:after="0"/>
              <w:rPr>
                <w:sz w:val="16"/>
                <w:szCs w:val="16"/>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vote on the matter will approve the proposal.</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proposal</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175"/>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61"/>
        </w:trPr>
        <w:tc>
          <w:tcPr>
            <w:tcW w:w="6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79"/>
              </w:rPr>
              <w:t>4</w:t>
            </w:r>
          </w:p>
        </w:tc>
        <w:tc>
          <w:tcPr>
            <w:tcW w:w="120" w:type="dxa"/>
            <w:vAlign w:val="bottom"/>
            <w:shd w:val="clear" w:color="auto" w:fill="CCEEFF"/>
          </w:tcPr>
          <w:p>
            <w:pPr>
              <w:spacing w:after="0"/>
              <w:rPr>
                <w:sz w:val="13"/>
                <w:szCs w:val="13"/>
                <w:color w:val="auto"/>
              </w:rPr>
            </w:pPr>
          </w:p>
        </w:tc>
        <w:tc>
          <w:tcPr>
            <w:tcW w:w="34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To approve, amendments to the Company’s Amended</w:t>
            </w:r>
          </w:p>
        </w:tc>
        <w:tc>
          <w:tcPr>
            <w:tcW w:w="120" w:type="dxa"/>
            <w:vAlign w:val="bottom"/>
            <w:shd w:val="clear" w:color="auto" w:fill="CCEEFF"/>
          </w:tcPr>
          <w:p>
            <w:pPr>
              <w:spacing w:after="0"/>
              <w:rPr>
                <w:sz w:val="13"/>
                <w:szCs w:val="13"/>
                <w:color w:val="auto"/>
              </w:rPr>
            </w:pPr>
          </w:p>
        </w:tc>
        <w:tc>
          <w:tcPr>
            <w:tcW w:w="336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“For” votes from the holders of a majority of shares</w:t>
            </w:r>
          </w:p>
        </w:tc>
        <w:tc>
          <w:tcPr>
            <w:tcW w:w="1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Abstentions will be counted</w:t>
            </w:r>
          </w:p>
        </w:tc>
        <w:tc>
          <w:tcPr>
            <w:tcW w:w="1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7"/>
              </w:rPr>
              <w:t>Broker non-votes will have</w:t>
            </w:r>
          </w:p>
        </w:tc>
      </w:tr>
      <w:tr>
        <w:trPr>
          <w:trHeight w:val="175"/>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and Restated 2014 Equity Incentive Plan.</w:t>
            </w:r>
          </w:p>
        </w:tc>
        <w:tc>
          <w:tcPr>
            <w:tcW w:w="120" w:type="dxa"/>
            <w:vAlign w:val="bottom"/>
            <w:shd w:val="clear" w:color="auto" w:fill="CCEEFF"/>
          </w:tcPr>
          <w:p>
            <w:pPr>
              <w:spacing w:after="0"/>
              <w:rPr>
                <w:sz w:val="15"/>
                <w:szCs w:val="15"/>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present in person or represented by proxy and entitled to</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as votes “Against” this</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no effect on this proposal</w:t>
            </w:r>
          </w:p>
        </w:tc>
      </w:tr>
      <w:tr>
        <w:trPr>
          <w:trHeight w:val="190"/>
        </w:trPr>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vote on the matter will approve the proposal.</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proposal</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bl>
    <w:p>
      <w:pPr>
        <w:spacing w:after="0" w:line="161" w:lineRule="exact"/>
        <w:rPr>
          <w:sz w:val="20"/>
          <w:szCs w:val="20"/>
          <w:color w:val="auto"/>
        </w:rPr>
      </w:pPr>
    </w:p>
    <w:p>
      <w:pPr>
        <w:jc w:val="both"/>
        <w:ind w:firstLine="8"/>
        <w:spacing w:after="0" w:line="250" w:lineRule="auto"/>
        <w:tabs>
          <w:tab w:leader="none" w:pos="35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proposal is considered to be a “routine” matter under NYSE rules. Accordingly, if you hold your shares in street name and do not provide voting instructions to your broker, bank, or other agent that holds your shares, your broker, bank, or other nominee has discretionary authority under NYSE rules to vote your shares on this proposal. However, we understand that certain brokerage firms have elected not to vote even on “routine” matters without your voting instructions. If your bank, broker or other nominee has made this decision, and you do not provide voting instructions, your vote will not be cast for Proposal 2. Accordingly, we urge you to direct your bank, broker or other nominee how to vote by returning your voting materials as instructed or by obtaining a proxy from your broker or other nominee in order to vote your shares electronically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58355" cy="556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55626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is the quorum requirement?</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 xml:space="preserve">A quorum of stockholders is necessary to hold a valid meeting. A quorum will be present if stockholders holding at least a majority of the outstanding shares entitled to vote are present at the meeting in person or represented by proxy. At the close of business on the Record Date, there were 41,850,494 shares outstanding and entitled to vote. </w:t>
      </w:r>
      <w:r>
        <w:rPr>
          <w:rFonts w:ascii="Times New Roman" w:cs="Times New Roman" w:eastAsia="Times New Roman" w:hAnsi="Times New Roman"/>
          <w:sz w:val="15"/>
          <w:szCs w:val="15"/>
          <w:b w:val="1"/>
          <w:bCs w:val="1"/>
          <w:color w:val="auto"/>
        </w:rPr>
        <w:t>Thus, the holders of 20,925,247 shares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must be present in person or represented by proxy at the meeting to have a quorum.</w:t>
      </w:r>
    </w:p>
    <w:p>
      <w:pPr>
        <w:spacing w:after="0" w:line="149"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Your shares will be counted towards the quorum only if you submit a valid proxy by telephone, internet or proxy card (or one is submitted on your behalf by your broker, bank or other nominee) or if you vote online during the Annual Meeting. Abstentions and broker non-votes will be counted towards the quorum requirement. If there is no quorum, the holders of a majority of shares present at the meeting in person or represented by proxy may adjourn the meeting to another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can I find out the results of the voting at the Annual Meeting?</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We intend to announce preliminary voting results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PROPOSAL 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ELECTION OF DIRECTORS</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Our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49"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The Board presently has eight members. The current class structure is as follows: Class III, whose current term will expire at the Annual Meeting and, if elected at the Annual Meeting, whose subsequent term will expire at the 2027 annual meeting of stockholders; Class I, whose term will expire at the 2025 annual meeting of stockholders; and Class II, whose term will expire at the 2026 annual meeting of stockholders. The current Class III directors are Thomas D. Anderson, Neil F. McFarlane and Alvin Shih, M.D.; the current Class I directors are Tamara A. Favorito and Wendy Dixon, Ph.D.; and the current Class II directors are John B. Bode, Douglas W. Calder, and Corey Watton. Each of the nominees listed below is currently a Class III director of the Company. Mr. Anderson and Dr. Shih were recommended to serve as directors by a third-party search firm and were appointed to the Board in August 2023 and January 2024, respectively. Mr. McFarlane became a director in October 2023, at the time that he was appointed as the Company's President and Chief Executive Officer. If elected at the Annual Meeting, each of these nominees would serve until the 2027 annual meeting of our stockholders and until his successor has been duly elected and qualified, or, if sooner, until the director’s death, resignation or removal. It is our policy to encourage directors and nominees for director to attend the Annual Meeting. Tamara A. Favorito is the only incumbent directors who attended the 2023 annual meeting of our stockholders.</w:t>
      </w:r>
    </w:p>
    <w:p>
      <w:pPr>
        <w:spacing w:after="0" w:line="162"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Shares represented by executed proxies will be voted, if authority to do so is not withheld, for the election of the three nominees named below. If any nominee becomes unable to serve or for good cause will not serve as a director, shares that would have been voted for that nominee may instead be voted for the election of a substitute nominee proposed by our Board. Each person nominated for election has agreed to serve if elected. Our management has no reason to believe that any nominee would be unable to serve.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NOMINEES FOR ELECTION AS A CLASS III DIRECTOR FOR A THREE-YEAR TERM EXPIRING AT THE 2027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Thomas D. Anderson</w:t>
      </w:r>
    </w:p>
    <w:p>
      <w:pPr>
        <w:spacing w:after="0" w:line="182"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Thomas D. Anderson has served as a director of our Company since August 2023. Mr. Anderson is a 35-year veteran of the biopharma industry and has led and been a part of high-growth organizations for much of his career. Mr. Anderson has served as chief executive officer and director of SwanBio Therapeutics since September 2019 until semi-retirement in October 2023, and subsequently resigned his board directorship in March 2024. Prior to that, he served as the chief commercial strategy officer of Sage Therapeutics, Inc. from 2014 to 2018. Between 2004 and 2014, Mr. Anderson was a senior operating executive with Shire Pharmaceuticals Group in a number of operational and strategic roles in both rare diseases and specialty pharmaceuticals. Prior to Shire, he spent 17 years at Johnson &amp; Johnson's pharmaceutical companies, McNeil and Janssen, in various business capacities. Mr. Anderson is also an investor partner at Robin Hood Ventures in Philadelphia, Pennsylvania. Mr. Anderson earned his MBA from the University of Notre Dame’s Mendoza College of Business Administration. He received his BS in civil engineering from the P.C. Rossin College of Engineering at Lehigh University. Our Board believes that Mr. Anderson’s significant leadership experience in the biotechnology industry and his experience in rare disease qualifies him to serve on the Board.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Neil F. McFarlane</w:t>
      </w:r>
    </w:p>
    <w:p>
      <w:pPr>
        <w:spacing w:after="0" w:line="182"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Neil F. McFarlane has served as our president, chief executive officer, and a director of our Company since October 2023. Mr. McFarlane has served as a member of the board of directors of Collegium Pharmaceutical Inc. since April 2022. Previously, Mr. McFarlane served as the chief executive officer and a member of the board of directors of Adamas Pharmaceuticals, Inc. from September 2019 until its acquisition by Supernus Pharmaceuticals, Inc. in November 2021. Mr. McFarlane worked as an independent consultant between June 2019 and August 2019 and again between December 2021 and September 2023 providing consulting services for biotechnology, pharmaceutical, and financial services companies. From August 2016 to May 2019, Mr. McFarlane served as the chief operating officer of Retrophin, Inc., now known as Travere Therapeutics, Inc., where he was responsible for overseeing operations. From 2011 to 2016 Mr. McFarlane served as vice president and general manager of UCB, Inc.'s U.S. Immunology Business Unit and as vice president for its Global Bone Business Unit in collaboration with Amgen Inc. Prior to his positions at UCB, Mr. McFarlane held positions of increasing responsibility with Genzyme Corporation (“Genzyme”) and Sangstat Medical Corporation prior to its acquisition by Genzyme. Mr. McFarlane previously served as an officer and enlisted soldier in the United States Army Reserves. He received his B.S. degree and M.S. degree in Nursing from the University of Florida. Our Board believes that Mr. McFarlane’s over 20 years of global biopharmaceutical and life sciences experience provide him with the qualifications and skills to serve as a director.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Alvin Shih, M.D.</w:t>
      </w:r>
    </w:p>
    <w:p>
      <w:pPr>
        <w:spacing w:after="0" w:line="182"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Alvin Shih, M.D. has served as a director of our Company since January 2024. Dr. Shih has broad experience in drug development, spanning multiple indications with a focus on rare diseases, including as the chief operating officer and founding member of Pfizer Inc.'s rare disease research unit from May 2010 to May 2014. Most recently, he has served as president and chief executive officer of Catamaran Bio, Inc. since February 2021. Prior to his current role, from July 2019 to December 2020 he served as the chief executive officer of Disarm Therapeutics, a biotechnology company that developed therapeutics for neurodegenerative diseases and that was acquired by Eli Lilly in October 2020. Before that, Dr. Shih was chief executive officer of Enzyvant Therapeutics from November 2016 to February 2019, where he led the company's cell/tissue-based therapy development for treating a rare immunological disease. He was also the executive vice president and head of research at Retrophin, Inc. where he worked on therapies for multiple disease indications. Dr. Shih previously worked in management consulting at McKinsey &amp; Company and L.E.K. Consulting, LLC. He received his medical degree from the University of Alabama and completed his residency training at Massachusetts General Hospital. Dr. Shih received his M.B.A. from the Kellogg School of Management at Northwestern University. The Board believes that Dr. Shih’s significant leadership experience in the biotechnology industry and his experience in rare disease qualifies him to serve on the Board.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Vote Required</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Directors are elected by a plurality of the votes of the holders of shares present in person or represented by proxy and entitled to vote on the election of directors. Accordingly, the three nominees receiving the highest number of affirmative votes will be elected.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BOARD OF DIRECTORS RECOMMENDS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 VOTE IN FAVOR OF EACH NOMINEE NAMED ABOVE.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CLASS I DIRECTORS CONTINUING IN OFFICE UNTIL THE 2025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Wendy Dixon, Ph.D.</w:t>
      </w:r>
    </w:p>
    <w:p>
      <w:pPr>
        <w:spacing w:after="0" w:line="182" w:lineRule="exact"/>
        <w:rPr>
          <w:sz w:val="20"/>
          <w:szCs w:val="20"/>
          <w:color w:val="auto"/>
        </w:rPr>
      </w:pPr>
    </w:p>
    <w:p>
      <w:pPr>
        <w:jc w:val="both"/>
        <w:ind w:firstLine="132"/>
        <w:spacing w:after="0" w:line="266" w:lineRule="auto"/>
        <w:rPr>
          <w:sz w:val="20"/>
          <w:szCs w:val="20"/>
          <w:color w:val="auto"/>
        </w:rPr>
      </w:pPr>
      <w:r>
        <w:rPr>
          <w:rFonts w:ascii="Times New Roman" w:cs="Times New Roman" w:eastAsia="Times New Roman" w:hAnsi="Times New Roman"/>
          <w:sz w:val="14"/>
          <w:szCs w:val="14"/>
          <w:color w:val="auto"/>
        </w:rPr>
        <w:t>Wendy Dixon, Ph.D. has served as a director of our Company since April 2023. Dr. Dixon has more than 40 years of biopharmaceutical industry experience in drug development with leadership roles in regulatory affairs and commercial capabilities. She currently serves on the board of directors of Arivinas, Inc. since June 2020, Black Diamond Therapeutics, Inc. since April 2022, and Iovance Biotherapeutics, Inc. since June 2022. Previously, Dr. Dixon has served on the boards of directors of Alkermes plc from January 2011 to May 2022, bluebird bio, Inc. from May 2013 to June 2021, Incyte from May 2010 to May 2022, Sesen Bio, Inc. (formerly Eleven Biotherapeutics, Inc.) from October 2014 to February 2020, Voyager Therapeutics, Inc. from January 2017 to January 2021, and was formerly on the boards of Ardea Biosciences from 2011 until 2012 when Ardea was acquired by AstraZeneca plc, Furiex Pharmaceuticals from 2010 until 2014 when Furiex was acquired by Actavis plc, Dentsply International from July 2005 to July 2010, and Orexigen Therapeutics, Inc. from April 2010 until January 2016. From December 2001 to May 2009, Dr. Dixon was chief marketing officer and president of global marketing at Bristol Myers Squibb, and served as a senior vice president of marketing at Merck from 1996 to 2001. Earlier in her career, she held executive management positions at West Pharmaceuticals, Osteotech and Centocor, as well as roles at SmithKline and French (now GlaxoSmithKline) in marketing, regulatory affairs, project management and as a biochemist. Dr. Dixon holds a Ph.D. in biochemistry and an M.Sc. and B.Sc. in Natural Science from the University of Cambridge.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Tamara A. Favorito</w:t>
      </w:r>
    </w:p>
    <w:p>
      <w:pPr>
        <w:spacing w:after="0" w:line="182"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Tamara A. Favorito has served as a director and chair of the audit committee of our Company since August 2021, and as our board chair since May 2023. Ms. Favorito has more than 30 years of life sciences industry experience including 20 years as a chief financial officer. She currently serves as a board member and audit committee chair of Artelo Biosciences, Inc. since March 2021 and Kintara Therapeutics, Inc. since April 2021, both publicly-traded clinical-development stage companies. Ms. Favorito served on the board of directors of Beacon Discovery, Inc. from 2018 until their acquisition in March 2021. Ms. Favorito was interim chief financial officer of Immunic, Inc., a publicly-traded clinical-stage drug development company in 2019. She served as chief financial officer of Signal Genetics, Inc. (now Viridian Therapeutics, Inc.), a publicly-traded molecular diagnostics company, from 2014 to 2017, HemaQuest Pharmaceuticals, Inc., a venture-backed clinical-stage drug development company, from 2010 to 2014 and Favrille, Inc. (now MMR Global, Inc.), a publicly-traded clinical-stage drug development company, from 2001 to 2009. Earlier in her career, she spent eight years in public accounting with Deloitte &amp; Touche LLP and PricewaterhouseCoopers LLP. Ms. Favorito is a certified public accountant (inactive). She received an MBA, emphasis in Finance, from Georgia State University, and a BBA, emphasis in Accounting, from Valdosta State University. Our Board believes that Ms. Favorito's deep experience in corporate management, finance and life science as chief financial officer of multiple public companies provides her with the qualifications and skills to serve as a director of our Company. Her extensive experience includes leading multiple private and public financings and M&amp;A transactions as well as leading the finance, investor relations, human resources, administration and managed care functions.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CLASS II DIRECTORS CONTINUING IN OFFICE UNTIL THE 2026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John B. Bode</w:t>
      </w:r>
    </w:p>
    <w:p>
      <w:pPr>
        <w:spacing w:after="0" w:line="182" w:lineRule="exact"/>
        <w:rPr>
          <w:sz w:val="20"/>
          <w:szCs w:val="20"/>
          <w:color w:val="auto"/>
        </w:rPr>
      </w:pPr>
    </w:p>
    <w:p>
      <w:pPr>
        <w:jc w:val="both"/>
        <w:ind w:firstLine="132"/>
        <w:spacing w:after="0" w:line="266" w:lineRule="auto"/>
        <w:rPr>
          <w:sz w:val="20"/>
          <w:szCs w:val="20"/>
          <w:color w:val="auto"/>
        </w:rPr>
      </w:pPr>
      <w:r>
        <w:rPr>
          <w:rFonts w:ascii="Times New Roman" w:cs="Times New Roman" w:eastAsia="Times New Roman" w:hAnsi="Times New Roman"/>
          <w:sz w:val="14"/>
          <w:szCs w:val="14"/>
          <w:color w:val="auto"/>
        </w:rPr>
        <w:t>John B. Bode has served as a director of our Company since April 2023, and as the chair of the nominating and corporate governance committee since May 2023. Since February 2015, Mr. Bode has been the owner and managing director of Aerie Investments, LLC, an investment company focused on assisting legacy media companies and digital media start-ups with business development, strategic initiatives, and raising capital. Mr. Bode currently serves as the chief financial officer and chief transformation officer of Postmedia Network Canada Corp., a publishing company whose shares are traded on the Toronto Stock Exchange. Since September 2022, he has served as the interim chief executive officer of Fision Holdings, Inc. and previously served as an independent member of its board of directors from March 2018 to September 2022. Mr. Bode’s past corporate experience includes many years serving as a key executive and/or financial officer for leading public companies Prior to the founding of Aerie Investments, LLC, Mr. Bode was the chief financial officer of the Tribune Publishing Company from October 2013 to January 2015. From January 2011 to September 2013, Mr. Bode served as the chief financial officer of Source Interlink Companies, one of the largest enthusiast media companies in the United States and a leading distributor of periodicals, after serving in other accounting and finance roles with Source Interlink since 2002. Mr. Bode currently serves as on the board of The McClatchy Company, a leading privately-held publisher of newspapers, as well as of SPAR Group, Inc., a leading global provider of merchandising, marketing and distribution services that is listed on the Nasdaq. He was previously employed as a certified public accountant for BDO Seidman. Mr. Bode received a BS in accounting from Notre Dame University.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Douglas W. Calder</w:t>
      </w:r>
    </w:p>
    <w:p>
      <w:pPr>
        <w:spacing w:after="0" w:line="182"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Douglas W. Calder has served as a director of our Company since April 2023. Since 2015, Mr. Calder has served as president and a director of Vycellix, Inc and its subsidiaries and affiliates. He has also served as a member of the board of directors for NextGenNK since June 2019; member of the board of directors of BioFlorida since January 2019, and a member of the Society for Natural Immunity since July 2018. Mr. Calder has more than 30 years of life science executive experience, having served in various senior executive roles for Florida-based biotechnology companies and research institutes including Viragen, Accentia Biopharmaceuticals, Biovest International and the Vaccine &amp; Gene Therapy Institute of Florida, as well as having formerly served as a registered financial portfolio manager with a focus on life science equities with the New York Stock Exchange member firms, Gruntal &amp; Co. and Dean Witter Reynolds. Mr. Calder received a BA from Florida State University.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Corey Watton</w:t>
      </w:r>
    </w:p>
    <w:p>
      <w:pPr>
        <w:spacing w:after="0" w:line="182" w:lineRule="exact"/>
        <w:rPr>
          <w:sz w:val="20"/>
          <w:szCs w:val="20"/>
          <w:color w:val="auto"/>
        </w:rPr>
      </w:pPr>
    </w:p>
    <w:p>
      <w:pPr>
        <w:jc w:val="both"/>
        <w:ind w:firstLine="132"/>
        <w:spacing w:after="0" w:line="272" w:lineRule="auto"/>
        <w:rPr>
          <w:sz w:val="20"/>
          <w:szCs w:val="20"/>
          <w:color w:val="auto"/>
        </w:rPr>
      </w:pPr>
      <w:r>
        <w:rPr>
          <w:rFonts w:ascii="Times New Roman" w:cs="Times New Roman" w:eastAsia="Times New Roman" w:hAnsi="Times New Roman"/>
          <w:sz w:val="14"/>
          <w:szCs w:val="14"/>
          <w:color w:val="auto"/>
        </w:rPr>
        <w:t>Corey Watton has served as a director of our Company since April 2023. Mr. Watton currently serves as president and chief executive officer of Fusion Medical Staffing, LLC, since September 2023. Prior to his CEO role, Mr. Watton served as chief financial officer from August 2019 until September 2023. In that role he oversaw finance, project management, operations, facilities and legal, and previously oversaw human resources as well. From April 2009 through July 2019, he served as the chief financial officer of Home Instead Senior Health Care, a global leader in in-home health care, where he oversaw finance, subsidiary companies and the financial arm of an international subsidiary. He previously was a partner of Lutz &amp; Company, a regional accounting firm from 1996 to 2009. Mr. Watton is a certified public accountant and received a BS in Finance and Accounting from University of Nebraska-Lincoln.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INFORMATION REGARDING THE BOARD OF DIRECTORS AND CORPORATE GOVERNANCE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As required under the Nasdaq Stock Market (“Nasdaq”) listing standards, a majority of the members of our Board must qualify as “independent,” as affirmatively determined by the Board. Our Board consults with our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49"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Consistent with these considerations, after review of all relevant identified transactions or relationships between each director, or any of his or her family members, and the Company, its senior management and its independent registered public accounting firm, the Board has affirmatively determined that the following seven directors are independent directors within the meaning of the applicable Nasdaq listing standards: Mr. Anderson, Mr. Bode, Mr. Calder, Dr. Dixon, Ms. Favorito, Dr. Shih and Mr. Watton.</w:t>
      </w:r>
    </w:p>
    <w:p>
      <w:pPr>
        <w:spacing w:after="0" w:line="149" w:lineRule="exact"/>
        <w:rPr>
          <w:sz w:val="20"/>
          <w:szCs w:val="20"/>
          <w:color w:val="auto"/>
        </w:rPr>
      </w:pPr>
    </w:p>
    <w:p>
      <w:pPr>
        <w:jc w:val="both"/>
        <w:ind w:firstLine="132"/>
        <w:spacing w:after="0" w:line="283" w:lineRule="auto"/>
        <w:rPr>
          <w:sz w:val="20"/>
          <w:szCs w:val="20"/>
          <w:color w:val="auto"/>
        </w:rPr>
      </w:pPr>
      <w:r>
        <w:rPr>
          <w:rFonts w:ascii="Times New Roman" w:cs="Times New Roman" w:eastAsia="Times New Roman" w:hAnsi="Times New Roman"/>
          <w:sz w:val="14"/>
          <w:szCs w:val="14"/>
          <w:color w:val="auto"/>
        </w:rPr>
        <w:t>In making this determination, the Board found that none of these directors had a material or other disqualifying relationship with us. The Board considered the current and prior relationships that each non-employee director has with us and all other facts and circumstances our Board deemed relevant in determining their independence, including the beneficial ownership of our capital stock by each non-employee director. Mr. McFarlane, our president and chief executive officer is not an independent director by virtue of his employment with the Company.</w:t>
      </w:r>
    </w:p>
    <w:p>
      <w:pPr>
        <w:spacing w:after="0" w:line="132"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In 2023, our Board had determined that Matthew R. Plooster, Christopher A. Posner, Joseph B. Saluri, and David S. Tierney, M.D. qualified as independent during the period they served on our Board in 2023 and until their respective departures, and that Richard W. Pascoe, our former chief executive officer, and Travis C. Mickle, Ph.D., our former president, were not independent directors in 2023 by virtue of their employment with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FAMILY RELATIONSHIPS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There are no family relationships among any of our directors or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LEADERSHIP STRUCTURE</w:t>
      </w:r>
    </w:p>
    <w:p>
      <w:pPr>
        <w:spacing w:after="0" w:line="180"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Based on the Company’s present circumstances, the Board believes that the Company and its stockholders are best served by having Ms. Favorito serve as its Board Chair and Mr. McFarlane serve as its President and Chief Executive Officer. Our current leadership structure permits Mr. McFarlane to focus his attention on managing our business and permits Ms. Favorito to manage the Board and oversee the Company’s strategy and corporate governance. We believe that this governance structure best reinforces the independence of the Board from management. In addition, we believe the Board Chair is well-positioned to act as a bridge between management and the independent directors, facilitating the regular flow of information. Among other duties, the Board Chair may represent the Board in communications with stockholders and other stakeholders and provide input on the structure and composition of the Board. Accordingly, we believe our current leadership structure is the optimal structure for us at this time.</w:t>
      </w:r>
    </w:p>
    <w:p>
      <w:pPr>
        <w:spacing w:after="0" w:line="158"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However, our Board of Directors will continue to periodically review our leadership structure and may make such changes in the future as it deems appropriate. During its routine review of the Board’s leadership structure, the Board and the Company regularly consider the circumstances under which the roles of Board Chair and Chief Executive Officer could most effectively serve the Company’s and its stockholders’ interests if combined. From time to time, the Company proactively engages with stockholders throughout the year to learn their perspectives on significant issues, and intends to continue to do so, including with respect to gathering stockholder perspectives on Board leadership structure. If, in the future, the Board Chair is a member of management or does not otherwise qualify as independent, the Board may in its discretion consider the appointment of a lead independent director. If appointed, the lead independent director’s responsibilities would include, but would not be limited to, presiding over all meetings of the Board of Directors at which the Board Chair is not present, including any executive sessions of the independent directors, approving the Board’s meeting schedules and agendas, and acting as liaison between the independent directors of the Board and the Chief Executive Officer and the Board Chair.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DIVERSITY MATRIX</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Board Diversity Matrix (As of 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64070" cy="130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1308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71"/>
        </w:trPr>
        <w:tc>
          <w:tcPr>
            <w:tcW w:w="4200" w:type="dxa"/>
            <w:vAlign w:val="bottom"/>
            <w:tcBorders>
              <w:top w:val="single" w:sz="8" w:color="auto"/>
              <w:left w:val="single" w:sz="8" w:color="auto"/>
              <w:bottom w:val="single" w:sz="8" w:color="auto"/>
            </w:tcBorders>
          </w:tcPr>
          <w:p>
            <w:pPr>
              <w:ind w:left="160"/>
              <w:spacing w:after="0" w:line="171" w:lineRule="exact"/>
              <w:rPr>
                <w:sz w:val="20"/>
                <w:szCs w:val="20"/>
                <w:color w:val="auto"/>
              </w:rPr>
            </w:pPr>
            <w:r>
              <w:rPr>
                <w:rFonts w:ascii="Times New Roman" w:cs="Times New Roman" w:eastAsia="Times New Roman" w:hAnsi="Times New Roman"/>
                <w:sz w:val="15"/>
                <w:szCs w:val="15"/>
                <w:color w:val="auto"/>
              </w:rPr>
              <w:t>Total Number of Directors</w:t>
            </w:r>
          </w:p>
        </w:tc>
        <w:tc>
          <w:tcPr>
            <w:tcW w:w="1680" w:type="dxa"/>
            <w:vAlign w:val="bottom"/>
            <w:tcBorders>
              <w:top w:val="single" w:sz="8" w:color="auto"/>
              <w:bottom w:val="single" w:sz="8" w:color="auto"/>
              <w:right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center"/>
              <w:ind w:right="987"/>
              <w:spacing w:after="0" w:line="171" w:lineRule="exact"/>
              <w:rPr>
                <w:sz w:val="20"/>
                <w:szCs w:val="20"/>
                <w:color w:val="auto"/>
              </w:rPr>
            </w:pPr>
            <w:r>
              <w:rPr>
                <w:rFonts w:ascii="Times New Roman" w:cs="Times New Roman" w:eastAsia="Times New Roman" w:hAnsi="Times New Roman"/>
                <w:sz w:val="15"/>
                <w:szCs w:val="15"/>
                <w:color w:val="auto"/>
              </w:rPr>
              <w:t>8</w:t>
            </w:r>
          </w:p>
        </w:tc>
        <w:tc>
          <w:tcPr>
            <w:tcW w:w="1340" w:type="dxa"/>
            <w:vAlign w:val="bottom"/>
            <w:tcBorders>
              <w:top w:val="single" w:sz="8" w:color="auto"/>
              <w:bottom w:val="single" w:sz="8" w:color="auto"/>
              <w:right w:val="single" w:sz="8" w:color="auto"/>
            </w:tcBorders>
          </w:tcPr>
          <w:p>
            <w:pPr>
              <w:spacing w:after="0"/>
              <w:rPr>
                <w:sz w:val="14"/>
                <w:szCs w:val="14"/>
                <w:color w:val="auto"/>
              </w:rPr>
            </w:pPr>
          </w:p>
        </w:tc>
      </w:tr>
      <w:tr>
        <w:trPr>
          <w:trHeight w:val="150"/>
        </w:trPr>
        <w:tc>
          <w:tcPr>
            <w:tcW w:w="4200" w:type="dxa"/>
            <w:vAlign w:val="bottom"/>
            <w:tcBorders>
              <w:left w:val="single" w:sz="8" w:color="auto"/>
            </w:tcBorders>
            <w:shd w:val="clear" w:color="auto" w:fill="CCEEFF"/>
          </w:tcPr>
          <w:p>
            <w:pPr>
              <w:spacing w:after="0"/>
              <w:rPr>
                <w:sz w:val="13"/>
                <w:szCs w:val="13"/>
                <w:color w:val="auto"/>
              </w:rPr>
            </w:pPr>
          </w:p>
        </w:tc>
        <w:tc>
          <w:tcPr>
            <w:tcW w:w="1680" w:type="dxa"/>
            <w:vAlign w:val="bottom"/>
            <w:tcBorders>
              <w:right w:val="single" w:sz="8" w:color="auto"/>
            </w:tcBorders>
            <w:shd w:val="clear" w:color="auto" w:fill="CCEEFF"/>
          </w:tcPr>
          <w:p>
            <w:pPr>
              <w:spacing w:after="0"/>
              <w:rPr>
                <w:sz w:val="13"/>
                <w:szCs w:val="13"/>
                <w:color w:val="auto"/>
              </w:rPr>
            </w:pPr>
          </w:p>
        </w:tc>
        <w:tc>
          <w:tcPr>
            <w:tcW w:w="1360" w:type="dxa"/>
            <w:vAlign w:val="bottom"/>
            <w:tcBorders>
              <w:right w:val="single" w:sz="8" w:color="auto"/>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tcBorders>
              <w:right w:val="single" w:sz="8" w:color="auto"/>
            </w:tcBorders>
            <w:shd w:val="clear" w:color="auto" w:fill="CCEEFF"/>
          </w:tcPr>
          <w:p>
            <w:pPr>
              <w:spacing w:after="0"/>
              <w:rPr>
                <w:sz w:val="13"/>
                <w:szCs w:val="13"/>
                <w:color w:val="auto"/>
              </w:rPr>
            </w:pPr>
          </w:p>
        </w:tc>
        <w:tc>
          <w:tcPr>
            <w:tcW w:w="1340" w:type="dxa"/>
            <w:vAlign w:val="bottom"/>
            <w:tcBorders>
              <w:right w:val="single" w:sz="8" w:color="auto"/>
            </w:tcBorders>
            <w:shd w:val="clear" w:color="auto" w:fill="CCEEFF"/>
          </w:tcPr>
          <w:p>
            <w:pPr>
              <w:spacing w:after="0"/>
              <w:rPr>
                <w:sz w:val="13"/>
                <w:szCs w:val="13"/>
                <w:color w:val="auto"/>
              </w:rPr>
            </w:pPr>
          </w:p>
        </w:tc>
        <w:tc>
          <w:tcPr>
            <w:tcW w:w="1340" w:type="dxa"/>
            <w:vAlign w:val="bottom"/>
            <w:tcBorders>
              <w:right w:val="single" w:sz="8" w:color="auto"/>
            </w:tcBorders>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w w:val="98"/>
              </w:rPr>
              <w:t>Did Not Disclose</w:t>
            </w:r>
          </w:p>
        </w:tc>
      </w:tr>
      <w:tr>
        <w:trPr>
          <w:trHeight w:val="192"/>
        </w:trPr>
        <w:tc>
          <w:tcPr>
            <w:tcW w:w="4200" w:type="dxa"/>
            <w:vAlign w:val="bottom"/>
            <w:tcBorders>
              <w:left w:val="single" w:sz="8" w:color="auto"/>
              <w:bottom w:val="single" w:sz="8" w:color="auto"/>
            </w:tcBorders>
            <w:shd w:val="clear" w:color="auto" w:fill="CCEEFF"/>
          </w:tcPr>
          <w:p>
            <w:pPr>
              <w:spacing w:after="0"/>
              <w:rPr>
                <w:sz w:val="16"/>
                <w:szCs w:val="16"/>
                <w:color w:val="auto"/>
              </w:rPr>
            </w:pPr>
          </w:p>
        </w:tc>
        <w:tc>
          <w:tcPr>
            <w:tcW w:w="168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b w:val="1"/>
                <w:bCs w:val="1"/>
                <w:color w:val="auto"/>
              </w:rPr>
              <w:t>Female</w:t>
            </w:r>
          </w:p>
        </w:tc>
        <w:tc>
          <w:tcPr>
            <w:tcW w:w="10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5"/>
                <w:szCs w:val="15"/>
                <w:b w:val="1"/>
                <w:bCs w:val="1"/>
                <w:color w:val="auto"/>
              </w:rPr>
              <w:t>Male</w:t>
            </w:r>
          </w:p>
        </w:tc>
        <w:tc>
          <w:tcPr>
            <w:tcW w:w="320" w:type="dxa"/>
            <w:vAlign w:val="bottom"/>
            <w:tcBorders>
              <w:bottom w:val="single" w:sz="8" w:color="auto"/>
              <w:right w:val="single" w:sz="8" w:color="auto"/>
            </w:tcBorders>
            <w:shd w:val="clear" w:color="auto" w:fill="CCEEFF"/>
          </w:tcPr>
          <w:p>
            <w:pPr>
              <w:spacing w:after="0"/>
              <w:rPr>
                <w:sz w:val="16"/>
                <w:szCs w:val="16"/>
                <w:color w:val="auto"/>
              </w:rPr>
            </w:pP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Non-Binary</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Gender</w:t>
            </w:r>
          </w:p>
        </w:tc>
      </w:tr>
      <w:tr>
        <w:trPr>
          <w:trHeight w:val="166"/>
        </w:trPr>
        <w:tc>
          <w:tcPr>
            <w:tcW w:w="4200" w:type="dxa"/>
            <w:vAlign w:val="bottom"/>
            <w:tcBorders>
              <w:left w:val="single" w:sz="8" w:color="auto"/>
            </w:tcBorders>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Part I: Gender Identity</w:t>
            </w:r>
          </w:p>
        </w:tc>
        <w:tc>
          <w:tcPr>
            <w:tcW w:w="16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r>
      <w:tr>
        <w:trPr>
          <w:trHeight w:val="175"/>
        </w:trPr>
        <w:tc>
          <w:tcPr>
            <w:tcW w:w="4200" w:type="dxa"/>
            <w:vAlign w:val="bottom"/>
            <w:tcBorders>
              <w:left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Directors</w:t>
            </w:r>
          </w:p>
        </w:tc>
        <w:tc>
          <w:tcPr>
            <w:tcW w:w="1680" w:type="dxa"/>
            <w:vAlign w:val="bottom"/>
            <w:tcBorders>
              <w:bottom w:val="single" w:sz="8" w:color="auto"/>
              <w:right w:val="single" w:sz="8" w:color="auto"/>
            </w:tcBorders>
            <w:shd w:val="clear" w:color="auto" w:fill="CCEEFF"/>
          </w:tcPr>
          <w:p>
            <w:pPr>
              <w:spacing w:after="0"/>
              <w:rPr>
                <w:sz w:val="15"/>
                <w:szCs w:val="15"/>
                <w:color w:val="auto"/>
              </w:rPr>
            </w:pP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2</w:t>
            </w:r>
          </w:p>
        </w:tc>
        <w:tc>
          <w:tcPr>
            <w:tcW w:w="1040" w:type="dxa"/>
            <w:vAlign w:val="bottom"/>
            <w:tcBorders>
              <w:bottom w:val="single" w:sz="8" w:color="auto"/>
            </w:tcBorders>
            <w:shd w:val="clear" w:color="auto" w:fill="CCEEFF"/>
          </w:tcPr>
          <w:p>
            <w:pPr>
              <w:jc w:val="center"/>
              <w:ind w:left="207"/>
              <w:spacing w:after="0"/>
              <w:rPr>
                <w:sz w:val="20"/>
                <w:szCs w:val="20"/>
                <w:color w:val="auto"/>
              </w:rPr>
            </w:pPr>
            <w:r>
              <w:rPr>
                <w:rFonts w:ascii="Times New Roman" w:cs="Times New Roman" w:eastAsia="Times New Roman" w:hAnsi="Times New Roman"/>
                <w:sz w:val="15"/>
                <w:szCs w:val="15"/>
                <w:color w:val="auto"/>
              </w:rPr>
              <w:t>6</w:t>
            </w:r>
          </w:p>
        </w:tc>
        <w:tc>
          <w:tcPr>
            <w:tcW w:w="320" w:type="dxa"/>
            <w:vAlign w:val="bottom"/>
            <w:tcBorders>
              <w:bottom w:val="single" w:sz="8" w:color="auto"/>
              <w:right w:val="single" w:sz="8" w:color="auto"/>
            </w:tcBorders>
            <w:shd w:val="clear" w:color="auto" w:fill="CCEEFF"/>
          </w:tcPr>
          <w:p>
            <w:pPr>
              <w:spacing w:after="0"/>
              <w:rPr>
                <w:sz w:val="15"/>
                <w:szCs w:val="15"/>
                <w:color w:val="auto"/>
              </w:rPr>
            </w:pP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166"/>
        </w:trPr>
        <w:tc>
          <w:tcPr>
            <w:tcW w:w="4200" w:type="dxa"/>
            <w:vAlign w:val="bottom"/>
            <w:tcBorders>
              <w:left w:val="single" w:sz="8" w:color="auto"/>
            </w:tcBorders>
          </w:tcPr>
          <w:p>
            <w:pPr>
              <w:ind w:left="160"/>
              <w:spacing w:after="0" w:line="167" w:lineRule="exact"/>
              <w:rPr>
                <w:sz w:val="20"/>
                <w:szCs w:val="20"/>
                <w:color w:val="auto"/>
              </w:rPr>
            </w:pPr>
            <w:r>
              <w:rPr>
                <w:rFonts w:ascii="Times New Roman" w:cs="Times New Roman" w:eastAsia="Times New Roman" w:hAnsi="Times New Roman"/>
                <w:sz w:val="15"/>
                <w:szCs w:val="15"/>
                <w:b w:val="1"/>
                <w:bCs w:val="1"/>
                <w:color w:val="auto"/>
              </w:rPr>
              <w:t>Part II: Demographic Background</w:t>
            </w:r>
          </w:p>
        </w:tc>
        <w:tc>
          <w:tcPr>
            <w:tcW w:w="16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r>
      <w:tr>
        <w:trPr>
          <w:trHeight w:val="175"/>
        </w:trPr>
        <w:tc>
          <w:tcPr>
            <w:tcW w:w="4200" w:type="dxa"/>
            <w:vAlign w:val="bottom"/>
            <w:tcBorders>
              <w:lef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African American or Black</w:t>
            </w:r>
          </w:p>
        </w:tc>
        <w:tc>
          <w:tcPr>
            <w:tcW w:w="168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40" w:type="dxa"/>
            <w:vAlign w:val="bottom"/>
            <w:shd w:val="clear" w:color="auto" w:fill="CCEEFF"/>
          </w:tcPr>
          <w:p>
            <w:pPr>
              <w:jc w:val="center"/>
              <w:ind w:left="207"/>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42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Alaskan Native or Native American</w:t>
            </w:r>
          </w:p>
        </w:tc>
        <w:tc>
          <w:tcPr>
            <w:tcW w:w="16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40" w:type="dxa"/>
            <w:vAlign w:val="bottom"/>
          </w:tcPr>
          <w:p>
            <w:pPr>
              <w:jc w:val="center"/>
              <w:ind w:left="227"/>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4200" w:type="dxa"/>
            <w:vAlign w:val="bottom"/>
            <w:tcBorders>
              <w:lef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Asian</w:t>
            </w:r>
          </w:p>
        </w:tc>
        <w:tc>
          <w:tcPr>
            <w:tcW w:w="168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40" w:type="dxa"/>
            <w:vAlign w:val="bottom"/>
            <w:shd w:val="clear" w:color="auto" w:fill="CCEEFF"/>
          </w:tcPr>
          <w:p>
            <w:pPr>
              <w:jc w:val="center"/>
              <w:ind w:left="207"/>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42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Hispanic or Latinx</w:t>
            </w:r>
          </w:p>
        </w:tc>
        <w:tc>
          <w:tcPr>
            <w:tcW w:w="16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40" w:type="dxa"/>
            <w:vAlign w:val="bottom"/>
          </w:tcPr>
          <w:p>
            <w:pPr>
              <w:jc w:val="center"/>
              <w:ind w:left="227"/>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4200" w:type="dxa"/>
            <w:vAlign w:val="bottom"/>
            <w:tcBorders>
              <w:lef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Native Hawaiian or Pacific Islander</w:t>
            </w:r>
          </w:p>
        </w:tc>
        <w:tc>
          <w:tcPr>
            <w:tcW w:w="168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40" w:type="dxa"/>
            <w:vAlign w:val="bottom"/>
            <w:shd w:val="clear" w:color="auto" w:fill="CCEEFF"/>
          </w:tcPr>
          <w:p>
            <w:pPr>
              <w:jc w:val="center"/>
              <w:ind w:left="227"/>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42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White</w:t>
            </w:r>
          </w:p>
        </w:tc>
        <w:tc>
          <w:tcPr>
            <w:tcW w:w="16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2</w:t>
            </w:r>
          </w:p>
        </w:tc>
        <w:tc>
          <w:tcPr>
            <w:tcW w:w="1040" w:type="dxa"/>
            <w:vAlign w:val="bottom"/>
          </w:tcPr>
          <w:p>
            <w:pPr>
              <w:jc w:val="center"/>
              <w:ind w:left="207"/>
              <w:spacing w:after="0"/>
              <w:rPr>
                <w:sz w:val="20"/>
                <w:szCs w:val="20"/>
                <w:color w:val="auto"/>
              </w:rPr>
            </w:pPr>
            <w:r>
              <w:rPr>
                <w:rFonts w:ascii="Times New Roman" w:cs="Times New Roman" w:eastAsia="Times New Roman" w:hAnsi="Times New Roman"/>
                <w:sz w:val="15"/>
                <w:szCs w:val="15"/>
                <w:color w:val="auto"/>
              </w:rPr>
              <w:t>4</w:t>
            </w:r>
          </w:p>
        </w:tc>
        <w:tc>
          <w:tcPr>
            <w:tcW w:w="3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4200" w:type="dxa"/>
            <w:vAlign w:val="bottom"/>
            <w:tcBorders>
              <w:left w:val="single" w:sz="8" w:color="auto"/>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Two or More Races or Ethnicities</w:t>
            </w:r>
          </w:p>
        </w:tc>
        <w:tc>
          <w:tcPr>
            <w:tcW w:w="168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40" w:type="dxa"/>
            <w:vAlign w:val="bottom"/>
            <w:tcBorders>
              <w:bottom w:val="single" w:sz="8" w:color="auto"/>
            </w:tcBorders>
            <w:shd w:val="clear" w:color="auto" w:fill="CCEEFF"/>
          </w:tcPr>
          <w:p>
            <w:pPr>
              <w:jc w:val="center"/>
              <w:ind w:left="227"/>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bottom w:val="single" w:sz="8" w:color="auto"/>
              <w:right w:val="single" w:sz="8" w:color="auto"/>
            </w:tcBorders>
            <w:shd w:val="clear" w:color="auto" w:fill="CCEEFF"/>
          </w:tcPr>
          <w:p>
            <w:pPr>
              <w:spacing w:after="0"/>
              <w:rPr>
                <w:sz w:val="15"/>
                <w:szCs w:val="15"/>
                <w:color w:val="auto"/>
              </w:rPr>
            </w:pP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166"/>
        </w:trPr>
        <w:tc>
          <w:tcPr>
            <w:tcW w:w="4200" w:type="dxa"/>
            <w:vAlign w:val="bottom"/>
            <w:tcBorders>
              <w:left w:val="single" w:sz="8" w:color="auto"/>
            </w:tcBorders>
          </w:tcPr>
          <w:p>
            <w:pPr>
              <w:ind w:left="260"/>
              <w:spacing w:after="0" w:line="167" w:lineRule="exact"/>
              <w:rPr>
                <w:sz w:val="20"/>
                <w:szCs w:val="20"/>
                <w:color w:val="auto"/>
              </w:rPr>
            </w:pPr>
            <w:r>
              <w:rPr>
                <w:rFonts w:ascii="Times New Roman" w:cs="Times New Roman" w:eastAsia="Times New Roman" w:hAnsi="Times New Roman"/>
                <w:sz w:val="15"/>
                <w:szCs w:val="15"/>
                <w:color w:val="auto"/>
              </w:rPr>
              <w:t>LGBTQ+</w:t>
            </w:r>
          </w:p>
        </w:tc>
        <w:tc>
          <w:tcPr>
            <w:tcW w:w="1680" w:type="dxa"/>
            <w:vAlign w:val="bottom"/>
            <w:tcBorders>
              <w:right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1007"/>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1340" w:type="dxa"/>
            <w:vAlign w:val="bottom"/>
            <w:tcBorders>
              <w:bottom w:val="single" w:sz="8" w:color="auto"/>
              <w:right w:val="single" w:sz="8" w:color="auto"/>
            </w:tcBorders>
          </w:tcPr>
          <w:p>
            <w:pPr>
              <w:spacing w:after="0"/>
              <w:rPr>
                <w:sz w:val="14"/>
                <w:szCs w:val="14"/>
                <w:color w:val="auto"/>
              </w:rPr>
            </w:pPr>
          </w:p>
        </w:tc>
      </w:tr>
      <w:tr>
        <w:trPr>
          <w:trHeight w:val="166"/>
        </w:trPr>
        <w:tc>
          <w:tcPr>
            <w:tcW w:w="4200" w:type="dxa"/>
            <w:vAlign w:val="bottom"/>
            <w:tcBorders>
              <w:left w:val="single" w:sz="8" w:color="auto"/>
              <w:bottom w:val="single" w:sz="8" w:color="auto"/>
            </w:tcBorders>
            <w:shd w:val="clear" w:color="auto" w:fill="CCEEFF"/>
          </w:tcPr>
          <w:p>
            <w:pPr>
              <w:ind w:left="260"/>
              <w:spacing w:after="0" w:line="167" w:lineRule="exact"/>
              <w:rPr>
                <w:sz w:val="20"/>
                <w:szCs w:val="20"/>
                <w:color w:val="auto"/>
              </w:rPr>
            </w:pPr>
            <w:r>
              <w:rPr>
                <w:rFonts w:ascii="Times New Roman" w:cs="Times New Roman" w:eastAsia="Times New Roman" w:hAnsi="Times New Roman"/>
                <w:sz w:val="15"/>
                <w:szCs w:val="15"/>
                <w:color w:val="auto"/>
              </w:rPr>
              <w:t>Did Not Disclose Demographic Background</w:t>
            </w:r>
          </w:p>
        </w:tc>
        <w:tc>
          <w:tcPr>
            <w:tcW w:w="1680" w:type="dxa"/>
            <w:vAlign w:val="bottom"/>
            <w:tcBorders>
              <w:bottom w:val="single" w:sz="8" w:color="auto"/>
              <w:right w:val="single" w:sz="8" w:color="auto"/>
            </w:tcBorders>
            <w:shd w:val="clear" w:color="auto" w:fill="CCEEFF"/>
          </w:tcPr>
          <w:p>
            <w:pPr>
              <w:spacing w:after="0"/>
              <w:rPr>
                <w:sz w:val="14"/>
                <w:szCs w:val="14"/>
                <w:color w:val="auto"/>
              </w:rPr>
            </w:pPr>
          </w:p>
        </w:tc>
        <w:tc>
          <w:tcPr>
            <w:tcW w:w="1360" w:type="dxa"/>
            <w:vAlign w:val="bottom"/>
            <w:tcBorders>
              <w:bottom w:val="single" w:sz="8" w:color="auto"/>
              <w:right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right w:val="single" w:sz="8" w:color="CCEEFF"/>
            </w:tcBorders>
            <w:gridSpan w:val="2"/>
            <w:shd w:val="clear" w:color="auto" w:fill="CCEEFF"/>
          </w:tcPr>
          <w:p>
            <w:pPr>
              <w:jc w:val="center"/>
              <w:ind w:right="1007"/>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134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342"/>
        </w:trPr>
        <w:tc>
          <w:tcPr>
            <w:tcW w:w="4200" w:type="dxa"/>
            <w:vAlign w:val="bottom"/>
          </w:tcPr>
          <w:p>
            <w:pPr>
              <w:spacing w:after="0"/>
              <w:rPr>
                <w:sz w:val="24"/>
                <w:szCs w:val="24"/>
                <w:color w:val="auto"/>
              </w:rPr>
            </w:pPr>
          </w:p>
        </w:tc>
        <w:tc>
          <w:tcPr>
            <w:tcW w:w="168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10</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9"/>
        </w:trPr>
        <w:tc>
          <w:tcPr>
            <w:tcW w:w="42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ROLE OF THE BOARD IN RISK OVERSIGHT</w:t>
      </w:r>
    </w:p>
    <w:p>
      <w:pPr>
        <w:spacing w:after="0" w:line="180" w:lineRule="exact"/>
        <w:rPr>
          <w:sz w:val="20"/>
          <w:szCs w:val="20"/>
          <w:color w:val="auto"/>
        </w:rPr>
      </w:pPr>
    </w:p>
    <w:p>
      <w:pPr>
        <w:jc w:val="both"/>
        <w:ind w:firstLine="132"/>
        <w:spacing w:after="0" w:line="245" w:lineRule="auto"/>
        <w:rPr>
          <w:sz w:val="20"/>
          <w:szCs w:val="20"/>
          <w:color w:val="auto"/>
        </w:rPr>
      </w:pPr>
      <w:r>
        <w:rPr>
          <w:rFonts w:ascii="Times New Roman" w:cs="Times New Roman" w:eastAsia="Times New Roman" w:hAnsi="Times New Roman"/>
          <w:sz w:val="15"/>
          <w:szCs w:val="15"/>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The Board and its committees re-assess the Company’s risk environment on an ongoing basis and consult with outside parties as needed from time to time in addressing both current and anticipated future risks. The Board elects to retain direct oversight responsibility for risks that are most effectively overseen by simultaneously leveraging broader areas of director expertise. Additionally, while the Board and its committees all review risks over the short-, intermediate-, and long-term, the Board more frequently elects to retain direct oversight over short-term or immediate risks.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Additionally, 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The Audit Committee also provides oversight and assistance in connection with our legal, regulatory and ethical compliance programs as established by management and the Board. The nominating and corporate governance committee of the Board (the “Nominating and Corporate Governance Committee”) oversees all aspects of our corporate governance functions and related risks. The compensation committee of the Board (the “Compensation Committee”) assesses and monitors whether any of our compensation policies and programs has the potential to encourage excessive risk-taking.</w:t>
      </w:r>
    </w:p>
    <w:p>
      <w:pPr>
        <w:spacing w:after="0" w:line="165" w:lineRule="exact"/>
        <w:rPr>
          <w:sz w:val="20"/>
          <w:szCs w:val="20"/>
          <w:color w:val="auto"/>
        </w:rPr>
      </w:pPr>
    </w:p>
    <w:p>
      <w:pPr>
        <w:jc w:val="both"/>
        <w:ind w:firstLine="132"/>
        <w:spacing w:after="0" w:line="272" w:lineRule="auto"/>
        <w:rPr>
          <w:sz w:val="20"/>
          <w:szCs w:val="20"/>
          <w:color w:val="auto"/>
        </w:rPr>
      </w:pPr>
      <w:r>
        <w:rPr>
          <w:rFonts w:ascii="Times New Roman" w:cs="Times New Roman" w:eastAsia="Times New Roman" w:hAnsi="Times New Roman"/>
          <w:sz w:val="14"/>
          <w:szCs w:val="14"/>
          <w:color w:val="auto"/>
        </w:rPr>
        <w:t>Management’s involvement in day-to-day risk management enables the Company’s disclosure committee, which consists of members of management, to assist our Chief Executive Officer and Chief Financial Officer in the effective design, establishment, maintenance, review, and evaluation of the Company’s disclosure controls and procedures. The Company’s management, led by our Chief Executive Officer and executive team, implements and supervises day-to-day risk management processes. Both the Board as a whole and the various standing committees receive periodic reports from our employees responsible for risk management, as well as incidental reports as matters may arise. It is the responsibility of the committee chairs to report findings regarding material risk exposures to the Board as quickly as possible. The Board does not believe that its role in the oversight of our risks affects the Board’s leadership structure.</w:t>
      </w:r>
    </w:p>
    <w:p>
      <w:pPr>
        <w:spacing w:after="0" w:line="139"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Board is also committed to prioritizing environmental, social, and governance (“ESG”) issues. Our Board works closely with our management team to promote awareness of ESG issues and to integrate ESG promotion into our long-term business strategy.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MEETINGS OF THE BOARD OF DIRECTORS</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Our Board met fifteen times during 2023. Each Board member attended 75% or more of the aggregate number of meetings of the Board and of the committees on which he or she served during the portion of 2023 for which he or she was a director or committee member.</w:t>
      </w:r>
    </w:p>
    <w:p>
      <w:pPr>
        <w:spacing w:after="0" w:line="141"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As required under the applicable Nasdaq listing standards, in the fiscal year ending December 31, 2023, our independent directors met seven times in regularly scheduled executive sessions at which only our independent directors were present.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Information Regarding Committees of the Board of Directors</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Board has three committees: the Audit Committee, the Compensation Committee and the Nominating and Corporate Governance Committee. The following table provides current membership for each of the Board committees and the 2023 meeting information for each of the Board committees.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Nominating and Corporate</w:t>
            </w:r>
          </w:p>
        </w:tc>
        <w:tc>
          <w:tcPr>
            <w:tcW w:w="0" w:type="dxa"/>
            <w:vAlign w:val="bottom"/>
          </w:tcPr>
          <w:p>
            <w:pPr>
              <w:spacing w:after="0"/>
              <w:rPr>
                <w:sz w:val="1"/>
                <w:szCs w:val="1"/>
                <w:color w:val="auto"/>
              </w:rPr>
            </w:pPr>
          </w:p>
        </w:tc>
      </w:tr>
      <w:tr>
        <w:trPr>
          <w:trHeight w:val="192"/>
        </w:trPr>
        <w:tc>
          <w:tcPr>
            <w:tcW w:w="55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Audit</w:t>
            </w: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Compensation</w:t>
            </w: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Governance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5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Thomas D. Anderson</w:t>
            </w:r>
          </w:p>
        </w:tc>
        <w:tc>
          <w:tcPr>
            <w:tcW w:w="120" w:type="dxa"/>
            <w:vAlign w:val="bottom"/>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X*</w:t>
            </w:r>
          </w:p>
        </w:tc>
        <w:tc>
          <w:tcPr>
            <w:tcW w:w="100" w:type="dxa"/>
            <w:vAlign w:val="bottom"/>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John B. Bode</w:t>
            </w:r>
          </w:p>
        </w:tc>
        <w:tc>
          <w:tcPr>
            <w:tcW w:w="12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87"/>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Douglas W. Calder</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Wendy Dixon, Ph.D.</w:t>
            </w:r>
          </w:p>
        </w:tc>
        <w:tc>
          <w:tcPr>
            <w:tcW w:w="12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Tamara A. Favorito</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X*</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Neil F. McFarlane</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Alvin Shih, M.D.</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Corey Watton</w:t>
            </w:r>
          </w:p>
        </w:tc>
        <w:tc>
          <w:tcPr>
            <w:tcW w:w="12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12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meetings in 2023</w:t>
            </w:r>
          </w:p>
        </w:tc>
        <w:tc>
          <w:tcPr>
            <w:tcW w:w="192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rPr>
              <w:t>5</w:t>
            </w:r>
          </w:p>
        </w:tc>
        <w:tc>
          <w:tcPr>
            <w:tcW w:w="192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rPr>
              <w:t>4</w:t>
            </w:r>
          </w:p>
        </w:tc>
        <w:tc>
          <w:tcPr>
            <w:tcW w:w="1900" w:type="dxa"/>
            <w:vAlign w:val="bottom"/>
            <w:gridSpan w:val="2"/>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Committee Chair</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Below is a description of each committee of the Board.</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920" w:type="dxa"/>
            <w:vAlign w:val="bottom"/>
            <w:gridSpan w:val="2"/>
          </w:tcPr>
          <w:p>
            <w:pPr>
              <w:jc w:val="right"/>
              <w:ind w:right="1667"/>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 Committee</w:t>
      </w:r>
    </w:p>
    <w:p>
      <w:pPr>
        <w:spacing w:after="0" w:line="180"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The Audit Committee reviews our internal accounting procedures and consults with and reviews the services provided by our independent registered public accounting firm. Our Audit Committee consists of four directors, John B. Bode, Wendy Dixon, Ph.D., Tamara A. Favorito, and Corey Watton. Our Board has determined that each of Mr. Bode, Dr. Dixon, Ms. Favorito, and Mr. Watton are independent directors under Nasdaq listing rules and under Rule 10A-3 under the Exchange Act. Ms. Favorito is the chair of the Audit Committee. Our Board has determined that both Ms. Favorito is considered to be an “audit committee financial expert” as defined by SEC rules and regulations and based on a qualitative assessment of her level of financial expertise, knowledge and experience based on a number of factors including her previous business experience as described above under the sections titled “Class I Directors Continuing in Office Until the 2025 Annual Meeting,” and "Class II Directors Continuing in Office until the 2026 Annual Meeting,” respectively.</w:t>
      </w:r>
    </w:p>
    <w:p>
      <w:pPr>
        <w:spacing w:after="0" w:line="158"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David S. Tierney, M.D. served on the Audit Committee until January 2023 and Christopher A. Posner served on the Audit Committee until April 2023. In 2023, our Board had determined each of Dr. Tierney and Mr. Posner were independent directors under Nasdaq listing rules and under Rule 10A-3 under the Exchange Act during the period for which they served on the Audit Committee.</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principal duties and responsibilities of the Audit Committee include:</w:t>
      </w:r>
    </w:p>
    <w:p>
      <w:pPr>
        <w:spacing w:after="0" w:line="178" w:lineRule="exact"/>
        <w:rPr>
          <w:sz w:val="20"/>
          <w:szCs w:val="20"/>
          <w:color w:val="auto"/>
        </w:rPr>
      </w:pPr>
    </w:p>
    <w:p>
      <w:pPr>
        <w:ind w:left="280" w:right="20" w:hanging="141"/>
        <w:spacing w:after="0" w:line="268" w:lineRule="auto"/>
        <w:tabs>
          <w:tab w:leader="none" w:pos="2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appointing and retaining an independent registered public accounting firm to audit our financial statements, assessing its independence from the Company, overseeing the independent registered public accounting firm’s work and determining the independent registered public accounting firm’s compensation;</w:t>
      </w:r>
    </w:p>
    <w:p>
      <w:pPr>
        <w:spacing w:after="0" w:line="140"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in advance all audit services and non-audit services to be provided to us by our independent registered public accounting firm;</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Setting hiring policies for the employees or former employees of our independent registered public accounting firm;</w:t>
      </w:r>
    </w:p>
    <w:p>
      <w:pPr>
        <w:spacing w:after="0" w:line="199"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procedures for the receipt, retention and treatment of complaints received by us regarding accounting, internal accounting controls, auditing or compliance matters, as well as for the confidential, anonymous submission by our employees of concerns regarding questionable accounting or auditing matters;</w:t>
      </w:r>
    </w:p>
    <w:p>
      <w:pPr>
        <w:spacing w:after="0" w:line="140"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our independent registered public accounting firm the results of the annual audit, the independent registered public accounting firm’s review of our quarterly financial statements, and our earnings press releases;</w:t>
      </w:r>
    </w:p>
    <w:p>
      <w:pPr>
        <w:spacing w:after="0" w:line="140"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conferring with management and our independent registered public accounting firm about the scope, adequacy and effectiveness of our internal accounting control and our financial reporting.</w:t>
      </w:r>
    </w:p>
    <w:p>
      <w:pPr>
        <w:spacing w:after="0" w:line="140"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related person transactions;</w:t>
      </w:r>
    </w:p>
    <w:p>
      <w:pPr>
        <w:spacing w:after="0" w:line="199"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results of management’s efforts to monitor compliance with our programs and policies designed to ensure adherence to applicable laws and rules, as well as to our Code of Conduct; and</w:t>
      </w:r>
    </w:p>
    <w:p>
      <w:pPr>
        <w:spacing w:after="0" w:line="140" w:lineRule="exact"/>
        <w:rPr>
          <w:rFonts w:ascii="Times New Roman" w:cs="Times New Roman" w:eastAsia="Times New Roman" w:hAnsi="Times New Roman"/>
          <w:sz w:val="15"/>
          <w:szCs w:val="15"/>
          <w:color w:val="auto"/>
        </w:rPr>
      </w:pPr>
    </w:p>
    <w:p>
      <w:pPr>
        <w:jc w:val="both"/>
        <w:ind w:left="280" w:hanging="141"/>
        <w:spacing w:after="0" w:line="256" w:lineRule="auto"/>
        <w:tabs>
          <w:tab w:leader="none" w:pos="2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our independent registered public accounting firm, as appropriate, our guidelines and policies with respect to risk assessment and risk management, including relating to our accounting matters, financial reporting, legal and regulatory compliance, and information technology, including cybersecurity and data privacy, and the steps taken by management to monitor and control such exposures.</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 xml:space="preserve">The Audit Committee met five times during the last fiscal year. Our Board has adopted a written audit committee charter that is available to our stockholders at </w:t>
      </w:r>
      <w:r>
        <w:rPr>
          <w:rFonts w:ascii="Times New Roman" w:cs="Times New Roman" w:eastAsia="Times New Roman" w:hAnsi="Times New Roman"/>
          <w:sz w:val="15"/>
          <w:szCs w:val="15"/>
          <w:u w:val="single" w:color="auto"/>
          <w:color w:val="auto"/>
        </w:rPr>
        <w:t>www.zevra.com</w:t>
      </w:r>
      <w:r>
        <w:rPr>
          <w:rFonts w:ascii="Times New Roman" w:cs="Times New Roman" w:eastAsia="Times New Roman" w:hAnsi="Times New Roman"/>
          <w:sz w:val="15"/>
          <w:szCs w:val="15"/>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Report of the Audit Committee of the Board of Directors (1)</w:t>
      </w:r>
    </w:p>
    <w:p>
      <w:pPr>
        <w:spacing w:after="0" w:line="180"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 xml:space="preserve">The Audit Committee has reviewed and discussed the audited financial statements for the fiscal year ended December 31, 2023, with our management. The Audit Committee has discussed with the independent registered public accounting firm the matters required to be discussed by Auditing Standard No. 1301, </w:t>
      </w:r>
      <w:r>
        <w:rPr>
          <w:rFonts w:ascii="Times New Roman" w:cs="Times New Roman" w:eastAsia="Times New Roman" w:hAnsi="Times New Roman"/>
          <w:sz w:val="15"/>
          <w:szCs w:val="15"/>
          <w:i w:val="1"/>
          <w:iCs w:val="1"/>
          <w:color w:val="auto"/>
        </w:rPr>
        <w:t>Communications with Audit Committees,</w:t>
      </w:r>
      <w:r>
        <w:rPr>
          <w:rFonts w:ascii="Times New Roman" w:cs="Times New Roman" w:eastAsia="Times New Roman" w:hAnsi="Times New Roman"/>
          <w:sz w:val="15"/>
          <w:szCs w:val="15"/>
          <w:color w:val="auto"/>
        </w:rPr>
        <w:t xml:space="preserve"> as adopted by the Public Company Accounting Oversight Board (“PCAOB”).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has recommended to our Board that the audited financial statements be included in the Company’s Annual Report on Form 10-K for the fiscal year ended December 31, 2023.</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Tamara A. Favorito (Chair)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John B. Bode</w:t>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Wendy Dixon, Ph.D.</w:t>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Corey Watton</w:t>
      </w:r>
    </w:p>
    <w:p>
      <w:pPr>
        <w:spacing w:after="0" w:line="163" w:lineRule="exact"/>
        <w:rPr>
          <w:sz w:val="20"/>
          <w:szCs w:val="20"/>
          <w:color w:val="auto"/>
        </w:rPr>
      </w:pPr>
    </w:p>
    <w:p>
      <w:pPr>
        <w:jc w:val="both"/>
        <w:ind w:left="180" w:hanging="174"/>
        <w:spacing w:after="0" w:line="256" w:lineRule="auto"/>
        <w:rPr>
          <w:sz w:val="20"/>
          <w:szCs w:val="20"/>
          <w:color w:val="auto"/>
        </w:rPr>
      </w:pPr>
      <w:r>
        <w:rPr>
          <w:rFonts w:ascii="Times New Roman" w:cs="Times New Roman" w:eastAsia="Times New Roman" w:hAnsi="Times New Roman"/>
          <w:sz w:val="15"/>
          <w:szCs w:val="15"/>
          <w:color w:val="auto"/>
        </w:rPr>
        <w:t>(1)The material in this report is not “soliciting material,” is not deemed “filed” with the Commission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Compensation Committee</w:t>
      </w:r>
    </w:p>
    <w:p>
      <w:pPr>
        <w:spacing w:after="0" w:line="180" w:lineRule="exact"/>
        <w:rPr>
          <w:sz w:val="20"/>
          <w:szCs w:val="20"/>
          <w:color w:val="auto"/>
        </w:rPr>
      </w:pPr>
    </w:p>
    <w:p>
      <w:pPr>
        <w:jc w:val="both"/>
        <w:ind w:firstLine="132"/>
        <w:spacing w:after="0" w:line="275" w:lineRule="auto"/>
        <w:rPr>
          <w:sz w:val="20"/>
          <w:szCs w:val="20"/>
          <w:color w:val="auto"/>
        </w:rPr>
      </w:pPr>
      <w:r>
        <w:rPr>
          <w:rFonts w:ascii="Times New Roman" w:cs="Times New Roman" w:eastAsia="Times New Roman" w:hAnsi="Times New Roman"/>
          <w:sz w:val="14"/>
          <w:szCs w:val="14"/>
          <w:color w:val="auto"/>
        </w:rPr>
        <w:t>The Compensation Committee is composed of four directors, Thomas D. Anderson, Douglas W. Calder, Alvin Shih, M.D., and Corey Watton. All members of our Compensation Committee are independent under the Nasdaq listing rules, including with respect to service on a compensation committee, and each is a non-employee member of our Board as defined in Rule 16b-3 under the Exchange Act. Mr. Anderson is the chair of the Compensation Committee. Our Board has determined that the composition of the Compensation Committee satisfies the applicable independence requirements under, and the functioning of our Compensation Committee, complies with the applicable requirements of the Nasdaq listing rules and SEC rules and regulations.</w:t>
      </w:r>
    </w:p>
    <w:p>
      <w:pPr>
        <w:spacing w:after="0" w:line="139"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Joseph B. Saluri served on the Compensation Committee until January 2023, David S. Tierney, M.D. served on the Compensation Committee until April 2023, and Matthew Plooster served on the Compensation Committee until August 2023. In 2023, our Board had determined each Mr. Saluri, Dr. Tierney, and Mr. Plooster were independent under the Nasdaq listing rules, including with respect to service on a compensation committee, and each was a non-employee member of our Board as defined in Rule 16b-3 under the Exchange Act, during the period for which they served on the Compensation Committee.</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principal duties and responsibilities of the Compensation Committee include:</w:t>
      </w:r>
    </w:p>
    <w:p>
      <w:pPr>
        <w:spacing w:after="0" w:line="178" w:lineRule="exact"/>
        <w:rPr>
          <w:sz w:val="20"/>
          <w:szCs w:val="20"/>
          <w:color w:val="auto"/>
        </w:rPr>
      </w:pPr>
    </w:p>
    <w:p>
      <w:pPr>
        <w:jc w:val="both"/>
        <w:ind w:left="280" w:hanging="141"/>
        <w:spacing w:after="0" w:line="256" w:lineRule="auto"/>
        <w:tabs>
          <w:tab w:leader="none" w:pos="2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our overall compensation strategy and policies, establishing and approving, or, if it deems appropriate, recommending to the Board, performance goals and objectives relevant to the compensation of our chief executive officer, evaluating the performance of our chief executive officer in light of those goals and objectives and setting, or recommending to the full Board for approval, the compensation of our chief executive officer, including incentive-based and equity-based compensation, based on that evaluation;</w:t>
      </w:r>
    </w:p>
    <w:p>
      <w:pPr>
        <w:spacing w:after="0" w:line="14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setting, or recommending to the full Board for approval, the compensation of our other executive officers;</w:t>
      </w:r>
    </w:p>
    <w:p>
      <w:pPr>
        <w:spacing w:after="0" w:line="199"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exercising administrative authority under our stock plans, as well as stock appreciation rights plans, pension and profit-sharing plans, incentive plans, stock bonus plans, stock purchase plans, bonus plans, deferred compensation plans, or any other similar programs which may be adopted from time to time;</w:t>
      </w:r>
    </w:p>
    <w:p>
      <w:pPr>
        <w:spacing w:after="0" w:line="140"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setting, or recommending to the full Board for approval, the type and amount of compensation to be paid to our directors;</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 the appointment, compensation and oversight of any compensation consultant retained by the Compensation Committee;</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the compensation discussion and analysis that we may be required from time to time to include in SEC filings; and</w:t>
      </w:r>
    </w:p>
    <w:p>
      <w:pPr>
        <w:spacing w:after="0" w:line="199"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preparing a compensation committee report on executive compensation as may be required from time to time to be included in our annual proxy statements or annual reports on Form 10-K filed with the SEC.</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 xml:space="preserve">The Compensation Committee met four times during 2023. Our Board has adopted a written compensation committee charter that is available to our stockholders at </w:t>
      </w:r>
      <w:r>
        <w:rPr>
          <w:rFonts w:ascii="Times New Roman" w:cs="Times New Roman" w:eastAsia="Times New Roman" w:hAnsi="Times New Roman"/>
          <w:sz w:val="15"/>
          <w:szCs w:val="15"/>
          <w:u w:val="single" w:color="auto"/>
          <w:color w:val="auto"/>
        </w:rPr>
        <w:t>www.zevra.com</w:t>
      </w:r>
      <w:r>
        <w:rPr>
          <w:rFonts w:ascii="Times New Roman" w:cs="Times New Roman" w:eastAsia="Times New Roman" w:hAnsi="Times New Roman"/>
          <w:sz w:val="15"/>
          <w:szCs w:val="15"/>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Compensation Committee Processes and Procedures</w:t>
      </w:r>
    </w:p>
    <w:p>
      <w:pPr>
        <w:spacing w:after="0" w:line="180" w:lineRule="exact"/>
        <w:rPr>
          <w:sz w:val="20"/>
          <w:szCs w:val="20"/>
          <w:color w:val="auto"/>
        </w:rPr>
      </w:pPr>
    </w:p>
    <w:p>
      <w:pPr>
        <w:jc w:val="both"/>
        <w:ind w:firstLine="132"/>
        <w:spacing w:after="0" w:line="265" w:lineRule="auto"/>
        <w:rPr>
          <w:sz w:val="20"/>
          <w:szCs w:val="20"/>
          <w:color w:val="auto"/>
        </w:rPr>
      </w:pPr>
      <w:r>
        <w:rPr>
          <w:rFonts w:ascii="Times New Roman" w:cs="Times New Roman" w:eastAsia="Times New Roman" w:hAnsi="Times New Roman"/>
          <w:sz w:val="14"/>
          <w:szCs w:val="14"/>
          <w:color w:val="auto"/>
        </w:rPr>
        <w:t>Typically, the Compensation Committee meets three times per year, but may meet with greater or lesser frequency, as deemed necessary by the Compensation Committee. The agenda for each meeting is usually developed by the chair of the Compensation Committee, in consultation with our chief executive officer. The Compensation Committee meets regularly in executive sessions.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Compensation Committee’s charter, the Compensation Committee has the authority to obtain, at the expense of the Company, advice and assistance from internal and external legal, accounting or other advisors and other external resources that the Compensation Committee considers necessary or appropriate in the performance of its duties. The Compensation Committee has direct responsibility for the oversight of the work of any advisers engaged for the purpose of advising the Compensation Committee. In particular, the Compensation Committee has the authority to retain compensation consultants to assist in its evaluation of executive and director compensation, including the authority to approve the consultant’s reasonable fees and other retention terms. Under the Compensation Committee’s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In 2023, the Compensation Committee engaged Mercer (US) LLC ("Mercer") as a compensation consultant, who provided reports and recommendations for the Compensation Committee’s consideration when making compensation decisions for our non-employee directors and executive officers in 2023. The Compensation Committee has considered the adviser independence factors required under SEC and Nasdaq rules as they relate to Mercer and has determined that Mercer’s work does not raise a conflict of interest.</w:t>
      </w:r>
    </w:p>
    <w:p>
      <w:pPr>
        <w:spacing w:after="0" w:line="149"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4"/>
          <w:szCs w:val="14"/>
          <w:color w:val="auto"/>
        </w:rPr>
        <w:t>Under its charter, the Compensation Committee may form, and delegate authority to, subcommittees as appropriate. In 2015, the Compensation Committee formed a single-person non-officer stock award committee, currently composed of our chief executive officer, to which it delegated authority to grant, without any further action required by the Compensation Committee, stock awards to employees who are not officers of the Company, provided that such grants are made in accordance with guidelines established by the Compensation Committee. The purpose of this delegation of authority is to enhance the flexibility of our stock award administration and to facilitate the timely grant of stock awards to non-management employees, particularly new employees, within specified limits approved by the Compensation Committee. In particular, the single-person non-officer stock award committee may not grant stock awards to acquire more than 150% of the annual grant amount based on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percentile of the annual long-term incentive amount by position based on the data provided by Mercer, and all grants made by this committee must be made to persons below the level of senior vice president, and are subject to vesting periods approved by the Compensation Committee. As part of the Compensation Committee’s oversight function, the minutes of each meeting and copies of each action by unanimous written consent of the single-member committee are to be sent to the members of the Compensation Committee. In 2023, the single-member committee exercised its authority to grant options to purchase an aggregate of 478,650 shares to new-hired non-officer employees.</w:t>
      </w:r>
    </w:p>
    <w:p>
      <w:pPr>
        <w:spacing w:after="0" w:line="162"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The Compensation Committee endeavors to make significant adjustments to annual compensation, determine bonus and equity awards and establish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it by the chief executive officer and executive chairman. In the case of the chief executive officer and executive chairman, the evaluation of their performance is conducted by the Compensation Committee, which determines any adjustments to their compensation as well as awards to be granted. For all executive officers,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stock ownership information, company stock performance data, analyses of historical executive compensation levels and current Company-wide compensation levels and recommendations of the Compensation Committee’s compensation consultant, including analyses of executive compensation paid at other companies identified by the consultant.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Nominating and Corporate Governance Committee</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Nominating and Corporate Governance Committee is composed of three directors, Thomas D. Anderson, John B. Bode, and Alvin Shih, M.D. Mr. Bode is the chair of the Nominating and Corporate Governance Committee. All members of the Nominating and Corporate Governance Committee are independent under the Nasdaq listing standards.</w:t>
      </w:r>
    </w:p>
    <w:p>
      <w:pPr>
        <w:spacing w:after="0" w:line="141"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Joseph B. Saluri served on the Nominating Committee until October 2023, Matthew Plooster served on the Nominating Committee until August 2023, and David S. Tierney, M.D., served on the Nominating Committee until April 2023. In 2023, our Board had determined each Mr. Saluri, Mr. Plooster, and Dr. Tierney were independent under the Nasdaq listing standards during the period for which they served on the Nominating Committee.</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principal duties and responsibilities of the Nominating and Corporate Governance Committee include:</w:t>
      </w:r>
    </w:p>
    <w:p>
      <w:pPr>
        <w:spacing w:after="0" w:line="178" w:lineRule="exact"/>
        <w:rPr>
          <w:sz w:val="20"/>
          <w:szCs w:val="20"/>
          <w:color w:val="auto"/>
        </w:rPr>
      </w:pPr>
    </w:p>
    <w:p>
      <w:pPr>
        <w:ind w:left="280" w:hanging="141"/>
        <w:spacing w:after="0"/>
        <w:tabs>
          <w:tab w:leader="none" w:pos="2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reviewing and evaluating candidates to serve as our directors (consistent with criteria approved by the Board);</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evaluating incumbent directors and the performance of the full Board and Board committees;</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the Board candidates for election to the Board;</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recommendations to the Board regarding the membership of the committees of the Board;</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and reviewing the processes and procedures used to provide information to the Board and its committees;</w:t>
      </w:r>
    </w:p>
    <w:p>
      <w:pPr>
        <w:spacing w:after="0" w:line="199"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with the Chief Executive Officer the plans for succession to the offices of Chief Executive Officer and other key executive officers and making recommendations to the Board with respect to succession planning;</w:t>
      </w:r>
    </w:p>
    <w:p>
      <w:pPr>
        <w:spacing w:after="0" w:line="140"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Company policy statements to determine their adherence to our Code of Conduct and considering any request by our directors or executive officers for a waiver from the Code of Conduct; and</w:t>
      </w:r>
    </w:p>
    <w:p>
      <w:pPr>
        <w:spacing w:after="0" w:line="140" w:lineRule="exact"/>
        <w:rPr>
          <w:rFonts w:ascii="Times New Roman" w:cs="Times New Roman" w:eastAsia="Times New Roman" w:hAnsi="Times New Roman"/>
          <w:sz w:val="15"/>
          <w:szCs w:val="15"/>
          <w:color w:val="auto"/>
        </w:rPr>
      </w:pPr>
    </w:p>
    <w:p>
      <w:pPr>
        <w:ind w:left="280" w:hanging="141"/>
        <w:spacing w:after="0" w:line="268" w:lineRule="auto"/>
        <w:tabs>
          <w:tab w:leader="none" w:pos="2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and reviewing the Company’s corporate governance functions on behalf of the Board, including reviewing and assessing the adequacy of our Amended and Restated Certificate of Incorporation, Amended and Restated Bylaws and Board committee charters.</w:t>
      </w:r>
    </w:p>
    <w:p>
      <w:pPr>
        <w:spacing w:after="0" w:line="141"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 xml:space="preserve">The Nominating and Corporate Governance Committee met two times during 2023. The Board has adopted a written Nominating and Corporate Governance Committee charter that is available to our stockholders at </w:t>
      </w:r>
      <w:r>
        <w:rPr>
          <w:rFonts w:ascii="Times New Roman" w:cs="Times New Roman" w:eastAsia="Times New Roman" w:hAnsi="Times New Roman"/>
          <w:sz w:val="15"/>
          <w:szCs w:val="15"/>
          <w:u w:val="single" w:color="auto"/>
          <w:color w:val="auto"/>
        </w:rPr>
        <w:t>www.zevra.com</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Nominating and Corporate Governance Committee appreciates the value of thoughtfully refreshing the Board over time, and regularly identifies and considers qualities, skills and other director attributes that would enhance the composition of the Board. The Committee continuously evaluates the need for greater diversity in the composition of the Board in light of its view that new and varied perspectives can provide a valuable benefit.</w:t>
      </w:r>
    </w:p>
    <w:p>
      <w:pPr>
        <w:spacing w:after="0" w:line="149" w:lineRule="exact"/>
        <w:rPr>
          <w:sz w:val="20"/>
          <w:szCs w:val="20"/>
          <w:color w:val="auto"/>
        </w:rPr>
      </w:pPr>
    </w:p>
    <w:p>
      <w:pPr>
        <w:jc w:val="both"/>
        <w:ind w:firstLine="132"/>
        <w:spacing w:after="0" w:line="245" w:lineRule="auto"/>
        <w:rPr>
          <w:sz w:val="20"/>
          <w:szCs w:val="20"/>
          <w:color w:val="auto"/>
        </w:rPr>
      </w:pPr>
      <w:r>
        <w:rPr>
          <w:rFonts w:ascii="Times New Roman" w:cs="Times New Roman" w:eastAsia="Times New Roman" w:hAnsi="Times New Roman"/>
          <w:sz w:val="15"/>
          <w:szCs w:val="15"/>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integrity, experience, ability to exercise sound business judgment, commitment, independence for purposes of the Nasdaq listing standards, skills, diversity, expertise appropriate for the Company, and having the commitment to rigorously represent the long-term interests of the Company’s stockholders. However, the Nominating and Corporate Governance Committee retains the right to modify these qualifications from time to time and within the context of the current needs of the Board and the Company with the goal to maintain a balance of knowledge, experience and capability in various areas germane to the business.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both"/>
        <w:ind w:firstLine="132"/>
        <w:spacing w:after="0" w:line="266" w:lineRule="auto"/>
        <w:rPr>
          <w:sz w:val="20"/>
          <w:szCs w:val="20"/>
          <w:color w:val="auto"/>
        </w:rPr>
      </w:pPr>
      <w:r>
        <w:rPr>
          <w:rFonts w:ascii="Times New Roman" w:cs="Times New Roman" w:eastAsia="Times New Roman" w:hAnsi="Times New Roman"/>
          <w:sz w:val="14"/>
          <w:szCs w:val="14"/>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c/o Zevra Therapeutics, Inc., 1180 Celebration Blvd. Suite 103, Celebration, FL 34747, Attn: Corporate Secretary, at least 90 days, but not more than 120 days, prior to the anniversary date of the preceding year’s annual meeting of stockholders. Submissions must include the full name age, business address and residence address of the proposed nominee, a description of the proposed nominee’s business experience for at least the previous five years, complete biographical information for the proposed nominee, a description of the proposed nominee’s qualifications as a director, the name and address of the stockholder on whose behalf the submission is made and the number and class of the Company’s shares that are beneficially owned by such stockholder and such nominee as of the date of submission, including the date that such shares were acquired by such nominee. Any such submission must be accompanied by the written consent of the proposed nominee to be named as a nominee and to serve as a director if elected.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STOCKHOLDER COMMUNICATIONS WITH THE BOARD OF DIRECTORS</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Board has adopted a formal process by which stockholders may communicate with the Board or any of its directors. Stockholders who wish to communicate with the Board may do so by sending written communications addressed to Zevra Therapeutics, Inc., 1180 Celebration Boulevard, Suite 103, Celebration, FL 34747, Attn: Corporate Secretary. Each communication must set forth:</w:t>
      </w:r>
    </w:p>
    <w:p>
      <w:pPr>
        <w:spacing w:after="0" w:line="149" w:lineRule="exact"/>
        <w:rPr>
          <w:sz w:val="20"/>
          <w:szCs w:val="20"/>
          <w:color w:val="auto"/>
        </w:rPr>
      </w:pPr>
    </w:p>
    <w:p>
      <w:pPr>
        <w:ind w:left="280" w:hanging="141"/>
        <w:spacing w:after="0"/>
        <w:tabs>
          <w:tab w:leader="none" w:pos="2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and address of the stockholder on whose behalf the communication is sent; and</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class of shares of the Company that are owned beneficially by such stockholder as of the date of the communication.</w:t>
      </w:r>
    </w:p>
    <w:p>
      <w:pPr>
        <w:spacing w:after="0" w:line="20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Corporate Secretary will review each communication. The Corporate Secretary will forward such communication to the Board or to any individual director to whom the communication is addressed unless the communication contains advertisements or solicitations or is unduly hostile, threatening or similarly inappropriate, in which case the Corporate Secretary shall discard the communication. These screening procedures have been approved by a majority of the independent directors.</w:t>
      </w:r>
    </w:p>
    <w:p>
      <w:pPr>
        <w:spacing w:after="0" w:line="149"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All communications directed to the Audit Committee in accordance with our open-door policy for reporting complaints regarding accounting and auditing matters that relate to questionable accounting or auditing matters involving the Company will be promptly and directly forwarded to the chair of the Audit Committee.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CODE OF ETHICS</w:t>
      </w:r>
    </w:p>
    <w:p>
      <w:pPr>
        <w:spacing w:after="0" w:line="180"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 xml:space="preserve">We have adopted the Zevra Therapeutics, Inc. Code of Business Conduct and Ethics (the “Code of Conduct”), that applies to all officers, directors and employees, including our principal executive officer, principal financial officer, principal accounting officer or controller, or persons performing similar functions. The Code of Conduct is available on our website at </w:t>
      </w:r>
      <w:r>
        <w:rPr>
          <w:rFonts w:ascii="Times New Roman" w:cs="Times New Roman" w:eastAsia="Times New Roman" w:hAnsi="Times New Roman"/>
          <w:sz w:val="15"/>
          <w:szCs w:val="15"/>
          <w:u w:val="single" w:color="auto"/>
          <w:color w:val="auto"/>
        </w:rPr>
        <w:t>www.zevra.com</w:t>
      </w:r>
      <w:r>
        <w:rPr>
          <w:rFonts w:ascii="Times New Roman" w:cs="Times New Roman" w:eastAsia="Times New Roman" w:hAnsi="Times New Roman"/>
          <w:sz w:val="15"/>
          <w:szCs w:val="15"/>
          <w:color w:val="auto"/>
        </w:rPr>
        <w:t>. If we make any substantive amendments to the Code of Conduct or grant any waiver from a provision of the Code of Conduct to any executive officer or director, we will promptly disclose the nature of the amendment or waiver on our website.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POLICY ON HEDGING AND SPECULATIVE TRADING</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Our insider trading and window period policy prohibits our employees and directors from engaging in short sales, transactions in put or call options, hedging transactions, margin accounts or other inherently speculative transactions with respect to our stock at any time.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PROPOSAL 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RATIFICATION OF APPOINTMENT OF INDEPENDENT REGISTERED PUBLIC ACCOUNTING FIRM</w:t>
      </w:r>
    </w:p>
    <w:p>
      <w:pPr>
        <w:spacing w:after="0" w:line="180"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The Audit Committee has selected EY as the Company’s independent registered public accounting firm for the fiscal year ending December 31, 2024, and has further recommended that the Board submit the appointment of its independent registered public accounting firm for ratification by the stockholders at the Annual Meeting. EY has audited the Company’s financial statements since 2022. Representatives of EY are expected to be present at the Annual Meeting. They will have an opportunity to make a statement if they so desire and will be available to respond to appropriate questions.</w:t>
      </w:r>
    </w:p>
    <w:p>
      <w:pPr>
        <w:spacing w:after="0" w:line="152"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Neither the Company’s Amended and Restated Bylaws nor other governing documents or law require stockholder ratification of the appointment of EY as the Company’s independent registered public accounting firm. However, the audit committee is submitting the appointment of EY to the stockholders for ratification as a matter of good corporate practice. If the stockholders fail to ratify the appointment, the Audit Committee will reconsider whether or not to retain EY. Even if the appointment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EY has served as the Company’s independent registered public accounting firm since June 14,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PRINCIPAL ACCOUNTANT FEES AND SERVICES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following table represents aggregate fees billed to the Company for the fiscal years ended December 31, 2023, and December 31, 2022, by EY, the Company’s principal accountant.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Fiscal Year Ended (1)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6"/>
        </w:trPr>
        <w:tc>
          <w:tcPr>
            <w:tcW w:w="8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7"/>
              <w:spacing w:after="0" w:line="167" w:lineRule="exact"/>
              <w:rPr>
                <w:sz w:val="20"/>
                <w:szCs w:val="20"/>
                <w:color w:val="auto"/>
              </w:rPr>
            </w:pPr>
            <w:r>
              <w:rPr>
                <w:rFonts w:ascii="Times New Roman" w:cs="Times New Roman" w:eastAsia="Times New Roman" w:hAnsi="Times New Roman"/>
                <w:sz w:val="15"/>
                <w:szCs w:val="15"/>
                <w:b w:val="1"/>
                <w:bCs w:val="1"/>
                <w:color w:val="auto"/>
                <w:w w:val="93"/>
              </w:rPr>
              <w:t>2022</w:t>
            </w:r>
          </w:p>
        </w:tc>
        <w:tc>
          <w:tcPr>
            <w:tcW w:w="100" w:type="dxa"/>
            <w:vAlign w:val="bottom"/>
          </w:tcPr>
          <w:p>
            <w:pPr>
              <w:spacing w:after="0"/>
              <w:rPr>
                <w:sz w:val="14"/>
                <w:szCs w:val="14"/>
                <w:color w:val="auto"/>
              </w:rPr>
            </w:pPr>
          </w:p>
        </w:tc>
      </w:tr>
      <w:tr>
        <w:trPr>
          <w:trHeight w:val="166"/>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120"/>
              <w:spacing w:after="0" w:line="167" w:lineRule="exact"/>
              <w:rPr>
                <w:sz w:val="20"/>
                <w:szCs w:val="20"/>
                <w:color w:val="auto"/>
              </w:rPr>
            </w:pPr>
            <w:r>
              <w:rPr>
                <w:rFonts w:ascii="Times New Roman" w:cs="Times New Roman" w:eastAsia="Times New Roman" w:hAnsi="Times New Roman"/>
                <w:sz w:val="15"/>
                <w:szCs w:val="15"/>
                <w:b w:val="1"/>
                <w:bCs w:val="1"/>
                <w:color w:val="auto"/>
              </w:rPr>
              <w:t>(in</w:t>
            </w:r>
          </w:p>
        </w:tc>
        <w:tc>
          <w:tcPr>
            <w:tcW w:w="780" w:type="dxa"/>
            <w:vAlign w:val="bottom"/>
            <w:gridSpan w:val="2"/>
          </w:tcPr>
          <w:p>
            <w:pPr>
              <w:jc w:val="right"/>
              <w:ind w:right="240"/>
              <w:spacing w:after="0" w:line="167" w:lineRule="exact"/>
              <w:rPr>
                <w:sz w:val="20"/>
                <w:szCs w:val="20"/>
                <w:color w:val="auto"/>
              </w:rPr>
            </w:pPr>
            <w:r>
              <w:rPr>
                <w:rFonts w:ascii="Times New Roman" w:cs="Times New Roman" w:eastAsia="Times New Roman" w:hAnsi="Times New Roman"/>
                <w:sz w:val="15"/>
                <w:szCs w:val="15"/>
                <w:b w:val="1"/>
                <w:bCs w:val="1"/>
                <w:color w:val="auto"/>
                <w:w w:val="74"/>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Audit Fees (2)</w:t>
            </w: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center"/>
              <w:ind w:left="187"/>
              <w:spacing w:after="0"/>
              <w:rPr>
                <w:sz w:val="20"/>
                <w:szCs w:val="20"/>
                <w:color w:val="auto"/>
              </w:rPr>
            </w:pPr>
            <w:r>
              <w:rPr>
                <w:rFonts w:ascii="Times New Roman" w:cs="Times New Roman" w:eastAsia="Times New Roman" w:hAnsi="Times New Roman"/>
                <w:sz w:val="15"/>
                <w:szCs w:val="15"/>
                <w:color w:val="auto"/>
                <w:w w:val="97"/>
              </w:rPr>
              <w:t>960</w:t>
            </w: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center"/>
              <w:ind w:right="407"/>
              <w:spacing w:after="0"/>
              <w:rPr>
                <w:sz w:val="20"/>
                <w:szCs w:val="20"/>
                <w:color w:val="auto"/>
              </w:rPr>
            </w:pPr>
            <w:r>
              <w:rPr>
                <w:rFonts w:ascii="Times New Roman" w:cs="Times New Roman" w:eastAsia="Times New Roman" w:hAnsi="Times New Roman"/>
                <w:sz w:val="15"/>
                <w:szCs w:val="15"/>
                <w:color w:val="auto"/>
                <w:w w:val="97"/>
              </w:rPr>
              <w:t>630</w:t>
            </w:r>
          </w:p>
        </w:tc>
        <w:tc>
          <w:tcPr>
            <w:tcW w:w="100" w:type="dxa"/>
            <w:vAlign w:val="bottom"/>
            <w:shd w:val="clear" w:color="auto" w:fill="CCEEFF"/>
          </w:tcPr>
          <w:p>
            <w:pPr>
              <w:spacing w:after="0"/>
              <w:rPr>
                <w:sz w:val="15"/>
                <w:szCs w:val="15"/>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Audit-related Fees (3)</w:t>
            </w:r>
          </w:p>
        </w:tc>
        <w:tc>
          <w:tcPr>
            <w:tcW w:w="340" w:type="dxa"/>
            <w:vAlign w:val="bottom"/>
          </w:tcPr>
          <w:p>
            <w:pPr>
              <w:spacing w:after="0"/>
              <w:rPr>
                <w:sz w:val="15"/>
                <w:szCs w:val="15"/>
                <w:color w:val="auto"/>
              </w:rPr>
            </w:pPr>
          </w:p>
        </w:tc>
        <w:tc>
          <w:tcPr>
            <w:tcW w:w="680" w:type="dxa"/>
            <w:vAlign w:val="bottom"/>
          </w:tcPr>
          <w:p>
            <w:pPr>
              <w:jc w:val="center"/>
              <w:ind w:left="167"/>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jc w:val="center"/>
              <w:ind w:right="560"/>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Fees (4)</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167"/>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All Other Fees (5)</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left="167"/>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8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r>
      <w:tr>
        <w:trPr>
          <w:trHeight w:val="166"/>
        </w:trPr>
        <w:tc>
          <w:tcPr>
            <w:tcW w:w="8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Fees</w:t>
            </w:r>
          </w:p>
        </w:tc>
        <w:tc>
          <w:tcPr>
            <w:tcW w:w="340" w:type="dxa"/>
            <w:vAlign w:val="bottom"/>
            <w:shd w:val="clear" w:color="auto" w:fill="CCEEFF"/>
          </w:tcPr>
          <w:p>
            <w:pPr>
              <w:jc w:val="right"/>
              <w:ind w:right="187"/>
              <w:spacing w:after="0" w:line="167"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shd w:val="clear" w:color="auto" w:fill="CCEEFF"/>
          </w:tcPr>
          <w:p>
            <w:pPr>
              <w:jc w:val="center"/>
              <w:ind w:left="187"/>
              <w:spacing w:after="0" w:line="167" w:lineRule="exact"/>
              <w:rPr>
                <w:sz w:val="20"/>
                <w:szCs w:val="20"/>
                <w:color w:val="auto"/>
              </w:rPr>
            </w:pPr>
            <w:r>
              <w:rPr>
                <w:rFonts w:ascii="Times New Roman" w:cs="Times New Roman" w:eastAsia="Times New Roman" w:hAnsi="Times New Roman"/>
                <w:sz w:val="15"/>
                <w:szCs w:val="15"/>
                <w:b w:val="1"/>
                <w:bCs w:val="1"/>
                <w:color w:val="auto"/>
                <w:w w:val="97"/>
              </w:rPr>
              <w:t>960</w:t>
            </w:r>
          </w:p>
        </w:tc>
        <w:tc>
          <w:tcPr>
            <w:tcW w:w="1240" w:type="dxa"/>
            <w:vAlign w:val="bottom"/>
            <w:gridSpan w:val="3"/>
            <w:shd w:val="clear" w:color="auto" w:fill="CCEEFF"/>
          </w:tcPr>
          <w:p>
            <w:pPr>
              <w:jc w:val="right"/>
              <w:ind w:right="50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CCEEFF"/>
          </w:tcPr>
          <w:p>
            <w:pPr>
              <w:jc w:val="center"/>
              <w:ind w:right="407"/>
              <w:spacing w:after="0" w:line="167" w:lineRule="exact"/>
              <w:rPr>
                <w:sz w:val="20"/>
                <w:szCs w:val="20"/>
                <w:color w:val="auto"/>
              </w:rPr>
            </w:pPr>
            <w:r>
              <w:rPr>
                <w:rFonts w:ascii="Times New Roman" w:cs="Times New Roman" w:eastAsia="Times New Roman" w:hAnsi="Times New Roman"/>
                <w:sz w:val="15"/>
                <w:szCs w:val="15"/>
                <w:b w:val="1"/>
                <w:bCs w:val="1"/>
                <w:color w:val="auto"/>
                <w:w w:val="97"/>
              </w:rPr>
              <w:t>630</w:t>
            </w:r>
          </w:p>
        </w:tc>
        <w:tc>
          <w:tcPr>
            <w:tcW w:w="100" w:type="dxa"/>
            <w:vAlign w:val="bottom"/>
            <w:shd w:val="clear" w:color="auto" w:fill="CCEEFF"/>
          </w:tcPr>
          <w:p>
            <w:pPr>
              <w:spacing w:after="0"/>
              <w:rPr>
                <w:sz w:val="14"/>
                <w:szCs w:val="14"/>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(1)All fees described in this table and corresponding footnotes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58355" cy="111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111125"/>
                    </a:xfrm>
                    <a:prstGeom prst="rect">
                      <a:avLst/>
                    </a:prstGeom>
                    <a:noFill/>
                  </pic:spPr>
                </pic:pic>
              </a:graphicData>
            </a:graphic>
          </wp:anchor>
        </w:drawing>
      </w:r>
    </w:p>
    <w:p>
      <w:pPr>
        <w:jc w:val="both"/>
        <w:ind w:left="180" w:hanging="174"/>
        <w:spacing w:after="0" w:line="243" w:lineRule="auto"/>
        <w:rPr>
          <w:sz w:val="20"/>
          <w:szCs w:val="20"/>
          <w:color w:val="auto"/>
        </w:rPr>
      </w:pPr>
      <w:r>
        <w:rPr>
          <w:rFonts w:ascii="Times New Roman" w:cs="Times New Roman" w:eastAsia="Times New Roman" w:hAnsi="Times New Roman"/>
          <w:sz w:val="15"/>
          <w:szCs w:val="15"/>
          <w:color w:val="auto"/>
        </w:rPr>
        <w:t>(2)Audit Fees are fees for the annual audit and quarterly reviews of the Company's financial statements, audits required by public company regulation, professional consultations with respect to accounting issues, registration statement filings and issuance of consents and similar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58355"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222885"/>
                    </a:xfrm>
                    <a:prstGeom prst="rect">
                      <a:avLst/>
                    </a:prstGeom>
                    <a:noFill/>
                  </pic:spPr>
                </pic:pic>
              </a:graphicData>
            </a:graphic>
          </wp:anchor>
        </w:drawing>
      </w:r>
    </w:p>
    <w:p>
      <w:pPr>
        <w:jc w:val="both"/>
        <w:ind w:left="180" w:hanging="174"/>
        <w:spacing w:after="0" w:line="243" w:lineRule="auto"/>
        <w:rPr>
          <w:sz w:val="20"/>
          <w:szCs w:val="20"/>
          <w:color w:val="auto"/>
        </w:rPr>
      </w:pPr>
      <w:r>
        <w:rPr>
          <w:rFonts w:ascii="Times New Roman" w:cs="Times New Roman" w:eastAsia="Times New Roman" w:hAnsi="Times New Roman"/>
          <w:sz w:val="15"/>
          <w:szCs w:val="15"/>
          <w:color w:val="auto"/>
        </w:rPr>
        <w:t>(3)Audit-related Fees are fees for assurance and related services that are reasonably related to the performance of the audit or review of our financial statements and are not reported under “Audit Fees.” No Audit-related Fees were billed in fiscal year 2023 or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(4)Tax Fees are fees for tax compliance, planning and preparation. No Tax Fees were billed in fiscal year 2023 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58355" cy="111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1111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(5)All Other Fees are fees for products and services other than the services described above. No Other Fees were billed in fiscal year 2023 or 2022.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PRE-APPROVAL POLICIES AND PROCEDURES</w:t>
      </w:r>
    </w:p>
    <w:p>
      <w:pPr>
        <w:spacing w:after="0" w:line="180"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The Audit Committee has adopted a policy and procedures for the pre-approval of audit and non-audit services rendered by the Company’s independent registered public accounting firm. The policy generally pre-approves specified services in the defined categories of audit services, audit-related services, tax services and other permissible non-audit services, so long as such non-audit services will not impair the independent registered public accounting firm’s independence and are consistent with applicable rules and regulations,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58"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Audit Committee has determined that the rendering of services other than audit services by EY was compatible with maintaining the independent registered public accounting firm’s independence.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Vote Required</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affirmative vote of the majority of shares present or represented by proxy at the meeting and entitled to vote is required to ratify the appointment of EY.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BOARD OF DIRECTORS RECOMMENDS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 VOTE IN FAVOR OF PROPOSAL 2</w:t>
      </w:r>
      <w:r>
        <w:rPr>
          <w:rFonts w:ascii="Times New Roman" w:cs="Times New Roman" w:eastAsia="Times New Roman" w:hAnsi="Times New Roman"/>
          <w:sz w:val="15"/>
          <w:szCs w:val="15"/>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PROPOSAL 3</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NON-BINDING ADVISORY VOTE ON EXECUTIVE COMPENSATION</w:t>
      </w:r>
    </w:p>
    <w:p>
      <w:pPr>
        <w:spacing w:after="0" w:line="180" w:lineRule="exact"/>
        <w:rPr>
          <w:sz w:val="20"/>
          <w:szCs w:val="20"/>
          <w:color w:val="auto"/>
        </w:rPr>
      </w:pPr>
    </w:p>
    <w:p>
      <w:pPr>
        <w:jc w:val="both"/>
        <w:ind w:firstLine="263"/>
        <w:spacing w:after="0" w:line="256" w:lineRule="auto"/>
        <w:rPr>
          <w:sz w:val="20"/>
          <w:szCs w:val="20"/>
          <w:color w:val="auto"/>
        </w:rPr>
      </w:pPr>
      <w:r>
        <w:rPr>
          <w:rFonts w:ascii="Times New Roman" w:cs="Times New Roman" w:eastAsia="Times New Roman" w:hAnsi="Times New Roman"/>
          <w:sz w:val="15"/>
          <w:szCs w:val="15"/>
          <w:color w:val="auto"/>
        </w:rPr>
        <w:t>Under the Dodd-Frank Wall Street Reform and Consumer Protection Act, or the Dodd-Frank Act, and Section 14A of the Exchange Act, the Company’s stockholders are entitled to vote to approve, on an advisory and non-binding basis, the compensation of the Company’s named executive officers as disclosed in this proxy statement in accordance with SEC rules. This advisory and non-binding vote is commonly referred to as a “say-on-pay” vote.</w:t>
      </w:r>
    </w:p>
    <w:p>
      <w:pPr>
        <w:spacing w:after="0" w:line="149" w:lineRule="exact"/>
        <w:rPr>
          <w:sz w:val="20"/>
          <w:szCs w:val="20"/>
          <w:color w:val="auto"/>
        </w:rPr>
      </w:pPr>
    </w:p>
    <w:p>
      <w:pPr>
        <w:jc w:val="both"/>
        <w:ind w:firstLine="263"/>
        <w:spacing w:after="0" w:line="247" w:lineRule="auto"/>
        <w:rPr>
          <w:sz w:val="20"/>
          <w:szCs w:val="20"/>
          <w:color w:val="auto"/>
        </w:rPr>
      </w:pPr>
      <w:r>
        <w:rPr>
          <w:rFonts w:ascii="Times New Roman" w:cs="Times New Roman" w:eastAsia="Times New Roman" w:hAnsi="Times New Roman"/>
          <w:sz w:val="15"/>
          <w:szCs w:val="15"/>
          <w:color w:val="auto"/>
        </w:rPr>
        <w:t>This say-on-pay vote is not intended to address any specific item of compensation, but rather the overall compensation of the Company’s named executive officers and the policies and practices described in this proxy statement. The compensation of the Company’s named executive officers subject to the say-on-pay vote is disclosed in the compensation tables and the related narrative disclosures that accompany the compensation tables contained in the “Executive Compensation” section of this proxy statement. As described in those disclosures, the Company generally seeks to target its executive compensation to be at or near the median of the compensation paid to similarly situated executive officers of companies in our peer group for the applicable year. Compensation of the Company’s named executive officers is designed to enable the Company to attract, retain and motivate talented and experienced executives to lead the Company successfully in a competitive environment; to provide incentives that reward the achievement of performance goals that directly correlate to the enhancement of stockholder value; and to align the named executive officers’ interests with those of stockholders through long-term incentives linked to company performance.</w:t>
      </w:r>
    </w:p>
    <w:p>
      <w:pPr>
        <w:spacing w:after="0" w:line="160" w:lineRule="exact"/>
        <w:rPr>
          <w:sz w:val="20"/>
          <w:szCs w:val="20"/>
          <w:color w:val="auto"/>
        </w:rPr>
      </w:pPr>
    </w:p>
    <w:p>
      <w:pPr>
        <w:jc w:val="both"/>
        <w:ind w:firstLine="263"/>
        <w:spacing w:after="0" w:line="268" w:lineRule="auto"/>
        <w:rPr>
          <w:sz w:val="20"/>
          <w:szCs w:val="20"/>
          <w:color w:val="auto"/>
        </w:rPr>
      </w:pPr>
      <w:r>
        <w:rPr>
          <w:rFonts w:ascii="Times New Roman" w:cs="Times New Roman" w:eastAsia="Times New Roman" w:hAnsi="Times New Roman"/>
          <w:sz w:val="15"/>
          <w:szCs w:val="15"/>
          <w:color w:val="auto"/>
        </w:rPr>
        <w:t>Accordingly, the Board is asking the stockholders to indicate their support for the compensation of the Company’s named executive officers as described in this proxy statement by casting a non-binding advisory vote “FOR” the following resolution:</w:t>
      </w:r>
    </w:p>
    <w:p>
      <w:pPr>
        <w:spacing w:after="0" w:line="141" w:lineRule="exact"/>
        <w:rPr>
          <w:sz w:val="20"/>
          <w:szCs w:val="20"/>
          <w:color w:val="auto"/>
        </w:rPr>
      </w:pPr>
    </w:p>
    <w:p>
      <w:pPr>
        <w:jc w:val="both"/>
        <w:ind w:firstLine="263"/>
        <w:spacing w:after="0" w:line="268" w:lineRule="auto"/>
        <w:rPr>
          <w:sz w:val="20"/>
          <w:szCs w:val="20"/>
          <w:color w:val="auto"/>
        </w:rPr>
      </w:pPr>
      <w:r>
        <w:rPr>
          <w:rFonts w:ascii="Times New Roman" w:cs="Times New Roman" w:eastAsia="Times New Roman" w:hAnsi="Times New Roman"/>
          <w:sz w:val="15"/>
          <w:szCs w:val="15"/>
          <w:color w:val="auto"/>
        </w:rPr>
        <w:t>“RESOLVED, that the compensation paid to the Company’s named executive officers, as disclosed pursuant to the compensation disclosure rules of the Securities and Exchange Commission, including the compensation tables and any related material disclosed in this proxy statement, is hereby APPROVED.”</w:t>
      </w:r>
    </w:p>
    <w:p>
      <w:pPr>
        <w:spacing w:after="0" w:line="141" w:lineRule="exact"/>
        <w:rPr>
          <w:sz w:val="20"/>
          <w:szCs w:val="20"/>
          <w:color w:val="auto"/>
        </w:rPr>
      </w:pPr>
    </w:p>
    <w:p>
      <w:pPr>
        <w:jc w:val="both"/>
        <w:ind w:firstLine="263"/>
        <w:spacing w:after="0" w:line="256" w:lineRule="auto"/>
        <w:rPr>
          <w:sz w:val="20"/>
          <w:szCs w:val="20"/>
          <w:color w:val="auto"/>
        </w:rPr>
      </w:pPr>
      <w:r>
        <w:rPr>
          <w:rFonts w:ascii="Times New Roman" w:cs="Times New Roman" w:eastAsia="Times New Roman" w:hAnsi="Times New Roman"/>
          <w:sz w:val="15"/>
          <w:szCs w:val="15"/>
          <w:color w:val="auto"/>
        </w:rPr>
        <w:t>Because the say-on-pay vote is advisory, it is not binding on the Board or the Company. Nevertheless, the views expressed by the stockholders, whether through this say-on-pay vote or otherwise, are important to management and the Board and, accordingly, the Board and the Compensation Committee intend to consider the results of this say-on-pay vote in making determinations in the future regarding executive compensation arrangements.</w:t>
      </w:r>
    </w:p>
    <w:p>
      <w:pPr>
        <w:spacing w:after="0" w:line="149" w:lineRule="exact"/>
        <w:rPr>
          <w:sz w:val="20"/>
          <w:szCs w:val="20"/>
          <w:color w:val="auto"/>
        </w:rPr>
      </w:pPr>
    </w:p>
    <w:p>
      <w:pPr>
        <w:jc w:val="both"/>
        <w:ind w:firstLine="263"/>
        <w:spacing w:after="0" w:line="268" w:lineRule="auto"/>
        <w:rPr>
          <w:sz w:val="20"/>
          <w:szCs w:val="20"/>
          <w:color w:val="auto"/>
        </w:rPr>
      </w:pPr>
      <w:r>
        <w:rPr>
          <w:rFonts w:ascii="Times New Roman" w:cs="Times New Roman" w:eastAsia="Times New Roman" w:hAnsi="Times New Roman"/>
          <w:sz w:val="15"/>
          <w:szCs w:val="15"/>
          <w:color w:val="auto"/>
        </w:rPr>
        <w:t>Unless the Board decides to modify its policy regarding the frequency of soliciting say-on-pay votes, the next scheduled say-on-pay vote will be at the 2027 Annual Meeting of Stockholders.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Vote Required</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affirmative vote of the majority of shares present or represented by proxy at the meeting and entitled to vote is required to approve, on an advisory and non-binding basis, the compensation of the Company’s named executive officers.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BOARD OF DIRECTORS RECOMMENDS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 VOTE IN FAVOR OF PROPOSAL 3</w:t>
      </w:r>
      <w:r>
        <w:rPr>
          <w:rFonts w:ascii="Times New Roman" w:cs="Times New Roman" w:eastAsia="Times New Roman" w:hAnsi="Times New Roman"/>
          <w:sz w:val="15"/>
          <w:szCs w:val="15"/>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PROPOSAL 4</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APPROVAL OF AMENDED AND RESTATED 2014 EQUITY INCENTIVE PLAN</w:t>
      </w:r>
    </w:p>
    <w:p>
      <w:pPr>
        <w:spacing w:after="0" w:line="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PROPOSAL 4</w:t>
      </w:r>
    </w:p>
    <w:p>
      <w:pPr>
        <w:spacing w:after="0" w:line="163" w:lineRule="exact"/>
        <w:rPr>
          <w:sz w:val="20"/>
          <w:szCs w:val="20"/>
          <w:color w:val="auto"/>
        </w:rPr>
      </w:pPr>
    </w:p>
    <w:p>
      <w:pPr>
        <w:ind w:left="20" w:firstLine="263"/>
        <w:spacing w:after="0" w:line="268" w:lineRule="auto"/>
        <w:rPr>
          <w:sz w:val="20"/>
          <w:szCs w:val="20"/>
          <w:color w:val="auto"/>
        </w:rPr>
      </w:pPr>
      <w:r>
        <w:rPr>
          <w:rFonts w:ascii="Times New Roman" w:cs="Times New Roman" w:eastAsia="Times New Roman" w:hAnsi="Times New Roman"/>
          <w:sz w:val="15"/>
          <w:szCs w:val="15"/>
          <w:color w:val="auto"/>
        </w:rPr>
        <w:t>Our 2014 Equity Incentive Plan originally became effective on April 1, 2015, in connection with our initial public offering and was subsequently amended and restated in 2021 upon the approval of the Board and stockholders (as it was amended and restated, the “</w:t>
      </w:r>
      <w:r>
        <w:rPr>
          <w:rFonts w:ascii="Times New Roman" w:cs="Times New Roman" w:eastAsia="Times New Roman" w:hAnsi="Times New Roman"/>
          <w:sz w:val="15"/>
          <w:szCs w:val="15"/>
          <w:b w:val="1"/>
          <w:bCs w:val="1"/>
          <w:i w:val="1"/>
          <w:iCs w:val="1"/>
          <w:color w:val="auto"/>
        </w:rPr>
        <w:t>Existing Plan</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ind w:left="20" w:firstLine="263"/>
        <w:spacing w:after="0" w:line="268" w:lineRule="auto"/>
        <w:rPr>
          <w:sz w:val="20"/>
          <w:szCs w:val="20"/>
          <w:color w:val="auto"/>
        </w:rPr>
      </w:pPr>
      <w:r>
        <w:rPr>
          <w:rFonts w:ascii="Times New Roman" w:cs="Times New Roman" w:eastAsia="Times New Roman" w:hAnsi="Times New Roman"/>
          <w:sz w:val="15"/>
          <w:szCs w:val="15"/>
          <w:color w:val="auto"/>
        </w:rPr>
        <w:t>On February 22, 2024, the Board approved further amending and restating the Existing Plan, subject to stockholder approval of this Proposal 4. We refer to the Existing Plan, as it was so amended and restated by the Board as the “</w:t>
      </w:r>
      <w:r>
        <w:rPr>
          <w:rFonts w:ascii="Times New Roman" w:cs="Times New Roman" w:eastAsia="Times New Roman" w:hAnsi="Times New Roman"/>
          <w:sz w:val="15"/>
          <w:szCs w:val="15"/>
          <w:b w:val="1"/>
          <w:bCs w:val="1"/>
          <w:i w:val="1"/>
          <w:iCs w:val="1"/>
          <w:color w:val="auto"/>
        </w:rPr>
        <w:t>A&amp;R Plan</w:t>
      </w:r>
      <w:r>
        <w:rPr>
          <w:rFonts w:ascii="Times New Roman" w:cs="Times New Roman" w:eastAsia="Times New Roman" w:hAnsi="Times New Roman"/>
          <w:sz w:val="15"/>
          <w:szCs w:val="15"/>
          <w:color w:val="auto"/>
        </w:rPr>
        <w:t xml:space="preserve">” throughout this proposal. A copy of the A&amp;R Plan is attached to this proxy statement as </w:t>
      </w:r>
      <w:r>
        <w:rPr>
          <w:rFonts w:ascii="Times New Roman" w:cs="Times New Roman" w:eastAsia="Times New Roman" w:hAnsi="Times New Roman"/>
          <w:sz w:val="15"/>
          <w:szCs w:val="15"/>
          <w:b w:val="1"/>
          <w:bCs w:val="1"/>
          <w:u w:val="single" w:color="auto"/>
          <w:color w:val="auto"/>
        </w:rPr>
        <w:t>Annex A</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A description of the material terms of the A&amp;R Plan is included below. The material differences between the terms of the Existing Plan and terms of the A&amp;R Plan are as follows:</w:t>
      </w:r>
    </w:p>
    <w:p>
      <w:pPr>
        <w:spacing w:after="0" w:line="176" w:lineRule="exact"/>
        <w:rPr>
          <w:sz w:val="20"/>
          <w:szCs w:val="20"/>
          <w:color w:val="auto"/>
        </w:rPr>
      </w:pPr>
    </w:p>
    <w:p>
      <w:pPr>
        <w:ind w:left="960" w:hanging="408"/>
        <w:spacing w:after="0"/>
        <w:tabs>
          <w:tab w:leader="none" w:pos="960" w:val="left"/>
        </w:tabs>
        <w:numPr>
          <w:ilvl w:val="0"/>
          <w:numId w:val="1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Share Limit</w:t>
      </w:r>
      <w:r>
        <w:rPr>
          <w:rFonts w:ascii="Times New Roman" w:cs="Times New Roman" w:eastAsia="Times New Roman" w:hAnsi="Times New Roman"/>
          <w:sz w:val="15"/>
          <w:szCs w:val="15"/>
          <w:color w:val="auto"/>
        </w:rPr>
        <w:t>: The A&amp;R Plan provides that an additional 6,000,000 shares may be issued pursuant to awards granted under the A&amp;R Plan.</w:t>
      </w:r>
    </w:p>
    <w:p>
      <w:pPr>
        <w:spacing w:after="0" w:line="19" w:lineRule="exact"/>
        <w:rPr>
          <w:rFonts w:ascii="Times New Roman" w:cs="Times New Roman" w:eastAsia="Times New Roman" w:hAnsi="Times New Roman"/>
          <w:sz w:val="15"/>
          <w:szCs w:val="15"/>
          <w:i w:val="1"/>
          <w:iCs w:val="1"/>
          <w:color w:val="auto"/>
        </w:rPr>
      </w:pPr>
    </w:p>
    <w:p>
      <w:pPr>
        <w:ind w:left="720" w:right="120" w:hanging="168"/>
        <w:spacing w:after="0" w:line="243" w:lineRule="auto"/>
        <w:tabs>
          <w:tab w:leader="none" w:pos="1067" w:val="left"/>
        </w:tabs>
        <w:numPr>
          <w:ilvl w:val="0"/>
          <w:numId w:val="1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Extension of Term</w:t>
      </w:r>
      <w:r>
        <w:rPr>
          <w:rFonts w:ascii="Times New Roman" w:cs="Times New Roman" w:eastAsia="Times New Roman" w:hAnsi="Times New Roman"/>
          <w:sz w:val="15"/>
          <w:szCs w:val="15"/>
          <w:color w:val="auto"/>
        </w:rPr>
        <w:t>: The A&amp;R Plan includes a term that is approximately three years longer than the Existing Plan, thus extending the latest date on which incentive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options may be granted under the A&amp;R Plan as well as the annual automatic share increase.</w:t>
      </w:r>
    </w:p>
    <w:p>
      <w:pPr>
        <w:spacing w:after="0" w:line="1" w:lineRule="exact"/>
        <w:rPr>
          <w:rFonts w:ascii="Times New Roman" w:cs="Times New Roman" w:eastAsia="Times New Roman" w:hAnsi="Times New Roman"/>
          <w:sz w:val="15"/>
          <w:szCs w:val="15"/>
          <w:i w:val="1"/>
          <w:iCs w:val="1"/>
          <w:color w:val="auto"/>
        </w:rPr>
      </w:pPr>
    </w:p>
    <w:p>
      <w:pPr>
        <w:jc w:val="both"/>
        <w:ind w:left="720" w:right="120" w:hanging="168"/>
        <w:spacing w:after="0" w:line="244" w:lineRule="auto"/>
        <w:tabs>
          <w:tab w:leader="none" w:pos="985" w:val="left"/>
        </w:tabs>
        <w:numPr>
          <w:ilvl w:val="0"/>
          <w:numId w:val="1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Non-Employee Director Compensation Limitation. </w:t>
      </w:r>
      <w:r>
        <w:rPr>
          <w:rFonts w:ascii="Times New Roman" w:cs="Times New Roman" w:eastAsia="Times New Roman" w:hAnsi="Times New Roman"/>
          <w:sz w:val="15"/>
          <w:szCs w:val="15"/>
          <w:color w:val="auto"/>
        </w:rPr>
        <w:t>Like the Existing Plan, the A&amp;R Plan maintains the limit on compensation granted or paid, as applicable, to any individual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service as a non-employee director, which is generally $500,000 per year (as described in more detail below). Consulting fees or other compensation the Company or any of its subsidiaries may pay or provide to any non-employee director for services in addition to the services normally performed by a non-employee director shall not be included in calculating such limits.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Why We Are Asking Our Stockholders to Approve the A&amp;R Plan</w:t>
      </w:r>
    </w:p>
    <w:p>
      <w:pPr>
        <w:spacing w:after="0" w:line="180" w:lineRule="exact"/>
        <w:rPr>
          <w:sz w:val="20"/>
          <w:szCs w:val="20"/>
          <w:color w:val="auto"/>
        </w:rPr>
      </w:pPr>
    </w:p>
    <w:p>
      <w:pPr>
        <w:jc w:val="both"/>
        <w:ind w:left="20" w:firstLine="132"/>
        <w:spacing w:after="0" w:line="252" w:lineRule="auto"/>
        <w:rPr>
          <w:sz w:val="20"/>
          <w:szCs w:val="20"/>
          <w:color w:val="auto"/>
        </w:rPr>
      </w:pPr>
      <w:r>
        <w:rPr>
          <w:rFonts w:ascii="Times New Roman" w:cs="Times New Roman" w:eastAsia="Times New Roman" w:hAnsi="Times New Roman"/>
          <w:sz w:val="15"/>
          <w:szCs w:val="15"/>
          <w:color w:val="auto"/>
        </w:rPr>
        <w:t>We are seeking stockholder approval of the A&amp;R Plan to, among other things, increase the number of shares available for the grant of stock options, restricted stock unit awards and other awards by 6,000,000 shares, and to extend the latest date on which incentive stock options may be granted under the A&amp;R Plan as well as the annual automatic share increase to a date ten years from the date the A&amp;R Plan is approved by stockholders, or on or about May 12, 2034, which is an extension of approximately three years, each of which will enable us to have a competitive equity incentive program to continue to compete with our peer group for key talent.</w:t>
      </w:r>
    </w:p>
    <w:p>
      <w:pPr>
        <w:spacing w:after="0" w:line="152" w:lineRule="exact"/>
        <w:rPr>
          <w:sz w:val="20"/>
          <w:szCs w:val="20"/>
          <w:color w:val="auto"/>
        </w:rPr>
      </w:pPr>
    </w:p>
    <w:p>
      <w:pPr>
        <w:jc w:val="both"/>
        <w:ind w:left="20" w:firstLine="132"/>
        <w:spacing w:after="0" w:line="256" w:lineRule="auto"/>
        <w:rPr>
          <w:sz w:val="20"/>
          <w:szCs w:val="20"/>
          <w:color w:val="auto"/>
        </w:rPr>
      </w:pPr>
      <w:r>
        <w:rPr>
          <w:rFonts w:ascii="Times New Roman" w:cs="Times New Roman" w:eastAsia="Times New Roman" w:hAnsi="Times New Roman"/>
          <w:sz w:val="15"/>
          <w:szCs w:val="15"/>
          <w:color w:val="auto"/>
        </w:rPr>
        <w:t>Our stockholders’ approval of the A&amp;R Plan will allow us to grant stock options, restricted stock unit awards and other awards at levels determined appropriate by the Board or Compensation Committee. The A&amp;R Plan will also allow us to further utilize a broad array of equity incentives in order to secure and retain the services of our employees, directors and consultants, and to provide long-term incentives that align the interests of our employees, directors and consultants with the interests of our stockholders.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Stockholder Approval</w:t>
      </w:r>
    </w:p>
    <w:p>
      <w:pPr>
        <w:spacing w:after="0" w:line="180" w:lineRule="exact"/>
        <w:rPr>
          <w:sz w:val="20"/>
          <w:szCs w:val="20"/>
          <w:color w:val="auto"/>
        </w:rPr>
      </w:pPr>
    </w:p>
    <w:p>
      <w:pPr>
        <w:jc w:val="both"/>
        <w:ind w:left="20" w:firstLine="132"/>
        <w:spacing w:after="0" w:line="268" w:lineRule="auto"/>
        <w:rPr>
          <w:sz w:val="20"/>
          <w:szCs w:val="20"/>
          <w:color w:val="auto"/>
        </w:rPr>
      </w:pPr>
      <w:r>
        <w:rPr>
          <w:rFonts w:ascii="Times New Roman" w:cs="Times New Roman" w:eastAsia="Times New Roman" w:hAnsi="Times New Roman"/>
          <w:sz w:val="15"/>
          <w:szCs w:val="15"/>
          <w:color w:val="auto"/>
        </w:rPr>
        <w:t>If this Proposal 4 is approved by our stockholders, the A&amp;R Plan will become effective as of the date of the Annual Meeting. In the event that our stockholders do not approve this Proposal 4, the A&amp;R Plan will not become effective, and the Existing Plan will continue in its current form.</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Why You Should Vote to Approve the A&amp;R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Awards Are an Important Part of Our Compensation Philosophy</w:t>
      </w:r>
    </w:p>
    <w:p>
      <w:pPr>
        <w:spacing w:after="0" w:line="180" w:lineRule="exact"/>
        <w:rPr>
          <w:sz w:val="20"/>
          <w:szCs w:val="20"/>
          <w:color w:val="auto"/>
        </w:rPr>
      </w:pPr>
    </w:p>
    <w:p>
      <w:pPr>
        <w:jc w:val="both"/>
        <w:ind w:left="20" w:firstLine="132"/>
        <w:spacing w:after="0" w:line="256" w:lineRule="auto"/>
        <w:rPr>
          <w:sz w:val="20"/>
          <w:szCs w:val="20"/>
          <w:color w:val="auto"/>
        </w:rPr>
      </w:pPr>
      <w:r>
        <w:rPr>
          <w:rFonts w:ascii="Times New Roman" w:cs="Times New Roman" w:eastAsia="Times New Roman" w:hAnsi="Times New Roman"/>
          <w:sz w:val="15"/>
          <w:szCs w:val="15"/>
          <w:color w:val="auto"/>
        </w:rPr>
        <w:t>The Board believes that the grant of equity awards is a key element underlying our ability to attract, retain and motivate our employees, directors and consultants because of the strong competition for highly trained and experienced individuals in commercial stage pharmaceutical companies. Therefore, the Board believes that the A&amp;R Plan is in the best interests of our business and our stockholders and recommends a vote in favor of this Proposal 4.</w:t>
      </w:r>
    </w:p>
    <w:p>
      <w:pPr>
        <w:spacing w:after="0" w:line="149" w:lineRule="exact"/>
        <w:rPr>
          <w:sz w:val="20"/>
          <w:szCs w:val="20"/>
          <w:color w:val="auto"/>
        </w:rPr>
      </w:pPr>
    </w:p>
    <w:p>
      <w:pPr>
        <w:jc w:val="both"/>
        <w:ind w:left="20" w:firstLine="132"/>
        <w:spacing w:after="0" w:line="250" w:lineRule="auto"/>
        <w:rPr>
          <w:sz w:val="20"/>
          <w:szCs w:val="20"/>
          <w:color w:val="auto"/>
        </w:rPr>
      </w:pPr>
      <w:r>
        <w:rPr>
          <w:rFonts w:ascii="Times New Roman" w:cs="Times New Roman" w:eastAsia="Times New Roman" w:hAnsi="Times New Roman"/>
          <w:sz w:val="15"/>
          <w:szCs w:val="15"/>
          <w:color w:val="auto"/>
        </w:rPr>
        <w:t>The A&amp;R Plan will allow us to continue to utilize equity awards as long-term incentives to secure and retain the services of our employees, directors and consultants, consistent with our compensation philosophy and common compensation practices for our industry. To date, equity awards have been a key aspect of our program to attract and retain key employees, directors and consultants. We believe the use of equity awards strongly aligns the interests of our employees with those of our stockholders by placing a considerable proportion of our employees’ total compensation “at risk” because it is contingent on the appreciation in value of our common stock. In addition, we believe equity awards encourage employee ownership of our common stock and promote employee retention through the reward of long-term Company performance.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We Carefully Manage the Use of Equity Awards and Dilution Is Reasonable</w:t>
      </w:r>
    </w:p>
    <w:p>
      <w:pPr>
        <w:spacing w:after="0" w:line="180"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5"/>
          <w:szCs w:val="15"/>
          <w:color w:val="auto"/>
        </w:rPr>
        <w:t>Our compensation philosophy reflects broad-based eligibility for equity awards. However, we recognize that equity awards dilute existing stockholders, and, therefore, we are mindful to responsibly manage the growth of our equity compensation program. We are committed to effectively monitoring our equity compensation share reserve, including our “burn rate,” to ensure that we maximize stockholders’ value by granting the appropriate number of equity awards necessary to attract, reward, and retain employees, directors and consultants.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66675</wp:posOffset>
            </wp:positionV>
            <wp:extent cx="7158355"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300"/>
          </w:cols>
          <w:pgMar w:left="280" w:top="125"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2"/>
        </w:trPr>
        <w:tc>
          <w:tcPr>
            <w:tcW w:w="730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4"/>
        </w:trPr>
        <w:tc>
          <w:tcPr>
            <w:tcW w:w="10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5"/>
                <w:szCs w:val="15"/>
                <w:b w:val="1"/>
                <w:bCs w:val="1"/>
                <w:i w:val="1"/>
                <w:iCs w:val="1"/>
                <w:color w:val="auto"/>
              </w:rPr>
              <w:t>Overhang</w:t>
            </w:r>
          </w:p>
        </w:tc>
        <w:tc>
          <w:tcPr>
            <w:tcW w:w="626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1"/>
        </w:trPr>
        <w:tc>
          <w:tcPr>
            <w:tcW w:w="73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The following tables provide certain information regarding our use of equity awards.</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0"/>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As of December 31, 2023</w:t>
            </w:r>
          </w:p>
        </w:tc>
      </w:tr>
      <w:tr>
        <w:trPr>
          <w:trHeight w:val="166"/>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number of shares of common stock subject to outstanding stock options</w:t>
            </w: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8,023,142</w:t>
            </w:r>
          </w:p>
        </w:tc>
      </w:tr>
      <w:tr>
        <w:trPr>
          <w:trHeight w:val="175"/>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exercise price of outstanding stock options</w:t>
            </w:r>
          </w:p>
        </w:tc>
        <w:tc>
          <w:tcPr>
            <w:tcW w:w="1740" w:type="dxa"/>
            <w:vAlign w:val="bottom"/>
            <w:gridSpan w:val="2"/>
          </w:tcPr>
          <w:p>
            <w:pPr>
              <w:jc w:val="right"/>
              <w:ind w:right="34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8.40</w:t>
            </w:r>
          </w:p>
        </w:tc>
      </w:tr>
      <w:tr>
        <w:trPr>
          <w:trHeight w:val="175"/>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remaining term of outstanding stock options</w:t>
            </w:r>
          </w:p>
        </w:tc>
        <w:tc>
          <w:tcPr>
            <w:tcW w:w="1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0"/>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Total number of shares of common stock available for grant under our Existing Plan</w:t>
            </w: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1,348,885</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As of March 22, 2024</w:t>
            </w:r>
          </w:p>
        </w:tc>
      </w:tr>
      <w:tr>
        <w:trPr>
          <w:trHeight w:val="192"/>
        </w:trPr>
        <w:tc>
          <w:tcPr>
            <w:tcW w:w="1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(Record Date)</w:t>
            </w:r>
          </w:p>
        </w:tc>
      </w:tr>
      <w:tr>
        <w:trPr>
          <w:trHeight w:val="166"/>
        </w:trPr>
        <w:tc>
          <w:tcPr>
            <w:tcW w:w="1140" w:type="dxa"/>
            <w:vAlign w:val="bottom"/>
          </w:tcPr>
          <w:p>
            <w:pPr>
              <w:spacing w:after="0"/>
              <w:rPr>
                <w:sz w:val="14"/>
                <w:szCs w:val="14"/>
                <w:color w:val="auto"/>
              </w:rPr>
            </w:pPr>
          </w:p>
        </w:tc>
        <w:tc>
          <w:tcPr>
            <w:tcW w:w="39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number of shares of common stock outstanding</w:t>
            </w: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41,850,494</w:t>
            </w:r>
          </w:p>
        </w:tc>
      </w:tr>
      <w:tr>
        <w:trPr>
          <w:trHeight w:val="190"/>
        </w:trPr>
        <w:tc>
          <w:tcPr>
            <w:tcW w:w="114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Per-share closing price of common stock as reported on Nasdaq</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$5.76</w:t>
            </w:r>
          </w:p>
        </w:tc>
      </w:tr>
      <w:tr>
        <w:trPr>
          <w:trHeight w:val="336"/>
        </w:trPr>
        <w:tc>
          <w:tcPr>
            <w:tcW w:w="5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Burn Rate</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1"/>
        </w:trPr>
        <w:tc>
          <w:tcPr>
            <w:tcW w:w="8540" w:type="dxa"/>
            <w:vAlign w:val="bottom"/>
            <w:gridSpan w:val="7"/>
          </w:tcPr>
          <w:p>
            <w:pPr>
              <w:ind w:left="140"/>
              <w:spacing w:after="0"/>
              <w:rPr>
                <w:sz w:val="20"/>
                <w:szCs w:val="20"/>
                <w:color w:val="auto"/>
              </w:rPr>
            </w:pPr>
            <w:r>
              <w:rPr>
                <w:rFonts w:ascii="Times New Roman" w:cs="Times New Roman" w:eastAsia="Times New Roman" w:hAnsi="Times New Roman"/>
                <w:sz w:val="15"/>
                <w:szCs w:val="15"/>
                <w:color w:val="auto"/>
              </w:rPr>
              <w:t>The following table provides detailed information regarding the activity related to our Existing Plan for fiscal years 2023, 2022, and 2021.</w:t>
            </w:r>
          </w:p>
        </w:tc>
        <w:tc>
          <w:tcPr>
            <w:tcW w:w="1620" w:type="dxa"/>
            <w:vAlign w:val="bottom"/>
          </w:tcPr>
          <w:p>
            <w:pPr>
              <w:spacing w:after="0"/>
              <w:rPr>
                <w:sz w:val="24"/>
                <w:szCs w:val="24"/>
                <w:color w:val="auto"/>
              </w:rPr>
            </w:pPr>
          </w:p>
        </w:tc>
      </w:tr>
      <w:tr>
        <w:trPr>
          <w:trHeight w:val="350"/>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40" w:type="dxa"/>
            <w:vAlign w:val="bottom"/>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Fiscal Year 2023</w:t>
            </w:r>
          </w:p>
        </w:tc>
        <w:tc>
          <w:tcPr>
            <w:tcW w:w="80" w:type="dxa"/>
            <w:vAlign w:val="bottom"/>
          </w:tcPr>
          <w:p>
            <w:pPr>
              <w:spacing w:after="0"/>
              <w:rPr>
                <w:sz w:val="24"/>
                <w:szCs w:val="24"/>
                <w:color w:val="auto"/>
              </w:rPr>
            </w:pPr>
          </w:p>
        </w:tc>
        <w:tc>
          <w:tcPr>
            <w:tcW w:w="1780" w:type="dxa"/>
            <w:vAlign w:val="bottom"/>
            <w:gridSpan w:val="3"/>
          </w:tcPr>
          <w:p>
            <w:pPr>
              <w:ind w:left="320"/>
              <w:spacing w:after="0"/>
              <w:rPr>
                <w:sz w:val="20"/>
                <w:szCs w:val="20"/>
                <w:color w:val="auto"/>
              </w:rPr>
            </w:pPr>
            <w:r>
              <w:rPr>
                <w:rFonts w:ascii="Times New Roman" w:cs="Times New Roman" w:eastAsia="Times New Roman" w:hAnsi="Times New Roman"/>
                <w:sz w:val="15"/>
                <w:szCs w:val="15"/>
                <w:b w:val="1"/>
                <w:bCs w:val="1"/>
                <w:color w:val="auto"/>
              </w:rPr>
              <w:t>Fiscal Year 2022</w:t>
            </w:r>
          </w:p>
        </w:tc>
        <w:tc>
          <w:tcPr>
            <w:tcW w:w="1620" w:type="dxa"/>
            <w:vAlign w:val="bottom"/>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Fiscal Year 2021</w:t>
            </w:r>
          </w:p>
        </w:tc>
      </w:tr>
      <w:tr>
        <w:trPr>
          <w:trHeight w:val="152"/>
        </w:trPr>
        <w:tc>
          <w:tcPr>
            <w:tcW w:w="1140" w:type="dxa"/>
            <w:vAlign w:val="bottom"/>
          </w:tcPr>
          <w:p>
            <w:pPr>
              <w:spacing w:after="0"/>
              <w:rPr>
                <w:sz w:val="13"/>
                <w:szCs w:val="13"/>
                <w:color w:val="auto"/>
              </w:rPr>
            </w:pPr>
          </w:p>
        </w:tc>
        <w:tc>
          <w:tcPr>
            <w:tcW w:w="39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w w:val="99"/>
              </w:rPr>
              <w:t>Total number of shares of common stock subject to stock options</w:t>
            </w:r>
          </w:p>
        </w:tc>
        <w:tc>
          <w:tcPr>
            <w:tcW w:w="16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granted</w:t>
            </w:r>
          </w:p>
        </w:tc>
        <w:tc>
          <w:tcPr>
            <w:tcW w:w="16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5,231,734</w:t>
            </w:r>
          </w:p>
        </w:tc>
        <w:tc>
          <w:tcPr>
            <w:tcW w:w="174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1,484,245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869,383</w:t>
            </w:r>
          </w:p>
        </w:tc>
      </w:tr>
      <w:tr>
        <w:trPr>
          <w:trHeight w:val="175"/>
        </w:trPr>
        <w:tc>
          <w:tcPr>
            <w:tcW w:w="114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number of shares of common stock</w:t>
            </w:r>
          </w:p>
        </w:tc>
        <w:tc>
          <w:tcPr>
            <w:tcW w:w="1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35,452,460</w:t>
            </w:r>
          </w:p>
        </w:tc>
        <w:tc>
          <w:tcPr>
            <w:tcW w:w="174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34,488,800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29,766,347</w:t>
            </w:r>
          </w:p>
        </w:tc>
      </w:tr>
      <w:tr>
        <w:trPr>
          <w:trHeight w:val="175"/>
        </w:trPr>
        <w:tc>
          <w:tcPr>
            <w:tcW w:w="114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Burn Rate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bl>
    <w:p>
      <w:pPr>
        <w:spacing w:after="0" w:line="161" w:lineRule="exact"/>
        <w:rPr>
          <w:sz w:val="20"/>
          <w:szCs w:val="20"/>
          <w:color w:val="auto"/>
        </w:rPr>
      </w:pPr>
    </w:p>
    <w:p>
      <w:pPr>
        <w:ind w:left="1400" w:right="20" w:hanging="265"/>
        <w:spacing w:after="0" w:line="181" w:lineRule="auto"/>
        <w:tabs>
          <w:tab w:leader="none" w:pos="1400" w:val="left"/>
        </w:tabs>
        <w:numPr>
          <w:ilvl w:val="0"/>
          <w:numId w:val="1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Burn Rate is calculated as: (shares subject to stock options granted + shares subject to time-based full value awards granted + shares subject to performance-based full value awards vested or earned)/weighted average common shares outstanding.</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0160"/>
          </w:cols>
          <w:pgMar w:left="300" w:top="109" w:right="1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A&amp;R Plan includes provisions that are designed to protect our stockholders’ interests and to reflect corporate governance best practices, including:</w:t>
      </w:r>
    </w:p>
    <w:p>
      <w:pPr>
        <w:spacing w:after="0" w:line="176" w:lineRule="exact"/>
        <w:rPr>
          <w:sz w:val="20"/>
          <w:szCs w:val="20"/>
          <w:color w:val="auto"/>
        </w:rPr>
      </w:pPr>
    </w:p>
    <w:p>
      <w:pPr>
        <w:ind w:left="160" w:hanging="99"/>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No discounted stock options or stock appreciation rights</w:t>
      </w:r>
      <w:r>
        <w:rPr>
          <w:rFonts w:ascii="Times New Roman" w:cs="Times New Roman" w:eastAsia="Times New Roman" w:hAnsi="Times New Roman"/>
          <w:sz w:val="15"/>
          <w:szCs w:val="15"/>
          <w:color w:val="auto"/>
        </w:rPr>
        <w:t>. All stock options and stock appreciation rights granted under the A&amp;R Plan must have an exercise price equal to or greater than the fair market value of our common stock on the date the stock option or stock appreciation right is granted.</w:t>
      </w:r>
    </w:p>
    <w:p>
      <w:pPr>
        <w:spacing w:after="0" w:line="136" w:lineRule="exact"/>
        <w:rPr>
          <w:sz w:val="20"/>
          <w:szCs w:val="20"/>
          <w:color w:val="auto"/>
        </w:rPr>
      </w:pPr>
    </w:p>
    <w:p>
      <w:pPr>
        <w:ind w:left="160" w:hanging="99"/>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No liberal change in control definition</w:t>
      </w:r>
      <w:r>
        <w:rPr>
          <w:rFonts w:ascii="Times New Roman" w:cs="Times New Roman" w:eastAsia="Times New Roman" w:hAnsi="Times New Roman"/>
          <w:sz w:val="15"/>
          <w:szCs w:val="15"/>
          <w:color w:val="auto"/>
        </w:rPr>
        <w:t>. The change in control definition in the A&amp;R Plan is not a “liberal” definition. A change in control transaction must actually occur in order for the change in control provisions in the A&amp;R Plan to be triggered.</w:t>
      </w:r>
    </w:p>
    <w:p>
      <w:pPr>
        <w:spacing w:after="0" w:line="136" w:lineRule="exact"/>
        <w:rPr>
          <w:sz w:val="20"/>
          <w:szCs w:val="20"/>
          <w:color w:val="auto"/>
        </w:rPr>
      </w:pPr>
    </w:p>
    <w:p>
      <w:pPr>
        <w:ind w:left="160" w:hanging="99"/>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Limit on non-employee director compensation</w:t>
      </w:r>
      <w:r>
        <w:rPr>
          <w:rFonts w:ascii="Times New Roman" w:cs="Times New Roman" w:eastAsia="Times New Roman" w:hAnsi="Times New Roman"/>
          <w:sz w:val="15"/>
          <w:szCs w:val="15"/>
          <w:color w:val="auto"/>
        </w:rPr>
        <w:t>. The aggregate value of all compensation granted or paid, as applicable, to any individual for service as a non-employee director with respect to any period commencing on the date of the annual meeting of stockholders for a particular year and ending on the day immediately prior to the date of the annual meeting of stockholders for the next subsequent year, including awards granted and cash fees paid by the Company to such non-employee director, will generally not exceed $500,000 in total value calculating the value of any equity awards based on the grant date fair value of such equity awards for financial reporting purposes.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Clawback policy</w:t>
      </w:r>
      <w:r>
        <w:rPr>
          <w:rFonts w:ascii="Times New Roman" w:cs="Times New Roman" w:eastAsia="Times New Roman" w:hAnsi="Times New Roman"/>
          <w:sz w:val="15"/>
          <w:szCs w:val="15"/>
          <w:color w:val="auto"/>
        </w:rPr>
        <w:t>. All awards granted to our executive officers under the A&amp;R Plan are subject to our clawback policy.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Vote Required</w:t>
      </w:r>
    </w:p>
    <w:p>
      <w:pPr>
        <w:spacing w:after="0" w:line="180" w:lineRule="exact"/>
        <w:rPr>
          <w:sz w:val="20"/>
          <w:szCs w:val="20"/>
          <w:color w:val="auto"/>
        </w:rPr>
      </w:pPr>
    </w:p>
    <w:p>
      <w:pPr>
        <w:ind w:firstLine="132"/>
        <w:spacing w:after="0" w:line="268" w:lineRule="auto"/>
        <w:rPr>
          <w:sz w:val="20"/>
          <w:szCs w:val="20"/>
          <w:color w:val="auto"/>
        </w:rPr>
      </w:pPr>
      <w:r>
        <w:rPr>
          <w:rFonts w:ascii="Times New Roman" w:cs="Times New Roman" w:eastAsia="Times New Roman" w:hAnsi="Times New Roman"/>
          <w:sz w:val="15"/>
          <w:szCs w:val="15"/>
          <w:color w:val="auto"/>
        </w:rPr>
        <w:t>At the Annual Meeting, the stockholders are being asked to approve the A&amp;R Plan. The affirmative vote of the majority of shares present or represented by proxy at the meeting and entitled to vote is required to approve the A&amp;R Plan.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BOARD OF DIRECTORS RECOMMENDS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 VOTE IN FAVOR OF PROPOSAL 4</w:t>
      </w:r>
      <w:r>
        <w:rPr>
          <w:rFonts w:ascii="Times New Roman" w:cs="Times New Roman" w:eastAsia="Times New Roman" w:hAnsi="Times New Roman"/>
          <w:sz w:val="15"/>
          <w:szCs w:val="15"/>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Description of the A&amp;R Plan</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 xml:space="preserve">The material features of the A&amp;R Plan are described below. The following description of the A&amp;R Plan is a summary only and is qualified in its entirety by reference to the complete text of the A&amp;R Plan. Stockholders are urged to read the actual text of the A&amp;R Plan in its entirety, which is attached to this proxy statement as </w:t>
      </w:r>
      <w:r>
        <w:rPr>
          <w:rFonts w:ascii="Times New Roman" w:cs="Times New Roman" w:eastAsia="Times New Roman" w:hAnsi="Times New Roman"/>
          <w:sz w:val="15"/>
          <w:szCs w:val="15"/>
          <w:b w:val="1"/>
          <w:bCs w:val="1"/>
          <w:u w:val="single" w:color="auto"/>
          <w:color w:val="auto"/>
        </w:rPr>
        <w:t>Annex A</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Purpose</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A&amp;R Plan is designed to secure and retain the services of our employees, non-employee directors and consultants, to provide incentives for such persons to exert maximum efforts for the success of the Company and our affiliates, and to provide a means by which such persons may be given an opportunity to benefit from increases in the value of our common stock. The A&amp;R Plan is also designed to align employees’ interests with stockholder interests.</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If the A&amp;R Plan is not approved by our stockholders, the A&amp;R Plan will not become effective.</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Types of Awards</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terms of the A&amp;R Plan provide for the grant of incentive stock options, nonstatutory stock options, stock appreciation rights, restricted stock awards, restricted stock unit awards, performance awards, and other awards.</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Shares Available for Awards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Subject to adjustment for certain changes in our capitalization, the aggregate number of shares of our common stock that may be issued under the A&amp;R Plan will not exceed the sum of</w:t>
      </w:r>
    </w:p>
    <w:p>
      <w:pPr>
        <w:spacing w:after="0" w:line="18" w:lineRule="exact"/>
        <w:rPr>
          <w:sz w:val="20"/>
          <w:szCs w:val="20"/>
          <w:color w:val="auto"/>
        </w:rPr>
      </w:pPr>
    </w:p>
    <w:p>
      <w:pPr>
        <w:jc w:val="both"/>
        <w:ind w:firstLine="8"/>
        <w:spacing w:after="0" w:line="261" w:lineRule="auto"/>
        <w:tabs>
          <w:tab w:leader="none" w:pos="17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14,985,108 shares of common stock (which includes shares issued or transferred pursuant to awards under the Existing Plan plus an additional 6,000,000 shares), and (ii) any shares subject to outstanding stock awards granted under the Existing Plan that, from and after the effective date of the A&amp;R Plan, (A) expire or terminate for any reason prior to exercise or settlement,</w:t>
      </w:r>
    </w:p>
    <w:p>
      <w:pPr>
        <w:jc w:val="both"/>
        <w:spacing w:after="0" w:line="24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(B) are forfeited, cancelled or otherwise returned to us because of the failure to meet a contingency or condition required for the vesting of such shares, or (C) are reacquired or withheld (or not issued) by us to satisfy a tax withholding obligation in connection with a stock award. In addition, the share reserve will be automatically increased each year beginning on January 1, 2025, and ending on (and including) January 1, 2034, by the lesser of (a) four percent of the number of shares of our capital stock outstanding on December 31 of the preceding calendar year and (b) such lesser number determined by the Board. As of March 22, 2024, there were 7,819,683 shares subject to outstanding awards under the Existing Plan.</w:t>
      </w:r>
    </w:p>
    <w:p>
      <w:pPr>
        <w:spacing w:after="0" w:line="157"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following actions will not result in an issuance of shares of our common stock under the A&amp;R Plan and accordingly will not reduce the number of shares of our common stock available for issuance under the A&amp;R Plan: (i) the expiration or termination of any portion of an award granted under the A&amp;R Plan without the shares covered by such portion of the award having been issued; or (ii) the settlement of any portion of an award granted under the A&amp;R Plan in cash.</w:t>
      </w:r>
    </w:p>
    <w:p>
      <w:pPr>
        <w:spacing w:after="0" w:line="149" w:lineRule="exact"/>
        <w:rPr>
          <w:sz w:val="20"/>
          <w:szCs w:val="20"/>
          <w:color w:val="auto"/>
        </w:rPr>
      </w:pPr>
    </w:p>
    <w:p>
      <w:pPr>
        <w:jc w:val="both"/>
        <w:ind w:right="20" w:firstLine="132"/>
        <w:spacing w:after="0" w:line="268" w:lineRule="auto"/>
        <w:rPr>
          <w:sz w:val="20"/>
          <w:szCs w:val="20"/>
          <w:color w:val="auto"/>
        </w:rPr>
      </w:pPr>
      <w:r>
        <w:rPr>
          <w:rFonts w:ascii="Times New Roman" w:cs="Times New Roman" w:eastAsia="Times New Roman" w:hAnsi="Times New Roman"/>
          <w:sz w:val="15"/>
          <w:szCs w:val="15"/>
          <w:color w:val="auto"/>
        </w:rPr>
        <w:t>If any shares of our common stock issued pursuant to an award granted under the A&amp;R Plan are forfeited back to or repurchased by us because of the failure to meet a contingency or condition required for the vesting of such shares, then such shares will become available again for issuance under the A&amp;R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Eligibility</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All of our (including our affiliates’) employees, non-employee directors and consultants are eligible to participate in the A&amp;R Plan and may receive all types of awards other than incentive stock options. Incentive stock options may be granted under the A&amp;R Plan only to our (including our affiliates’) employees.</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As of March 22, 2024, we (including our affiliates) had approximately 80 employees and 7 non-employee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Administration</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A&amp;R Plan will be administered by our Board, which may in turn delegate some or all of the administration of the A&amp;R Plan to a committee or committees composed of members of the Board. Our Board has delegated concurrent authority to administer the A&amp;R Plan to our Compensation Committee, but may, at any time, revest in itself some or all of the power delegated to our Compensation Committee. Our Board and Compensation Committee are each considered to be a Plan Administrator for purpose of this Proposal 4.</w:t>
      </w:r>
    </w:p>
    <w:p>
      <w:pPr>
        <w:spacing w:after="0" w:line="149"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Subject to the terms of the A&amp;R Plan, the Plan Administrator may determine the recipients, the types of awards to be granted, the number of shares of our common stock subject to or the cash value of awards, and the terms and conditions of awards granted under the A&amp;R Plan, including the period of their exercisability and vesting. Among other authority, the Plan Administrator also has the authority to amend outstanding awards, provided that no such amendment materially impairs the rights of the holder of such stock awards, to reprice options or to exchange underwater options for cash or other stock awards, and to provide for accelerated exercisability and vesting of awards. Subject to the limitations set forth below, the Plan Administrator also determines the fair market value applicable to an award and the exercise or strike price of stock options and stock appreciation rights granted under the A&amp;R Plan.</w:t>
      </w:r>
    </w:p>
    <w:p>
      <w:pPr>
        <w:spacing w:after="0" w:line="153"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Plan Administrator may also delegate to one or more executive officers the authority to designate employees who are not executive officers to be recipients of certain awards and the number of shares of our common stock subject to such awards. Under any such delegation, the Plan Administrator will specify the total number of shares of our common stock that may be subject to the awards granted by such executive officer. The executive officer may not grant an award to himself or herself.</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Limit on Non-Employee Director Compensation</w:t>
      </w:r>
    </w:p>
    <w:p>
      <w:pPr>
        <w:spacing w:after="0" w:line="180"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As noted above, the A&amp;R Plan contains a limit on the aggregate value of all compensation granted or paid, as applicable, to any individual for service as a non-employee director with respect to any period commencing on the date of the annual meeting of stockholders for a particular year and ending on the day immediately prior to the date of the annual meeting of stockholders for the next subsequent year. Consulting fees or other compensation that may be paid to any non-employee director shall not be included in calculating such limits. Additionally, the Plan Administrator may make exceptions to this limit for individual non-employee directors in extraordinary circumstances, as the plan administrator may determine in its discretion, subject to the limitations in the A&amp;R Plan.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Options</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Stock options may be granted under the A&amp;R Plan pursuant to stock option agreements. The A&amp;R Plan permits the grant of stock options that are intended to qualify as incentive stock options, or ISOs, and nonstatutory stock options, or NSOs.</w:t>
      </w:r>
    </w:p>
    <w:p>
      <w:pPr>
        <w:spacing w:after="0" w:line="141"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The exercise price of a stock option granted under the A&amp;R Plan may not be less than 100% of the fair market value of the common stock subject to the stock option on the date of grant (or 110%, in some cases, as described below). Stock options will vest as determined by the Plan Administrator at the rate specified in the stock option agreement. The term of stock options granted under the A&amp;R Plan may not exceed ten years from the date of grant (or five years, in some cases, as described below). Acceptable forms of consideration for the purchase of our common stock pursuant to the exercise of a stock option under the A&amp;R Plan will be determined by the Plan Administrator and may include payment: (i) by cash, check, bank draft or money order payable to us; (ii) pursuant to a program developed under Regulation T as promulgated by the Federal Reserve Board; (iii) by delivery to us of shares of our common stock (either by actual delivery or attestation); (iv) by a net exercise arrangement (for NSOs only); or (v) in other legal consideration approved by the Plan Administrator. Except as otherwise provided in a participant’s stock option agreement or other written agreement with us or one of our affiliates, if a participant’s continuous service with us or any of our affiliates:</w:t>
      </w:r>
    </w:p>
    <w:p>
      <w:pPr>
        <w:spacing w:after="0" w:line="160" w:lineRule="exact"/>
        <w:rPr>
          <w:sz w:val="20"/>
          <w:szCs w:val="20"/>
          <w:color w:val="auto"/>
        </w:rPr>
      </w:pPr>
    </w:p>
    <w:p>
      <w:pPr>
        <w:ind w:left="160" w:hanging="98"/>
        <w:spacing w:after="0" w:line="268" w:lineRule="auto"/>
        <w:rPr>
          <w:sz w:val="20"/>
          <w:szCs w:val="20"/>
          <w:color w:val="auto"/>
        </w:rPr>
      </w:pPr>
      <w:r>
        <w:rPr>
          <w:rFonts w:ascii="Times New Roman" w:cs="Times New Roman" w:eastAsia="Times New Roman" w:hAnsi="Times New Roman"/>
          <w:sz w:val="15"/>
          <w:szCs w:val="15"/>
          <w:color w:val="auto"/>
        </w:rPr>
        <w:t>●terminates other than for cause (as defined in the A&amp;R Plan) or due to death or disability (as defined in the A&amp;R Plan), the participant may exercise any vested stock options for up to three months following termination;</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●terminates due to the participant’s disability, the participant may exercise any vested stock options for up to 12 months following termination;</w:t>
      </w:r>
    </w:p>
    <w:p>
      <w:pPr>
        <w:spacing w:after="0" w:line="178" w:lineRule="exact"/>
        <w:rPr>
          <w:sz w:val="20"/>
          <w:szCs w:val="20"/>
          <w:color w:val="auto"/>
        </w:rPr>
      </w:pPr>
    </w:p>
    <w:p>
      <w:pPr>
        <w:ind w:left="160" w:hanging="98"/>
        <w:spacing w:after="0" w:line="268" w:lineRule="auto"/>
        <w:rPr>
          <w:sz w:val="20"/>
          <w:szCs w:val="20"/>
          <w:color w:val="auto"/>
        </w:rPr>
      </w:pPr>
      <w:r>
        <w:rPr>
          <w:rFonts w:ascii="Times New Roman" w:cs="Times New Roman" w:eastAsia="Times New Roman" w:hAnsi="Times New Roman"/>
          <w:sz w:val="15"/>
          <w:szCs w:val="15"/>
          <w:color w:val="auto"/>
        </w:rPr>
        <w:t>●terminates due to the participant’s death (or the participant dies within a specified period following termination), the participant’s beneficiary may exercise any vested stock options for up to 18 months following the participant’s death; or</w:t>
      </w:r>
    </w:p>
    <w:p>
      <w:pPr>
        <w:spacing w:after="0" w:line="141" w:lineRule="exact"/>
        <w:rPr>
          <w:sz w:val="20"/>
          <w:szCs w:val="20"/>
          <w:color w:val="auto"/>
        </w:rPr>
      </w:pPr>
    </w:p>
    <w:p>
      <w:pPr>
        <w:ind w:left="160" w:hanging="98"/>
        <w:spacing w:after="0" w:line="268" w:lineRule="auto"/>
        <w:rPr>
          <w:sz w:val="20"/>
          <w:szCs w:val="20"/>
          <w:color w:val="auto"/>
        </w:rPr>
      </w:pPr>
      <w:r>
        <w:rPr>
          <w:rFonts w:ascii="Times New Roman" w:cs="Times New Roman" w:eastAsia="Times New Roman" w:hAnsi="Times New Roman"/>
          <w:sz w:val="15"/>
          <w:szCs w:val="15"/>
          <w:color w:val="auto"/>
        </w:rPr>
        <w:t>●is terminated for cause, all stock options held by the participant will terminate upon the participant’s termination and the participant will be prohibited from exercising any stock option from and after such termination date.</w:t>
      </w:r>
    </w:p>
    <w:p>
      <w:pPr>
        <w:spacing w:after="0" w:line="141"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post-termination exercise period applicable to a participant’s stock option may be extended under specific circumstances provided in the A&amp;R Plan, but in no event may a stock option be exercised after its original expiration date.</w:t>
      </w:r>
    </w:p>
    <w:p>
      <w:pPr>
        <w:spacing w:after="0" w:line="141"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Generally, a participant may not transfer a stock option granted under the A&amp;R Plan other than by will or the laws of descent and distribution or, subject to approval by the Plan Administrator, pursuant to a domestic relations order.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Limitations on Incentive Stock Options</w:t>
      </w:r>
    </w:p>
    <w:p>
      <w:pPr>
        <w:spacing w:after="0" w:line="180"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In accordance with current federal tax laws, 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unless the following conditions are satisfied:</w:t>
      </w:r>
    </w:p>
    <w:p>
      <w:pPr>
        <w:spacing w:after="0" w:line="152" w:lineRule="exact"/>
        <w:rPr>
          <w:sz w:val="20"/>
          <w:szCs w:val="20"/>
          <w:color w:val="auto"/>
        </w:rPr>
      </w:pPr>
    </w:p>
    <w:p>
      <w:pPr>
        <w:ind w:left="200" w:hanging="138"/>
        <w:spacing w:after="0"/>
        <w:tabs>
          <w:tab w:leader="none" w:pos="2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of the ISO must be at least 110% of the fair market value of the common stock subject to the ISO on the date of grant; and</w:t>
      </w:r>
    </w:p>
    <w:p>
      <w:pPr>
        <w:spacing w:after="0" w:line="178" w:lineRule="exact"/>
        <w:rPr>
          <w:rFonts w:ascii="Times New Roman" w:cs="Times New Roman" w:eastAsia="Times New Roman" w:hAnsi="Times New Roman"/>
          <w:sz w:val="15"/>
          <w:szCs w:val="15"/>
          <w:color w:val="auto"/>
        </w:rPr>
      </w:pPr>
    </w:p>
    <w:p>
      <w:pPr>
        <w:ind w:left="200" w:hanging="138"/>
        <w:spacing w:after="0"/>
        <w:tabs>
          <w:tab w:leader="none" w:pos="2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of the ISO must not exceed five years from the date of grant.</w:t>
      </w:r>
    </w:p>
    <w:p>
      <w:pPr>
        <w:spacing w:after="0" w:line="178"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Subject to adjustment for certain changes in our capitalization, the aggregate maximum number of shares of our common stock that may be issued pursuant to the exercise of ISOs under the A&amp;R Plan is 19,600,000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Appreciation Rights</w:t>
      </w:r>
    </w:p>
    <w:p>
      <w:pPr>
        <w:spacing w:after="0" w:line="180" w:lineRule="exact"/>
        <w:rPr>
          <w:sz w:val="20"/>
          <w:szCs w:val="20"/>
          <w:color w:val="auto"/>
        </w:rPr>
      </w:pPr>
    </w:p>
    <w:p>
      <w:pPr>
        <w:jc w:val="both"/>
        <w:ind w:firstLine="263"/>
        <w:spacing w:after="0" w:line="247" w:lineRule="auto"/>
        <w:rPr>
          <w:sz w:val="20"/>
          <w:szCs w:val="20"/>
          <w:color w:val="auto"/>
        </w:rPr>
      </w:pPr>
      <w:r>
        <w:rPr>
          <w:rFonts w:ascii="Times New Roman" w:cs="Times New Roman" w:eastAsia="Times New Roman" w:hAnsi="Times New Roman"/>
          <w:sz w:val="15"/>
          <w:szCs w:val="15"/>
          <w:color w:val="auto"/>
        </w:rPr>
        <w:t>Stock appreciation rights may be granted under the A&amp;R Plan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the common stock subject to the stock appreciation right on the date of grant. The term of stock appreciation rights granted under the A&amp;R Plan may not exceed ten years from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A&amp;R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Restricted Stock Awards</w:t>
      </w:r>
    </w:p>
    <w:p>
      <w:pPr>
        <w:spacing w:after="0" w:line="180"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Restricted stock awards may be granted under the A&amp;R Plan pursuant to restricted stock award agreements. A restricted stock award may be granted in consideration for cash, check, bank draft or money order payable to us, the participant’s services performed for us,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Upon a participant’s termination of continuous service for any reason, any shares subject to restricted stock awards held by the participant that have not vested as of such termination date may be forfeited to or repurchased by 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Restricted Stock Unit Awards</w:t>
      </w:r>
    </w:p>
    <w:p>
      <w:pPr>
        <w:spacing w:after="0" w:line="180"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Restricted stock unit awards may be granted under the A&amp;R Plan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restricted stock units that have not vested will be forfeited upon the participant’s termination of continuous service for any reason.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Performance Awards</w:t>
      </w:r>
    </w:p>
    <w:p>
      <w:pPr>
        <w:spacing w:after="0" w:line="180"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The A&amp;R Plan allows us to grant performance cash and performance stock awards. A performance award is an award that may vest or may be exercised, or that may become earned and paid, contingent upon the attainment of certain performance goals during a performance period. A performance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its discretion. In addition, to the extent permitted by applicable law and the applicable award agreement, the Plan Administrator may determine that cash may be used in payment of performance awards.</w:t>
      </w:r>
    </w:p>
    <w:p>
      <w:pPr>
        <w:spacing w:after="0" w:line="153" w:lineRule="exact"/>
        <w:rPr>
          <w:sz w:val="20"/>
          <w:szCs w:val="20"/>
          <w:color w:val="auto"/>
        </w:rPr>
      </w:pPr>
    </w:p>
    <w:p>
      <w:pPr>
        <w:jc w:val="both"/>
        <w:ind w:firstLine="132"/>
        <w:spacing w:after="0" w:line="272" w:lineRule="auto"/>
        <w:rPr>
          <w:sz w:val="20"/>
          <w:szCs w:val="20"/>
          <w:color w:val="auto"/>
        </w:rPr>
      </w:pPr>
      <w:r>
        <w:rPr>
          <w:rFonts w:ascii="Times New Roman" w:cs="Times New Roman" w:eastAsia="Times New Roman" w:hAnsi="Times New Roman"/>
          <w:sz w:val="14"/>
          <w:szCs w:val="14"/>
          <w:color w:val="auto"/>
        </w:rPr>
        <w:t>Performance goals under the A&amp;R Plan will be based on any one or more of the following performance criteria: (i) earnings (including earnings per share and net earnings); (ii) earnings before interest, taxes and depreciation; (iii) earnings before interest, taxes, depreciation and amortization; (iv) earnings before interest, taxes, depreciation, amortization and legal settlements;</w:t>
      </w:r>
    </w:p>
    <w:p>
      <w:pPr>
        <w:jc w:val="both"/>
        <w:ind w:firstLine="8"/>
        <w:spacing w:after="0" w:line="261" w:lineRule="auto"/>
        <w:tabs>
          <w:tab w:leader="none" w:pos="21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total stockholder return; (ix) return on equity or average stockholder’s equity; (x) return on assets, investment, or capital employed; (xi) stock price; (xii) margin (including gross margin); (xiii) income (before or after taxes); (xiv) operating income; (xv) operating income after taxes; (xvi) pre-tax profit; (xvii) operating cash flow; (xviii) sales or revenue targets; (xix) increases in revenue or product revenue; (xx) expenses and cost reduction goals; (xxi) improvement in or attainment of working capital levels; (xxii) economic value added (or an equivalent metric); (xxiii) market share; (xxiv) cash flow; (xxv) cash flow per share; (xxvi) share price performance; (xxvii) debt reduction; (xxviii) implementation or completion of projects or processes; (xxix) customer satisfaction; (xxx) stockholders’ equity; (xxxi) capital expenditures; (xxxii) debt levels; (xxxiii) operating profit or net operating profit; (xxxiv) workforce diversity; (xxxv) growth of net income or operating income; (xxxvi) billings; (xxxvii) bookings; (xxxviii) the number of customers, including but not limited to customers users;</w:t>
      </w:r>
    </w:p>
    <w:p>
      <w:pPr>
        <w:spacing w:after="0" w:line="1" w:lineRule="exact"/>
        <w:rPr>
          <w:rFonts w:ascii="Times New Roman" w:cs="Times New Roman" w:eastAsia="Times New Roman" w:hAnsi="Times New Roman"/>
          <w:sz w:val="14"/>
          <w:szCs w:val="14"/>
          <w:color w:val="auto"/>
        </w:rPr>
      </w:pPr>
    </w:p>
    <w:p>
      <w:pPr>
        <w:jc w:val="both"/>
        <w:ind w:firstLine="8"/>
        <w:spacing w:after="0" w:line="261" w:lineRule="auto"/>
        <w:tabs>
          <w:tab w:leader="none" w:pos="47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retention; (xl) pre-clinical development related compound goals; (xli) financing; (xlii) regulatory milestones, including approval of a compound; (xliii) stockholder liquidity; (xliv) corporate governance and compliance; (xlv) product commercialization; (xlvi) intellectual property; (xlvii) personnel matters; (xlviii) progress of internal research or clinical programs;</w:t>
      </w:r>
    </w:p>
    <w:p>
      <w:pPr>
        <w:jc w:val="both"/>
        <w:spacing w:after="0" w:line="24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(xlix) progress of partnered programs; (l) implementation or completion of projects and processes; (li) partner satisfaction; (lii) budget management; (liii) clinical achievements; (liv) completing phases of a clinical study (including the treatment phase); (lv) announcing or presenting preliminary or final data from clinical studies; in each case, whether on particular timelines or generally; (lvi) timely completion of clinical trials; (lvii) submission of INDs and NDAs and other regulatory achievements; (lviii) partner or collaborator achievements; (lix) internal controls, including those related to the Sarbanes-Oxley Act of 2002; (lx) research progress, including the development of programs; (lxi) investor relations, analysts and communication; (lxii) manufacturing achievements (including obtaining particular yields from manufacturing runs and other measurable objectives related to process development activities); (lxiii) strategic partnerships or transactions (including in-licensing and out-licensing of intellectual property; (lxiv) establishing relationships with commercial entities with respect to the marketing, distribution and sale of the Company’s products (including with group purchasing organizations, distributors and other vendors); (lxv) supply chain achievements (including establishing relationships with manufacturers or suppliers of active pharmaceutical ingredients and other component materials and manufacturers of the Company’s products); (lxvi) co-development, co-marketing, profit sharing, joint venture or other similar arrangements; and (lxvii) and other measures of performance selected by the Plan Administrator.</w:t>
      </w:r>
    </w:p>
    <w:p>
      <w:pPr>
        <w:spacing w:after="0" w:line="160" w:lineRule="exact"/>
        <w:rPr>
          <w:sz w:val="20"/>
          <w:szCs w:val="20"/>
          <w:color w:val="auto"/>
        </w:rPr>
      </w:pPr>
    </w:p>
    <w:p>
      <w:pPr>
        <w:jc w:val="both"/>
        <w:ind w:firstLine="132"/>
        <w:spacing w:after="0" w:line="245" w:lineRule="auto"/>
        <w:rPr>
          <w:sz w:val="20"/>
          <w:szCs w:val="20"/>
          <w:color w:val="auto"/>
        </w:rPr>
      </w:pPr>
      <w:r>
        <w:rPr>
          <w:rFonts w:ascii="Times New Roman" w:cs="Times New Roman" w:eastAsia="Times New Roman" w:hAnsi="Times New Roman"/>
          <w:sz w:val="15"/>
          <w:szCs w:val="15"/>
          <w:color w:val="auto"/>
        </w:rPr>
        <w:t>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Plan Administrator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“extraordinary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(12) to exclude the effects of the timing of acceptance for review and/or approval of submissions to the Food and Drug Administration or any other regulatory body and (13) to exclude the effect of any other unusual, non-recurring gain or loss or other extraordinary item.</w:t>
      </w:r>
    </w:p>
    <w:p>
      <w:pPr>
        <w:spacing w:after="0" w:line="165"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In addition, the Plan Administrator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49" w:lineRule="exact"/>
        <w:rPr>
          <w:sz w:val="20"/>
          <w:szCs w:val="20"/>
          <w:color w:val="auto"/>
        </w:rPr>
      </w:pPr>
    </w:p>
    <w:p>
      <w:pPr>
        <w:ind w:right="140" w:firstLine="132"/>
        <w:spacing w:after="0" w:line="268" w:lineRule="auto"/>
        <w:rPr>
          <w:sz w:val="20"/>
          <w:szCs w:val="20"/>
          <w:color w:val="auto"/>
        </w:rPr>
      </w:pPr>
      <w:r>
        <w:rPr>
          <w:rFonts w:ascii="Times New Roman" w:cs="Times New Roman" w:eastAsia="Times New Roman" w:hAnsi="Times New Roman"/>
          <w:sz w:val="15"/>
          <w:szCs w:val="15"/>
          <w:color w:val="auto"/>
        </w:rPr>
        <w:t>In addition, the Plan Administrator retains the discretion to define the manner of calculating the performance criteria it selects to use for a performance period and to reduce or eliminate the compensation or economic benefit due upon the attainment of any performance goal.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Awards</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Other forms of awards valued in whole or in part by reference to, or otherwise based on, our common stock may be granted either alone or in addition to other awards under the A&amp;R Plan. Subject to the terms of the A&amp;R Plan, the Plan Administrator will have sole and complete authority to determine the persons to whom and the time or times at which such other awards will be granted, the number of shares of our common stock to be granted and all other terms and conditions of such other awards.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Clawback Policy</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Awards granted to our executive officers under the A&amp;R Plan will be subject to recoupment in accordance with any clawback policy that we adopt pursuant to the listing standards of any national securities exchange or association on which our securities are listed or that is otherwise required by the Dodd-Frank Wall Street Reform and Consumer Protection Act or other applicable law.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to Capital Structure</w:t>
      </w:r>
    </w:p>
    <w:p>
      <w:pPr>
        <w:spacing w:after="0" w:line="180"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In the event of certain capitalization adjustments, the Plan Administrator will appropriately and proportionately adjust: (i) the class(es) and maximum number of shares of our common stock subject to the A&amp;R Plan; (ii) the class(es) and maximum number of shares of our common stock that may be issued pursuant to the exercise of ISOs; (iii) the class(es) and maximum number of securities that may be awarded to any person subject to the non-employee director compensation limitation; and (iv) the class(es) and number of shares of our common stock and the exercise, strike or purchase price per share of our common stock subject to outstanding awards.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Transaction and Change in Control</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following applies to each outstanding award under the A&amp;R Plan in the event of a corporate transaction (as defined in the A&amp;R Plan and described below) or a change in control (as defined in the A&amp;R Plan and described below), unless provided otherwise in the applicable award agreement, in any other written agreement between a participant and the Company or an affiliate, or in any director compensation policy of the Company. For purposes of this Proposal 4, the term “</w:t>
      </w:r>
      <w:r>
        <w:rPr>
          <w:rFonts w:ascii="Times New Roman" w:cs="Times New Roman" w:eastAsia="Times New Roman" w:hAnsi="Times New Roman"/>
          <w:sz w:val="15"/>
          <w:szCs w:val="15"/>
          <w:b w:val="1"/>
          <w:bCs w:val="1"/>
          <w:i w:val="1"/>
          <w:iCs w:val="1"/>
          <w:color w:val="auto"/>
        </w:rPr>
        <w:t>Transaction</w:t>
      </w:r>
      <w:r>
        <w:rPr>
          <w:rFonts w:ascii="Times New Roman" w:cs="Times New Roman" w:eastAsia="Times New Roman" w:hAnsi="Times New Roman"/>
          <w:sz w:val="15"/>
          <w:szCs w:val="15"/>
          <w:color w:val="auto"/>
        </w:rPr>
        <w:t>” will mean such corporate transaction or change in control.</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In the event of a Transaction, the Plan Administrator may</w:t>
      </w:r>
    </w:p>
    <w:p>
      <w:pPr>
        <w:spacing w:after="0" w:line="178" w:lineRule="exact"/>
        <w:rPr>
          <w:sz w:val="20"/>
          <w:szCs w:val="20"/>
          <w:color w:val="auto"/>
        </w:rPr>
      </w:pPr>
    </w:p>
    <w:p>
      <w:pPr>
        <w:ind w:left="240" w:hanging="112"/>
        <w:spacing w:after="0"/>
        <w:tabs>
          <w:tab w:leader="none" w:pos="2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arrange for the assumption, continuation or substitution of a stock award by a successor corporation;</w:t>
      </w:r>
    </w:p>
    <w:p>
      <w:pPr>
        <w:spacing w:after="0" w:line="178" w:lineRule="exact"/>
        <w:rPr>
          <w:rFonts w:ascii="Times New Roman" w:cs="Times New Roman" w:eastAsia="Times New Roman" w:hAnsi="Times New Roman"/>
          <w:sz w:val="15"/>
          <w:szCs w:val="15"/>
          <w:color w:val="auto"/>
        </w:rPr>
      </w:pPr>
    </w:p>
    <w:p>
      <w:pPr>
        <w:ind w:left="240" w:hanging="112"/>
        <w:spacing w:after="0"/>
        <w:tabs>
          <w:tab w:leader="none" w:pos="2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arrange for the assignment of any reacquisition or repurchase rights held by us to a successor corporation;</w:t>
      </w:r>
    </w:p>
    <w:p>
      <w:pPr>
        <w:spacing w:after="0" w:line="178" w:lineRule="exact"/>
        <w:rPr>
          <w:rFonts w:ascii="Times New Roman" w:cs="Times New Roman" w:eastAsia="Times New Roman" w:hAnsi="Times New Roman"/>
          <w:sz w:val="15"/>
          <w:szCs w:val="15"/>
          <w:color w:val="auto"/>
        </w:rPr>
      </w:pPr>
    </w:p>
    <w:p>
      <w:pPr>
        <w:ind w:left="240" w:hanging="112"/>
        <w:spacing w:after="0"/>
        <w:tabs>
          <w:tab w:leader="none" w:pos="2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accelerate the vesting of the stock award and provide for its termination prior to the effective time of the corporate transaction;</w:t>
      </w:r>
    </w:p>
    <w:p>
      <w:pPr>
        <w:spacing w:after="0" w:line="178" w:lineRule="exact"/>
        <w:rPr>
          <w:rFonts w:ascii="Times New Roman" w:cs="Times New Roman" w:eastAsia="Times New Roman" w:hAnsi="Times New Roman"/>
          <w:sz w:val="15"/>
          <w:szCs w:val="15"/>
          <w:color w:val="auto"/>
        </w:rPr>
      </w:pPr>
    </w:p>
    <w:p>
      <w:pPr>
        <w:ind w:left="240" w:hanging="112"/>
        <w:spacing w:after="0"/>
        <w:tabs>
          <w:tab w:leader="none" w:pos="2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arrange for the lapse, in whole or in part, of any reacquisition or repurchase right held by us; or</w:t>
      </w:r>
    </w:p>
    <w:p>
      <w:pPr>
        <w:spacing w:after="0" w:line="178" w:lineRule="exact"/>
        <w:rPr>
          <w:rFonts w:ascii="Times New Roman" w:cs="Times New Roman" w:eastAsia="Times New Roman" w:hAnsi="Times New Roman"/>
          <w:sz w:val="15"/>
          <w:szCs w:val="15"/>
          <w:color w:val="auto"/>
        </w:rPr>
      </w:pPr>
    </w:p>
    <w:p>
      <w:pPr>
        <w:ind w:left="240" w:hanging="112"/>
        <w:spacing w:after="0"/>
        <w:tabs>
          <w:tab w:leader="none" w:pos="2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cancel the stock award prior to the transaction in exchange for a cash payment, which may be reduced by the exercise price payable in connection with the stock award.</w:t>
      </w:r>
    </w:p>
    <w:p>
      <w:pPr>
        <w:spacing w:after="0" w:line="178"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administrator is not obligated to treat all stock awards or portions of stock awards, even those that are of the same type, in the same manner. The administrator may take different actions with respect to the vested and unvested portions of a stock award.</w:t>
      </w:r>
    </w:p>
    <w:p>
      <w:pPr>
        <w:spacing w:after="0" w:line="141"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Under the A&amp;R Plan, a “corporate transaction” generally means the consummation of any one or more of the following events: (1) a sale or other disposition of all or substantially all of our assets; (2) a sale or other disposition of at least 50% of our outstanding securities; (3) a merger, consolidation or similar transaction where we do not survive the transaction; or (4) a merger, consolidation or similar transaction where we do survive the transaction but the shares of our common stock outstanding immediately before such transaction are converted or exchanged into other property by virtue of the transaction.</w:t>
      </w:r>
    </w:p>
    <w:p>
      <w:pPr>
        <w:spacing w:after="0" w:line="152"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Under the A&amp;R Plan, a “change in control” generally means the occurrence of any one or more of the following events: (1) the acquisition by any person, entity or group of our securities representing more than 50% of the combined voting power of our then outstanding securities, other than by virtue of a merger, consolidation, or similar transaction; (2) a consummated merger, consolidation or similar transaction in which our stockholders immediately before such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(4) when a majority of our board of directors becomes comprised of individuals who were not serving on our board of directors on the date the A&amp;R Plan was adopted by our board of directors (the “incumbent board of directors”), or whose nomination, appointment, or election was not approved by a majority of the incumbent board of directors still in office.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Plan Amendments and Termination</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Plan Administrator will have the authority to amend or terminate the A&amp;R Plan at any time. However, except as otherwise provided in the A&amp;R Plan, no amendment or termination of the A&amp;R Plan may materially impair a participant’s rights under his or her outstanding awards without the participant’s consent. We will obtain stockholder approval of any amendment to the A&amp;R Plan as required by applicable law and listing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 Federal Income Tax Consequences</w:t>
      </w:r>
    </w:p>
    <w:p>
      <w:pPr>
        <w:spacing w:after="0" w:line="180" w:lineRule="exact"/>
        <w:rPr>
          <w:sz w:val="20"/>
          <w:szCs w:val="20"/>
          <w:color w:val="auto"/>
        </w:rPr>
      </w:pPr>
    </w:p>
    <w:p>
      <w:pPr>
        <w:jc w:val="both"/>
        <w:ind w:firstLine="132"/>
        <w:spacing w:after="0" w:line="269" w:lineRule="auto"/>
        <w:rPr>
          <w:sz w:val="20"/>
          <w:szCs w:val="20"/>
          <w:color w:val="auto"/>
        </w:rPr>
      </w:pPr>
      <w:r>
        <w:rPr>
          <w:rFonts w:ascii="Times New Roman" w:cs="Times New Roman" w:eastAsia="Times New Roman" w:hAnsi="Times New Roman"/>
          <w:sz w:val="14"/>
          <w:szCs w:val="14"/>
          <w:color w:val="auto"/>
        </w:rPr>
        <w:t>The following is a summary of the principal United States federal income tax consequences to participants and us with respect to participation in the A&amp;R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A&amp;R Plan. The A&amp;R Plan is not qualified under the provisions of Section 401(a) of the Code and is not subject to any of the provisions of the Employee Retirement Income Security Act of 1974. Our ability to realize the benefit of any tax deductions described below depends on our generation of taxable income as well as the requirement of reasonableness and the satisfaction of our tax reporting obligations.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Nonstatutory Stock Options</w:t>
      </w:r>
    </w:p>
    <w:p>
      <w:pPr>
        <w:spacing w:after="0" w:line="180"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his or her fair market value on the date of exercise of the stock option, and the participant’s capital gain holding period for those shares will begin on that date.</w:t>
      </w:r>
    </w:p>
    <w:p>
      <w:pPr>
        <w:spacing w:after="0" w:line="152"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Subject to the requirement of reasonableness, the provisions of Section 162(m) of the Code, and the satisfaction of a tax reporting obligation, we will generally be entitled to a tax deduction equal to the taxable ordinary income realized by the participant.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Incentive Stock Options</w:t>
      </w:r>
    </w:p>
    <w:p>
      <w:pPr>
        <w:spacing w:after="0" w:line="180"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The A&amp;R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152"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153"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spacing w:after="0" w:line="153"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the provisions of Section 162(m) of the Code, and provided that either the employee includes that amount in income or we timely satisfy our reporting requirements with respect to that amount.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Restricted Stock Awards</w:t>
      </w:r>
    </w:p>
    <w:p>
      <w:pPr>
        <w:spacing w:after="0" w:line="180" w:lineRule="exact"/>
        <w:rPr>
          <w:sz w:val="20"/>
          <w:szCs w:val="20"/>
          <w:color w:val="auto"/>
        </w:rPr>
      </w:pPr>
    </w:p>
    <w:p>
      <w:pPr>
        <w:jc w:val="both"/>
        <w:ind w:firstLine="132"/>
        <w:spacing w:after="0" w:line="269" w:lineRule="auto"/>
        <w:rPr>
          <w:sz w:val="20"/>
          <w:szCs w:val="20"/>
          <w:color w:val="auto"/>
        </w:rPr>
      </w:pPr>
      <w:r>
        <w:rPr>
          <w:rFonts w:ascii="Times New Roman" w:cs="Times New Roman" w:eastAsia="Times New Roman" w:hAnsi="Times New Roman"/>
          <w:sz w:val="14"/>
          <w:szCs w:val="14"/>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restricted stock award, to recognize ordinary income, as of the date the recipient receives the restricted stock award, equal to the excess, if any, of the fair market value of the stock on the date the restricted stock award is granted over any amount paid by the recipient for the stock.</w:t>
      </w:r>
    </w:p>
    <w:p>
      <w:pPr>
        <w:spacing w:after="0" w:line="144"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141"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Subject to the requirement of reasonableness, the provisions of Section 162(m) of the Code, and the satisfaction of a tax reporting obligation, we will generally be entitled to a tax deduction equal to the taxable ordinary income realized by the recipient of the restricted stock award.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Restricted Stock Unit Awards</w:t>
      </w:r>
    </w:p>
    <w:p>
      <w:pPr>
        <w:spacing w:after="0" w:line="180"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Generally, the recipient of a restricted stock unit award structured to comply with the requirements of Section 409A of the Code or an exception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exception to the requirements of Section 409A of the Code (including delivery upon achievement of a performance goal), in addition to the tax treatment described above, the recipient will owe an additional 20% federal tax and interest on any taxes owed.</w:t>
      </w:r>
    </w:p>
    <w:p>
      <w:pPr>
        <w:spacing w:after="0" w:line="158" w:lineRule="exact"/>
        <w:rPr>
          <w:sz w:val="20"/>
          <w:szCs w:val="20"/>
          <w:color w:val="auto"/>
        </w:rPr>
      </w:pPr>
    </w:p>
    <w:p>
      <w:pPr>
        <w:ind w:right="180" w:firstLine="132"/>
        <w:spacing w:after="0" w:line="268" w:lineRule="auto"/>
        <w:rPr>
          <w:sz w:val="20"/>
          <w:szCs w:val="20"/>
          <w:color w:val="auto"/>
        </w:rPr>
      </w:pPr>
      <w:r>
        <w:rPr>
          <w:rFonts w:ascii="Times New Roman" w:cs="Times New Roman" w:eastAsia="Times New Roman" w:hAnsi="Times New Roman"/>
          <w:sz w:val="15"/>
          <w:szCs w:val="15"/>
          <w:color w:val="auto"/>
        </w:rPr>
        <w:t>The recipient’s basis for the determination of gain or loss upon the subsequent disposition of shares acquired from a restricted stock unit award will be the amount paid for such shares plus any ordinary income recognized when the stock is delivered.</w:t>
      </w:r>
    </w:p>
    <w:p>
      <w:pPr>
        <w:spacing w:after="0" w:line="141" w:lineRule="exact"/>
        <w:rPr>
          <w:sz w:val="20"/>
          <w:szCs w:val="20"/>
          <w:color w:val="auto"/>
        </w:rPr>
      </w:pPr>
    </w:p>
    <w:p>
      <w:pPr>
        <w:ind w:firstLine="132"/>
        <w:spacing w:after="0" w:line="268" w:lineRule="auto"/>
        <w:rPr>
          <w:sz w:val="20"/>
          <w:szCs w:val="20"/>
          <w:color w:val="auto"/>
        </w:rPr>
      </w:pPr>
      <w:r>
        <w:rPr>
          <w:rFonts w:ascii="Times New Roman" w:cs="Times New Roman" w:eastAsia="Times New Roman" w:hAnsi="Times New Roman"/>
          <w:sz w:val="15"/>
          <w:szCs w:val="15"/>
          <w:color w:val="auto"/>
        </w:rPr>
        <w:t>Subject to the requirement of reasonableness, the provisions of Section 162(m) of the Code, and the satisfaction of a tax reporting obligation, we will generally be entitled to a tax deduction equal to the taxable ordinary income realized by the recipient of the restricted stock unit award.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Appreciation Rights</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Subject to the requirement of reasonableness, the provisions of Section 162(m) of the Code, and the satisfaction of a tax reporting obligation, we will generally be entitled to a tax deduction equal to the taxable ordinary income realized by the recipient of the stock appreciation right.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162(m) Limitations</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In general, under Section 162(m) of the Code, income tax deductions of publicly traded corporations may be limited to the extent total compensation for certain current or former executive officers exceeds $1 million in any one taxable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New Plan Benefits</w:t>
      </w:r>
    </w:p>
    <w:p>
      <w:pPr>
        <w:spacing w:after="0" w:line="180"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Other than awards that will be made automatically under our non-employee director compensation program which, as of the date of this proxy statement, consists of an annual award of a stock option for a total of 39,200 shares of common stock (or, for the non-employee chairman, 49,200 shares) for each of our non-employee directors ("Annual Grant") and an initial award of a stock option upon each non-employee director's commencement of service on the Board covering 1.5 times the number of shares covered by the Annual Grant, awards under the A&amp;R Plan are subject to the discretion of the plan administrator and no determinations have been made by the plan administrator as to any future awards that may be granted pursuant to the A&amp;R Plan. Therefore, it is not possible to determine the benefits that will be received in the future by participants in the A&amp;R Plan. However, our directors and executive officers are eligible to receive awards under the A&amp;R Plan and could benefit from the grant of equity-based awards under the A&amp;R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Additional Prior Award Information</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following table sets forth, with respect to the individuals and groups identified therein, information regarding stock options, restricted stock awards and performance share awards that have been granted to such individuals and groups under the Existing Plan through March 22, 2024:</w:t>
      </w: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42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Number of Stock</w:t>
            </w:r>
          </w:p>
        </w:tc>
        <w:tc>
          <w:tcPr>
            <w:tcW w:w="4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Number of Restricted Stock Unit</w:t>
            </w:r>
          </w:p>
        </w:tc>
        <w:tc>
          <w:tcPr>
            <w:tcW w:w="40" w:type="dxa"/>
            <w:vAlign w:val="bottom"/>
          </w:tcPr>
          <w:p>
            <w:pPr>
              <w:spacing w:after="0"/>
              <w:rPr>
                <w:sz w:val="15"/>
                <w:szCs w:val="15"/>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Dollar Value of Restricted Stock Unit</w:t>
            </w:r>
          </w:p>
        </w:tc>
      </w:tr>
      <w:tr>
        <w:trPr>
          <w:trHeight w:val="192"/>
        </w:trPr>
        <w:tc>
          <w:tcPr>
            <w:tcW w:w="20" w:type="dxa"/>
            <w:vAlign w:val="bottom"/>
          </w:tcPr>
          <w:p>
            <w:pPr>
              <w:spacing w:after="0"/>
              <w:rPr>
                <w:sz w:val="16"/>
                <w:szCs w:val="16"/>
                <w:color w:val="auto"/>
              </w:rPr>
            </w:pPr>
          </w:p>
        </w:tc>
        <w:tc>
          <w:tcPr>
            <w:tcW w:w="46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Options (1)</w:t>
            </w:r>
          </w:p>
        </w:tc>
        <w:tc>
          <w:tcPr>
            <w:tcW w:w="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Awards (1)</w:t>
            </w:r>
          </w:p>
        </w:tc>
        <w:tc>
          <w:tcPr>
            <w:tcW w:w="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Awards (1)</w:t>
            </w: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i w:val="1"/>
                <w:iCs w:val="1"/>
                <w:color w:val="auto"/>
              </w:rPr>
              <w:t>Named Executive Officers</w:t>
            </w: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tcPr>
          <w:p>
            <w:pPr>
              <w:ind w:left="120"/>
              <w:spacing w:after="0" w:line="167" w:lineRule="exact"/>
              <w:rPr>
                <w:sz w:val="20"/>
                <w:szCs w:val="20"/>
                <w:color w:val="auto"/>
              </w:rPr>
            </w:pPr>
            <w:r>
              <w:rPr>
                <w:rFonts w:ascii="Times New Roman" w:cs="Times New Roman" w:eastAsia="Times New Roman" w:hAnsi="Times New Roman"/>
                <w:sz w:val="15"/>
                <w:szCs w:val="15"/>
                <w:color w:val="auto"/>
              </w:rPr>
              <w:t xml:space="preserve">Neil F. McFarlane, </w:t>
            </w:r>
            <w:r>
              <w:rPr>
                <w:rFonts w:ascii="Times New Roman" w:cs="Times New Roman" w:eastAsia="Times New Roman" w:hAnsi="Times New Roman"/>
                <w:sz w:val="15"/>
                <w:szCs w:val="15"/>
                <w:i w:val="1"/>
                <w:iCs w:val="1"/>
                <w:color w:val="auto"/>
              </w:rPr>
              <w:t>President, Chief Executive Officer and Director</w:t>
            </w:r>
          </w:p>
        </w:tc>
        <w:tc>
          <w:tcPr>
            <w:tcW w:w="1420" w:type="dxa"/>
            <w:vAlign w:val="bottom"/>
            <w:tcBorders>
              <w:bottom w:val="single" w:sz="8" w:color="auto"/>
            </w:tcBorders>
          </w:tcPr>
          <w:p>
            <w:pPr>
              <w:jc w:val="center"/>
              <w:ind w:right="47"/>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4"/>
                <w:szCs w:val="14"/>
                <w:color w:val="auto"/>
              </w:rPr>
            </w:pPr>
          </w:p>
        </w:tc>
        <w:tc>
          <w:tcPr>
            <w:tcW w:w="2320" w:type="dxa"/>
            <w:vAlign w:val="bottom"/>
            <w:tcBorders>
              <w:bottom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700,000</w:t>
            </w:r>
          </w:p>
        </w:tc>
        <w:tc>
          <w:tcPr>
            <w:tcW w:w="40" w:type="dxa"/>
            <w:vAlign w:val="bottom"/>
          </w:tcPr>
          <w:p>
            <w:pPr>
              <w:spacing w:after="0"/>
              <w:rPr>
                <w:sz w:val="14"/>
                <w:szCs w:val="14"/>
                <w:color w:val="auto"/>
              </w:rPr>
            </w:pPr>
          </w:p>
        </w:tc>
        <w:tc>
          <w:tcPr>
            <w:tcW w:w="2580" w:type="dxa"/>
            <w:vAlign w:val="bottom"/>
            <w:tcBorders>
              <w:bottom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$4,032,000</w:t>
            </w:r>
          </w:p>
        </w:tc>
      </w:tr>
      <w:tr>
        <w:trPr>
          <w:trHeight w:val="150"/>
        </w:trPr>
        <w:tc>
          <w:tcPr>
            <w:tcW w:w="20" w:type="dxa"/>
            <w:vAlign w:val="bottom"/>
          </w:tcPr>
          <w:p>
            <w:pPr>
              <w:spacing w:after="0"/>
              <w:rPr>
                <w:sz w:val="13"/>
                <w:szCs w:val="13"/>
                <w:color w:val="auto"/>
              </w:rPr>
            </w:pPr>
          </w:p>
        </w:tc>
        <w:tc>
          <w:tcPr>
            <w:tcW w:w="4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 xml:space="preserve">Travis Mickle, Ph.D., </w:t>
            </w:r>
            <w:r>
              <w:rPr>
                <w:rFonts w:ascii="Times New Roman" w:cs="Times New Roman" w:eastAsia="Times New Roman" w:hAnsi="Times New Roman"/>
                <w:sz w:val="15"/>
                <w:szCs w:val="15"/>
                <w:i w:val="1"/>
                <w:iCs w:val="1"/>
                <w:color w:val="auto"/>
              </w:rPr>
              <w:t>Former President, Chief Executive Officer and</w:t>
            </w:r>
          </w:p>
        </w:tc>
        <w:tc>
          <w:tcPr>
            <w:tcW w:w="1420" w:type="dxa"/>
            <w:vAlign w:val="bottom"/>
            <w:shd w:val="clear" w:color="auto" w:fill="CCEEFF"/>
          </w:tcPr>
          <w:p>
            <w:pPr>
              <w:jc w:val="center"/>
              <w:ind w:right="27"/>
              <w:spacing w:after="0" w:line="150" w:lineRule="exact"/>
              <w:rPr>
                <w:sz w:val="20"/>
                <w:szCs w:val="20"/>
                <w:color w:val="auto"/>
              </w:rPr>
            </w:pPr>
            <w:r>
              <w:rPr>
                <w:rFonts w:ascii="Times New Roman" w:cs="Times New Roman" w:eastAsia="Times New Roman" w:hAnsi="Times New Roman"/>
                <w:sz w:val="15"/>
                <w:szCs w:val="15"/>
                <w:color w:val="auto"/>
                <w:w w:val="98"/>
              </w:rPr>
              <w:t>636,898</w:t>
            </w:r>
          </w:p>
        </w:tc>
        <w:tc>
          <w:tcPr>
            <w:tcW w:w="2360" w:type="dxa"/>
            <w:vAlign w:val="bottom"/>
            <w:gridSpan w:val="2"/>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8"/>
              </w:rPr>
              <w:t>547,945</w:t>
            </w:r>
          </w:p>
        </w:tc>
        <w:tc>
          <w:tcPr>
            <w:tcW w:w="2620" w:type="dxa"/>
            <w:vAlign w:val="bottom"/>
            <w:gridSpan w:val="2"/>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7"/>
              </w:rPr>
              <w:t>$3,156,163</w:t>
            </w:r>
          </w:p>
        </w:tc>
      </w:tr>
      <w:tr>
        <w:trPr>
          <w:trHeight w:val="192"/>
        </w:trPr>
        <w:tc>
          <w:tcPr>
            <w:tcW w:w="20" w:type="dxa"/>
            <w:vAlign w:val="bottom"/>
          </w:tcPr>
          <w:p>
            <w:pPr>
              <w:spacing w:after="0"/>
              <w:rPr>
                <w:sz w:val="16"/>
                <w:szCs w:val="16"/>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Director</w:t>
            </w:r>
          </w:p>
        </w:tc>
        <w:tc>
          <w:tcPr>
            <w:tcW w:w="14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3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580" w:type="dxa"/>
            <w:vAlign w:val="bottom"/>
            <w:tcBorders>
              <w:bottom w:val="single" w:sz="8" w:color="auto"/>
            </w:tcBorders>
            <w:shd w:val="clear" w:color="auto" w:fill="CCEEFF"/>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tcPr>
          <w:p>
            <w:pPr>
              <w:ind w:left="120"/>
              <w:spacing w:after="0" w:line="167" w:lineRule="exact"/>
              <w:rPr>
                <w:sz w:val="20"/>
                <w:szCs w:val="20"/>
                <w:color w:val="auto"/>
              </w:rPr>
            </w:pPr>
            <w:r>
              <w:rPr>
                <w:rFonts w:ascii="Times New Roman" w:cs="Times New Roman" w:eastAsia="Times New Roman" w:hAnsi="Times New Roman"/>
                <w:sz w:val="15"/>
                <w:szCs w:val="15"/>
                <w:color w:val="auto"/>
              </w:rPr>
              <w:t xml:space="preserve">Richard W. Pascoe, </w:t>
            </w:r>
            <w:r>
              <w:rPr>
                <w:rFonts w:ascii="Times New Roman" w:cs="Times New Roman" w:eastAsia="Times New Roman" w:hAnsi="Times New Roman"/>
                <w:sz w:val="15"/>
                <w:szCs w:val="15"/>
                <w:i w:val="1"/>
                <w:iCs w:val="1"/>
                <w:color w:val="auto"/>
              </w:rPr>
              <w:t>Former Chief Executive Officer and Director</w:t>
            </w:r>
          </w:p>
        </w:tc>
        <w:tc>
          <w:tcPr>
            <w:tcW w:w="1420" w:type="dxa"/>
            <w:vAlign w:val="bottom"/>
            <w:tcBorders>
              <w:bottom w:val="single" w:sz="8" w:color="auto"/>
            </w:tcBorders>
          </w:tcPr>
          <w:p>
            <w:pPr>
              <w:jc w:val="center"/>
              <w:ind w:right="27"/>
              <w:spacing w:after="0" w:line="167" w:lineRule="exact"/>
              <w:rPr>
                <w:sz w:val="20"/>
                <w:szCs w:val="20"/>
                <w:color w:val="auto"/>
              </w:rPr>
            </w:pPr>
            <w:r>
              <w:rPr>
                <w:rFonts w:ascii="Times New Roman" w:cs="Times New Roman" w:eastAsia="Times New Roman" w:hAnsi="Times New Roman"/>
                <w:sz w:val="15"/>
                <w:szCs w:val="15"/>
                <w:color w:val="auto"/>
                <w:w w:val="98"/>
              </w:rPr>
              <w:t>948,848</w:t>
            </w:r>
          </w:p>
        </w:tc>
        <w:tc>
          <w:tcPr>
            <w:tcW w:w="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w:t>
            </w: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5"/>
                <w:szCs w:val="15"/>
                <w:color w:val="auto"/>
              </w:rPr>
              <w:t xml:space="preserve">Christal M.M. Mickle, </w:t>
            </w:r>
            <w:r>
              <w:rPr>
                <w:rFonts w:ascii="Times New Roman" w:cs="Times New Roman" w:eastAsia="Times New Roman" w:hAnsi="Times New Roman"/>
                <w:sz w:val="15"/>
                <w:szCs w:val="15"/>
                <w:i w:val="1"/>
                <w:iCs w:val="1"/>
                <w:color w:val="auto"/>
              </w:rPr>
              <w:t>Former Interim Chief Executive Officer</w:t>
            </w:r>
          </w:p>
        </w:tc>
        <w:tc>
          <w:tcPr>
            <w:tcW w:w="1420" w:type="dxa"/>
            <w:vAlign w:val="bottom"/>
            <w:tcBorders>
              <w:bottom w:val="single" w:sz="8" w:color="auto"/>
            </w:tcBorders>
            <w:shd w:val="clear" w:color="auto" w:fill="CCEEFF"/>
          </w:tcPr>
          <w:p>
            <w:pPr>
              <w:jc w:val="center"/>
              <w:ind w:right="27"/>
              <w:spacing w:after="0" w:line="167" w:lineRule="exact"/>
              <w:rPr>
                <w:sz w:val="20"/>
                <w:szCs w:val="20"/>
                <w:color w:val="auto"/>
              </w:rPr>
            </w:pPr>
            <w:r>
              <w:rPr>
                <w:rFonts w:ascii="Times New Roman" w:cs="Times New Roman" w:eastAsia="Times New Roman" w:hAnsi="Times New Roman"/>
                <w:sz w:val="15"/>
                <w:szCs w:val="15"/>
                <w:color w:val="auto"/>
                <w:w w:val="98"/>
              </w:rPr>
              <w:t>414,787</w:t>
            </w:r>
          </w:p>
        </w:tc>
        <w:tc>
          <w:tcPr>
            <w:tcW w:w="2360" w:type="dxa"/>
            <w:vAlign w:val="bottom"/>
            <w:tcBorders>
              <w:bottom w:val="single" w:sz="8" w:color="auto"/>
            </w:tcBorders>
            <w:gridSpan w:val="2"/>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6"/>
              </w:rPr>
              <w:t>77,000</w:t>
            </w:r>
          </w:p>
        </w:tc>
        <w:tc>
          <w:tcPr>
            <w:tcW w:w="2620" w:type="dxa"/>
            <w:vAlign w:val="bottom"/>
            <w:tcBorders>
              <w:bottom w:val="single" w:sz="8" w:color="auto"/>
            </w:tcBorders>
            <w:gridSpan w:val="2"/>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9"/>
              </w:rPr>
              <w:t>$443,520</w:t>
            </w: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tcPr>
          <w:p>
            <w:pPr>
              <w:ind w:left="120"/>
              <w:spacing w:after="0" w:line="167" w:lineRule="exact"/>
              <w:rPr>
                <w:sz w:val="20"/>
                <w:szCs w:val="20"/>
                <w:color w:val="auto"/>
              </w:rPr>
            </w:pPr>
            <w:r>
              <w:rPr>
                <w:rFonts w:ascii="Times New Roman" w:cs="Times New Roman" w:eastAsia="Times New Roman" w:hAnsi="Times New Roman"/>
                <w:sz w:val="15"/>
                <w:szCs w:val="15"/>
                <w:color w:val="auto"/>
                <w:w w:val="98"/>
              </w:rPr>
              <w:t xml:space="preserve">R. LaDuane Clifton, CPA, </w:t>
            </w:r>
            <w:r>
              <w:rPr>
                <w:rFonts w:ascii="Times New Roman" w:cs="Times New Roman" w:eastAsia="Times New Roman" w:hAnsi="Times New Roman"/>
                <w:sz w:val="15"/>
                <w:szCs w:val="15"/>
                <w:i w:val="1"/>
                <w:iCs w:val="1"/>
                <w:color w:val="auto"/>
                <w:w w:val="98"/>
              </w:rPr>
              <w:t>Chief Financial Officer, Secretary and Treasurer</w:t>
            </w:r>
          </w:p>
        </w:tc>
        <w:tc>
          <w:tcPr>
            <w:tcW w:w="1420" w:type="dxa"/>
            <w:vAlign w:val="bottom"/>
            <w:tcBorders>
              <w:bottom w:val="single" w:sz="8" w:color="auto"/>
            </w:tcBorders>
          </w:tcPr>
          <w:p>
            <w:pPr>
              <w:jc w:val="center"/>
              <w:ind w:right="27"/>
              <w:spacing w:after="0" w:line="167" w:lineRule="exact"/>
              <w:rPr>
                <w:sz w:val="20"/>
                <w:szCs w:val="20"/>
                <w:color w:val="auto"/>
              </w:rPr>
            </w:pPr>
            <w:r>
              <w:rPr>
                <w:rFonts w:ascii="Times New Roman" w:cs="Times New Roman" w:eastAsia="Times New Roman" w:hAnsi="Times New Roman"/>
                <w:sz w:val="15"/>
                <w:szCs w:val="15"/>
                <w:color w:val="auto"/>
                <w:w w:val="98"/>
              </w:rPr>
              <w:t>665,466</w:t>
            </w:r>
          </w:p>
        </w:tc>
        <w:tc>
          <w:tcPr>
            <w:tcW w:w="2360" w:type="dxa"/>
            <w:vAlign w:val="bottom"/>
            <w:tcBorders>
              <w:bottom w:val="single" w:sz="8" w:color="auto"/>
            </w:tcBorders>
            <w:gridSpan w:val="2"/>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130,000</w:t>
            </w:r>
          </w:p>
        </w:tc>
        <w:tc>
          <w:tcPr>
            <w:tcW w:w="2620" w:type="dxa"/>
            <w:vAlign w:val="bottom"/>
            <w:tcBorders>
              <w:bottom w:val="single" w:sz="8" w:color="auto"/>
            </w:tcBorders>
            <w:gridSpan w:val="2"/>
          </w:tcPr>
          <w:p>
            <w:pPr>
              <w:jc w:val="center"/>
              <w:spacing w:after="0" w:line="167" w:lineRule="exact"/>
              <w:rPr>
                <w:sz w:val="20"/>
                <w:szCs w:val="20"/>
                <w:color w:val="auto"/>
              </w:rPr>
            </w:pPr>
            <w:r>
              <w:rPr>
                <w:rFonts w:ascii="Times New Roman" w:cs="Times New Roman" w:eastAsia="Times New Roman" w:hAnsi="Times New Roman"/>
                <w:sz w:val="15"/>
                <w:szCs w:val="15"/>
                <w:color w:val="auto"/>
                <w:w w:val="99"/>
              </w:rPr>
              <w:t>$748,800</w:t>
            </w: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5"/>
                <w:szCs w:val="15"/>
                <w:color w:val="auto"/>
              </w:rPr>
              <w:t xml:space="preserve">Josh Schafer, </w:t>
            </w:r>
            <w:r>
              <w:rPr>
                <w:rFonts w:ascii="Times New Roman" w:cs="Times New Roman" w:eastAsia="Times New Roman" w:hAnsi="Times New Roman"/>
                <w:sz w:val="15"/>
                <w:szCs w:val="15"/>
                <w:i w:val="1"/>
                <w:iCs w:val="1"/>
                <w:color w:val="auto"/>
              </w:rPr>
              <w:t>Chief Commercial Officer and EVP, Business Development</w:t>
            </w:r>
          </w:p>
        </w:tc>
        <w:tc>
          <w:tcPr>
            <w:tcW w:w="1420" w:type="dxa"/>
            <w:vAlign w:val="bottom"/>
            <w:tcBorders>
              <w:bottom w:val="single" w:sz="8" w:color="auto"/>
            </w:tcBorders>
            <w:shd w:val="clear" w:color="auto" w:fill="CCEEFF"/>
          </w:tcPr>
          <w:p>
            <w:pPr>
              <w:jc w:val="center"/>
              <w:ind w:right="47"/>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2360" w:type="dxa"/>
            <w:vAlign w:val="bottom"/>
            <w:tcBorders>
              <w:bottom w:val="single" w:sz="8" w:color="auto"/>
            </w:tcBorders>
            <w:gridSpan w:val="2"/>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106,000</w:t>
            </w:r>
          </w:p>
        </w:tc>
        <w:tc>
          <w:tcPr>
            <w:tcW w:w="2620" w:type="dxa"/>
            <w:vAlign w:val="bottom"/>
            <w:tcBorders>
              <w:bottom w:val="single" w:sz="8" w:color="auto"/>
            </w:tcBorders>
            <w:gridSpan w:val="2"/>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9"/>
              </w:rPr>
              <w:t>$610,560</w:t>
            </w: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tcPr>
          <w:p>
            <w:pPr>
              <w:spacing w:after="0" w:line="167" w:lineRule="exact"/>
              <w:rPr>
                <w:sz w:val="20"/>
                <w:szCs w:val="20"/>
                <w:color w:val="auto"/>
              </w:rPr>
            </w:pPr>
            <w:r>
              <w:rPr>
                <w:rFonts w:ascii="Times New Roman" w:cs="Times New Roman" w:eastAsia="Times New Roman" w:hAnsi="Times New Roman"/>
                <w:sz w:val="15"/>
                <w:szCs w:val="15"/>
                <w:i w:val="1"/>
                <w:iCs w:val="1"/>
                <w:color w:val="auto"/>
              </w:rPr>
              <w:t>All Current Executive Officers as a Group (6 persons)</w:t>
            </w:r>
          </w:p>
        </w:tc>
        <w:tc>
          <w:tcPr>
            <w:tcW w:w="1420" w:type="dxa"/>
            <w:vAlign w:val="bottom"/>
            <w:tcBorders>
              <w:bottom w:val="single" w:sz="8" w:color="auto"/>
            </w:tcBorders>
          </w:tcPr>
          <w:p>
            <w:pPr>
              <w:jc w:val="center"/>
              <w:ind w:right="47"/>
              <w:spacing w:after="0" w:line="167" w:lineRule="exact"/>
              <w:rPr>
                <w:sz w:val="20"/>
                <w:szCs w:val="20"/>
                <w:color w:val="auto"/>
              </w:rPr>
            </w:pPr>
            <w:r>
              <w:rPr>
                <w:rFonts w:ascii="Times New Roman" w:cs="Times New Roman" w:eastAsia="Times New Roman" w:hAnsi="Times New Roman"/>
                <w:sz w:val="15"/>
                <w:szCs w:val="15"/>
                <w:color w:val="auto"/>
                <w:w w:val="96"/>
              </w:rPr>
              <w:t>1,890,579</w:t>
            </w:r>
          </w:p>
        </w:tc>
        <w:tc>
          <w:tcPr>
            <w:tcW w:w="2360" w:type="dxa"/>
            <w:vAlign w:val="bottom"/>
            <w:tcBorders>
              <w:bottom w:val="single" w:sz="8" w:color="auto"/>
            </w:tcBorders>
            <w:gridSpan w:val="2"/>
          </w:tcPr>
          <w:p>
            <w:pPr>
              <w:jc w:val="center"/>
              <w:spacing w:after="0" w:line="167" w:lineRule="exact"/>
              <w:rPr>
                <w:sz w:val="20"/>
                <w:szCs w:val="20"/>
                <w:color w:val="auto"/>
              </w:rPr>
            </w:pPr>
            <w:r>
              <w:rPr>
                <w:rFonts w:ascii="Times New Roman" w:cs="Times New Roman" w:eastAsia="Times New Roman" w:hAnsi="Times New Roman"/>
                <w:sz w:val="15"/>
                <w:szCs w:val="15"/>
                <w:color w:val="auto"/>
                <w:w w:val="96"/>
              </w:rPr>
              <w:t>1,092,000</w:t>
            </w:r>
          </w:p>
        </w:tc>
        <w:tc>
          <w:tcPr>
            <w:tcW w:w="2620" w:type="dxa"/>
            <w:vAlign w:val="bottom"/>
            <w:tcBorders>
              <w:bottom w:val="single" w:sz="8" w:color="auto"/>
            </w:tcBorders>
            <w:gridSpan w:val="2"/>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$6,289,920</w:t>
            </w: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i w:val="1"/>
                <w:iCs w:val="1"/>
                <w:color w:val="auto"/>
              </w:rPr>
              <w:t>All Current Non-Employee Directors as a Group (7 persons)</w:t>
            </w:r>
          </w:p>
        </w:tc>
        <w:tc>
          <w:tcPr>
            <w:tcW w:w="1420" w:type="dxa"/>
            <w:vAlign w:val="bottom"/>
            <w:tcBorders>
              <w:bottom w:val="single" w:sz="8" w:color="auto"/>
            </w:tcBorders>
            <w:shd w:val="clear" w:color="auto" w:fill="CCEEFF"/>
          </w:tcPr>
          <w:p>
            <w:pPr>
              <w:jc w:val="center"/>
              <w:ind w:right="27"/>
              <w:spacing w:after="0" w:line="167" w:lineRule="exact"/>
              <w:rPr>
                <w:sz w:val="20"/>
                <w:szCs w:val="20"/>
                <w:color w:val="auto"/>
              </w:rPr>
            </w:pPr>
            <w:r>
              <w:rPr>
                <w:rFonts w:ascii="Times New Roman" w:cs="Times New Roman" w:eastAsia="Times New Roman" w:hAnsi="Times New Roman"/>
                <w:sz w:val="15"/>
                <w:szCs w:val="15"/>
                <w:color w:val="auto"/>
                <w:w w:val="98"/>
              </w:rPr>
              <w:t>439,500</w:t>
            </w:r>
          </w:p>
        </w:tc>
        <w:tc>
          <w:tcPr>
            <w:tcW w:w="4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w:t>
            </w: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tcPr>
          <w:p>
            <w:pPr>
              <w:spacing w:after="0" w:line="167" w:lineRule="exact"/>
              <w:rPr>
                <w:sz w:val="20"/>
                <w:szCs w:val="20"/>
                <w:color w:val="auto"/>
              </w:rPr>
            </w:pPr>
            <w:r>
              <w:rPr>
                <w:rFonts w:ascii="Times New Roman" w:cs="Times New Roman" w:eastAsia="Times New Roman" w:hAnsi="Times New Roman"/>
                <w:sz w:val="15"/>
                <w:szCs w:val="15"/>
                <w:i w:val="1"/>
                <w:iCs w:val="1"/>
                <w:color w:val="auto"/>
              </w:rPr>
              <w:t>Director Nominees:</w:t>
            </w:r>
          </w:p>
        </w:tc>
        <w:tc>
          <w:tcPr>
            <w:tcW w:w="1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5"/>
                <w:szCs w:val="15"/>
                <w:color w:val="auto"/>
              </w:rPr>
              <w:t>Thomas D. Anderson</w:t>
            </w:r>
          </w:p>
        </w:tc>
        <w:tc>
          <w:tcPr>
            <w:tcW w:w="1420" w:type="dxa"/>
            <w:vAlign w:val="bottom"/>
            <w:tcBorders>
              <w:bottom w:val="single" w:sz="8" w:color="auto"/>
            </w:tcBorders>
            <w:shd w:val="clear" w:color="auto" w:fill="CCEEFF"/>
          </w:tcPr>
          <w:p>
            <w:pPr>
              <w:jc w:val="center"/>
              <w:ind w:right="27"/>
              <w:spacing w:after="0" w:line="167" w:lineRule="exact"/>
              <w:rPr>
                <w:sz w:val="20"/>
                <w:szCs w:val="20"/>
                <w:color w:val="auto"/>
              </w:rPr>
            </w:pPr>
            <w:r>
              <w:rPr>
                <w:rFonts w:ascii="Times New Roman" w:cs="Times New Roman" w:eastAsia="Times New Roman" w:hAnsi="Times New Roman"/>
                <w:sz w:val="15"/>
                <w:szCs w:val="15"/>
                <w:color w:val="auto"/>
                <w:w w:val="96"/>
              </w:rPr>
              <w:t>58,800</w:t>
            </w:r>
          </w:p>
        </w:tc>
        <w:tc>
          <w:tcPr>
            <w:tcW w:w="4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w:t>
            </w: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tcPr>
          <w:p>
            <w:pPr>
              <w:ind w:left="120"/>
              <w:spacing w:after="0" w:line="167" w:lineRule="exact"/>
              <w:rPr>
                <w:sz w:val="20"/>
                <w:szCs w:val="20"/>
                <w:color w:val="auto"/>
              </w:rPr>
            </w:pPr>
            <w:r>
              <w:rPr>
                <w:rFonts w:ascii="Times New Roman" w:cs="Times New Roman" w:eastAsia="Times New Roman" w:hAnsi="Times New Roman"/>
                <w:sz w:val="15"/>
                <w:szCs w:val="15"/>
                <w:color w:val="auto"/>
              </w:rPr>
              <w:t>Neil F. McFarlane</w:t>
            </w:r>
          </w:p>
        </w:tc>
        <w:tc>
          <w:tcPr>
            <w:tcW w:w="1420" w:type="dxa"/>
            <w:vAlign w:val="bottom"/>
            <w:tcBorders>
              <w:bottom w:val="single" w:sz="8" w:color="auto"/>
            </w:tcBorders>
          </w:tcPr>
          <w:p>
            <w:pPr>
              <w:jc w:val="center"/>
              <w:ind w:right="47"/>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2360" w:type="dxa"/>
            <w:vAlign w:val="bottom"/>
            <w:tcBorders>
              <w:bottom w:val="single" w:sz="8" w:color="auto"/>
            </w:tcBorders>
            <w:gridSpan w:val="2"/>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700,000</w:t>
            </w:r>
          </w:p>
        </w:tc>
        <w:tc>
          <w:tcPr>
            <w:tcW w:w="2620" w:type="dxa"/>
            <w:vAlign w:val="bottom"/>
            <w:tcBorders>
              <w:bottom w:val="single" w:sz="8" w:color="auto"/>
            </w:tcBorders>
            <w:gridSpan w:val="2"/>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$4,032,000</w:t>
            </w: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5"/>
                <w:szCs w:val="15"/>
                <w:color w:val="auto"/>
              </w:rPr>
              <w:t>Alvin Shih, M.D.</w:t>
            </w:r>
          </w:p>
        </w:tc>
        <w:tc>
          <w:tcPr>
            <w:tcW w:w="1420" w:type="dxa"/>
            <w:vAlign w:val="bottom"/>
            <w:tcBorders>
              <w:bottom w:val="single" w:sz="8" w:color="auto"/>
            </w:tcBorders>
            <w:shd w:val="clear" w:color="auto" w:fill="CCEEFF"/>
          </w:tcPr>
          <w:p>
            <w:pPr>
              <w:jc w:val="center"/>
              <w:ind w:right="27"/>
              <w:spacing w:after="0" w:line="167" w:lineRule="exact"/>
              <w:rPr>
                <w:sz w:val="20"/>
                <w:szCs w:val="20"/>
                <w:color w:val="auto"/>
              </w:rPr>
            </w:pPr>
            <w:r>
              <w:rPr>
                <w:rFonts w:ascii="Times New Roman" w:cs="Times New Roman" w:eastAsia="Times New Roman" w:hAnsi="Times New Roman"/>
                <w:sz w:val="15"/>
                <w:szCs w:val="15"/>
                <w:color w:val="auto"/>
                <w:w w:val="96"/>
              </w:rPr>
              <w:t>58,800</w:t>
            </w:r>
          </w:p>
        </w:tc>
        <w:tc>
          <w:tcPr>
            <w:tcW w:w="4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w:t>
            </w:r>
          </w:p>
        </w:tc>
      </w:tr>
      <w:tr>
        <w:trPr>
          <w:trHeight w:val="166"/>
        </w:trPr>
        <w:tc>
          <w:tcPr>
            <w:tcW w:w="20" w:type="dxa"/>
            <w:vAlign w:val="bottom"/>
          </w:tcPr>
          <w:p>
            <w:pPr>
              <w:spacing w:after="0"/>
              <w:rPr>
                <w:sz w:val="14"/>
                <w:szCs w:val="14"/>
                <w:color w:val="auto"/>
              </w:rPr>
            </w:pPr>
          </w:p>
        </w:tc>
        <w:tc>
          <w:tcPr>
            <w:tcW w:w="4640" w:type="dxa"/>
            <w:vAlign w:val="bottom"/>
            <w:tcBorders>
              <w:bottom w:val="single" w:sz="8" w:color="auto"/>
            </w:tcBorders>
          </w:tcPr>
          <w:p>
            <w:pPr>
              <w:spacing w:after="0" w:line="167" w:lineRule="exact"/>
              <w:rPr>
                <w:sz w:val="20"/>
                <w:szCs w:val="20"/>
                <w:color w:val="auto"/>
              </w:rPr>
            </w:pPr>
            <w:r>
              <w:rPr>
                <w:rFonts w:ascii="Times New Roman" w:cs="Times New Roman" w:eastAsia="Times New Roman" w:hAnsi="Times New Roman"/>
                <w:sz w:val="15"/>
                <w:szCs w:val="15"/>
                <w:i w:val="1"/>
                <w:iCs w:val="1"/>
                <w:color w:val="auto"/>
              </w:rPr>
              <w:t>Each associate of any such directors, executive officers or nominees</w:t>
            </w:r>
          </w:p>
        </w:tc>
        <w:tc>
          <w:tcPr>
            <w:tcW w:w="1420" w:type="dxa"/>
            <w:vAlign w:val="bottom"/>
            <w:tcBorders>
              <w:bottom w:val="single" w:sz="8" w:color="auto"/>
            </w:tcBorders>
          </w:tcPr>
          <w:p>
            <w:pPr>
              <w:jc w:val="center"/>
              <w:ind w:right="47"/>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w:t>
            </w:r>
          </w:p>
        </w:tc>
      </w:tr>
      <w:tr>
        <w:trPr>
          <w:trHeight w:val="150"/>
        </w:trPr>
        <w:tc>
          <w:tcPr>
            <w:tcW w:w="20" w:type="dxa"/>
            <w:vAlign w:val="bottom"/>
          </w:tcPr>
          <w:p>
            <w:pPr>
              <w:spacing w:after="0"/>
              <w:rPr>
                <w:sz w:val="13"/>
                <w:szCs w:val="13"/>
                <w:color w:val="auto"/>
              </w:rPr>
            </w:pPr>
          </w:p>
        </w:tc>
        <w:tc>
          <w:tcPr>
            <w:tcW w:w="4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i w:val="1"/>
                <w:iCs w:val="1"/>
                <w:color w:val="auto"/>
              </w:rPr>
              <w:t>Each other person who received or is to receive 5 percent of such options,</w:t>
            </w:r>
          </w:p>
        </w:tc>
        <w:tc>
          <w:tcPr>
            <w:tcW w:w="1420" w:type="dxa"/>
            <w:vAlign w:val="bottom"/>
            <w:shd w:val="clear" w:color="auto" w:fill="CCEEFF"/>
          </w:tcPr>
          <w:p>
            <w:pPr>
              <w:jc w:val="center"/>
              <w:ind w:right="47"/>
              <w:spacing w:after="0" w:line="150" w:lineRule="exact"/>
              <w:rPr>
                <w:sz w:val="20"/>
                <w:szCs w:val="20"/>
                <w:color w:val="auto"/>
              </w:rPr>
            </w:pPr>
            <w:r>
              <w:rPr>
                <w:rFonts w:ascii="Times New Roman" w:cs="Times New Roman" w:eastAsia="Times New Roman" w:hAnsi="Times New Roman"/>
                <w:sz w:val="15"/>
                <w:szCs w:val="15"/>
                <w:color w:val="auto"/>
                <w:w w:val="93"/>
              </w:rPr>
              <w:t>—</w:t>
            </w:r>
          </w:p>
        </w:tc>
        <w:tc>
          <w:tcPr>
            <w:tcW w:w="40" w:type="dxa"/>
            <w:vAlign w:val="bottom"/>
            <w:shd w:val="clear" w:color="auto" w:fill="CCEEFF"/>
          </w:tcPr>
          <w:p>
            <w:pPr>
              <w:spacing w:after="0"/>
              <w:rPr>
                <w:sz w:val="13"/>
                <w:szCs w:val="13"/>
                <w:color w:val="auto"/>
              </w:rPr>
            </w:pPr>
          </w:p>
        </w:tc>
        <w:tc>
          <w:tcPr>
            <w:tcW w:w="232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3"/>
              </w:rPr>
              <w:t>—</w:t>
            </w:r>
          </w:p>
        </w:tc>
        <w:tc>
          <w:tcPr>
            <w:tcW w:w="40" w:type="dxa"/>
            <w:vAlign w:val="bottom"/>
            <w:shd w:val="clear" w:color="auto" w:fill="CCEEFF"/>
          </w:tcPr>
          <w:p>
            <w:pPr>
              <w:spacing w:after="0"/>
              <w:rPr>
                <w:sz w:val="13"/>
                <w:szCs w:val="13"/>
                <w:color w:val="auto"/>
              </w:rPr>
            </w:pPr>
          </w:p>
        </w:tc>
        <w:tc>
          <w:tcPr>
            <w:tcW w:w="258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3"/>
              </w:rPr>
              <w:t>—</w:t>
            </w:r>
          </w:p>
        </w:tc>
      </w:tr>
      <w:tr>
        <w:trPr>
          <w:trHeight w:val="192"/>
        </w:trPr>
        <w:tc>
          <w:tcPr>
            <w:tcW w:w="20" w:type="dxa"/>
            <w:vAlign w:val="bottom"/>
          </w:tcPr>
          <w:p>
            <w:pPr>
              <w:spacing w:after="0"/>
              <w:rPr>
                <w:sz w:val="16"/>
                <w:szCs w:val="16"/>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warrants or rights</w:t>
            </w:r>
          </w:p>
        </w:tc>
        <w:tc>
          <w:tcPr>
            <w:tcW w:w="14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3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580" w:type="dxa"/>
            <w:vAlign w:val="bottom"/>
            <w:tcBorders>
              <w:bottom w:val="single" w:sz="8" w:color="auto"/>
            </w:tcBorders>
            <w:shd w:val="clear" w:color="auto" w:fill="CCEEFF"/>
          </w:tcPr>
          <w:p>
            <w:pPr>
              <w:spacing w:after="0"/>
              <w:rPr>
                <w:sz w:val="16"/>
                <w:szCs w:val="16"/>
                <w:color w:val="auto"/>
              </w:rPr>
            </w:pPr>
          </w:p>
        </w:tc>
      </w:tr>
      <w:tr>
        <w:trPr>
          <w:trHeight w:val="166"/>
        </w:trPr>
        <w:tc>
          <w:tcPr>
            <w:tcW w:w="2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tcPr>
          <w:p>
            <w:pPr>
              <w:spacing w:after="0" w:line="167" w:lineRule="exact"/>
              <w:rPr>
                <w:sz w:val="20"/>
                <w:szCs w:val="20"/>
                <w:color w:val="auto"/>
              </w:rPr>
            </w:pPr>
            <w:r>
              <w:rPr>
                <w:rFonts w:ascii="Times New Roman" w:cs="Times New Roman" w:eastAsia="Times New Roman" w:hAnsi="Times New Roman"/>
                <w:sz w:val="15"/>
                <w:szCs w:val="15"/>
                <w:i w:val="1"/>
                <w:iCs w:val="1"/>
                <w:color w:val="auto"/>
              </w:rPr>
              <w:t>All Current Non-Executive Officer Employees as a group (75 persons)</w:t>
            </w:r>
          </w:p>
        </w:tc>
        <w:tc>
          <w:tcPr>
            <w:tcW w:w="1420" w:type="dxa"/>
            <w:vAlign w:val="bottom"/>
            <w:tcBorders>
              <w:bottom w:val="single" w:sz="8" w:color="auto"/>
            </w:tcBorders>
          </w:tcPr>
          <w:p>
            <w:pPr>
              <w:jc w:val="center"/>
              <w:ind w:right="47"/>
              <w:spacing w:after="0" w:line="167" w:lineRule="exact"/>
              <w:rPr>
                <w:sz w:val="20"/>
                <w:szCs w:val="20"/>
                <w:color w:val="auto"/>
              </w:rPr>
            </w:pPr>
            <w:r>
              <w:rPr>
                <w:rFonts w:ascii="Times New Roman" w:cs="Times New Roman" w:eastAsia="Times New Roman" w:hAnsi="Times New Roman"/>
                <w:sz w:val="15"/>
                <w:szCs w:val="15"/>
                <w:color w:val="auto"/>
                <w:w w:val="96"/>
              </w:rPr>
              <w:t>3,420,116</w:t>
            </w:r>
          </w:p>
        </w:tc>
        <w:tc>
          <w:tcPr>
            <w:tcW w:w="2360" w:type="dxa"/>
            <w:vAlign w:val="bottom"/>
            <w:tcBorders>
              <w:bottom w:val="single" w:sz="8" w:color="auto"/>
            </w:tcBorders>
            <w:gridSpan w:val="2"/>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527,158</w:t>
            </w:r>
          </w:p>
        </w:tc>
        <w:tc>
          <w:tcPr>
            <w:tcW w:w="2620" w:type="dxa"/>
            <w:vAlign w:val="bottom"/>
            <w:tcBorders>
              <w:bottom w:val="single" w:sz="8" w:color="auto"/>
            </w:tcBorders>
            <w:gridSpan w:val="2"/>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$3,036,430</w:t>
            </w:r>
          </w:p>
        </w:tc>
      </w:tr>
    </w:tbl>
    <w:p>
      <w:pPr>
        <w:spacing w:after="0" w:line="161" w:lineRule="exact"/>
        <w:rPr>
          <w:sz w:val="20"/>
          <w:szCs w:val="20"/>
          <w:color w:val="auto"/>
        </w:rPr>
      </w:pPr>
    </w:p>
    <w:p>
      <w:pPr>
        <w:ind w:left="460" w:right="120" w:hanging="340"/>
        <w:spacing w:after="0" w:line="268" w:lineRule="auto"/>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 numbers shown do not take into account shares subject to awards that that have been cancelled, forfeited or expired unexercised. The closing price per share of our common stock on March 22, 2024, was $5.76.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 of Certain Persons in the Second A&amp;R Plan</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Stockholders should understand that our executive officers and non-employee directors may be considered to have an interest in the approval of the A&amp;R Plan because they may in the future receive awards under the A&amp;R Plan. Nevertheless, the Board believes that it is important to provide incentives and rewards for superior performance and the retention of experienced directors and officers by adopting the A&amp;R Plan.</w:t>
      </w:r>
    </w:p>
    <w:p>
      <w:pPr>
        <w:spacing w:after="0" w:line="1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9"/>
          <w:szCs w:val="9"/>
          <w:b w:val="1"/>
          <w:bCs w:val="1"/>
          <w:color w:val="auto"/>
        </w:rPr>
        <w:t>he</w:t>
      </w:r>
      <w:r>
        <w:rPr>
          <w:rFonts w:ascii="Times New Roman" w:cs="Times New Roman" w:eastAsia="Times New Roman" w:hAnsi="Times New Roman"/>
          <w:sz w:val="15"/>
          <w:szCs w:val="15"/>
          <w:b w:val="1"/>
          <w:bCs w:val="1"/>
          <w:color w:val="auto"/>
        </w:rPr>
        <w:t xml:space="preserve"> B</w:t>
      </w:r>
      <w:r>
        <w:rPr>
          <w:rFonts w:ascii="Times New Roman" w:cs="Times New Roman" w:eastAsia="Times New Roman" w:hAnsi="Times New Roman"/>
          <w:sz w:val="9"/>
          <w:szCs w:val="9"/>
          <w:b w:val="1"/>
          <w:bCs w:val="1"/>
          <w:color w:val="auto"/>
        </w:rPr>
        <w:t>oard of</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9"/>
          <w:szCs w:val="9"/>
          <w:b w:val="1"/>
          <w:bCs w:val="1"/>
          <w:color w:val="auto"/>
        </w:rPr>
        <w:t>irectors</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9"/>
          <w:szCs w:val="9"/>
          <w:b w:val="1"/>
          <w:bCs w:val="1"/>
          <w:color w:val="auto"/>
        </w:rPr>
        <w:t>ecommends</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 V</w:t>
      </w:r>
      <w:r>
        <w:rPr>
          <w:rFonts w:ascii="Times New Roman" w:cs="Times New Roman" w:eastAsia="Times New Roman" w:hAnsi="Times New Roman"/>
          <w:sz w:val="9"/>
          <w:szCs w:val="9"/>
          <w:b w:val="1"/>
          <w:bCs w:val="1"/>
          <w:color w:val="auto"/>
        </w:rPr>
        <w:t>ote in</w:t>
      </w:r>
      <w:r>
        <w:rPr>
          <w:rFonts w:ascii="Times New Roman" w:cs="Times New Roman" w:eastAsia="Times New Roman" w:hAnsi="Times New Roman"/>
          <w:sz w:val="15"/>
          <w:szCs w:val="15"/>
          <w:b w:val="1"/>
          <w:bCs w:val="1"/>
          <w:color w:val="auto"/>
        </w:rPr>
        <w:t xml:space="preserve"> F</w:t>
      </w:r>
      <w:r>
        <w:rPr>
          <w:rFonts w:ascii="Times New Roman" w:cs="Times New Roman" w:eastAsia="Times New Roman" w:hAnsi="Times New Roman"/>
          <w:sz w:val="9"/>
          <w:szCs w:val="9"/>
          <w:b w:val="1"/>
          <w:bCs w:val="1"/>
          <w:color w:val="auto"/>
        </w:rPr>
        <w:t>avor of</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9"/>
          <w:szCs w:val="9"/>
          <w:b w:val="1"/>
          <w:bCs w:val="1"/>
          <w:color w:val="auto"/>
        </w:rPr>
        <w:t>roposal</w:t>
      </w:r>
      <w:r>
        <w:rPr>
          <w:rFonts w:ascii="Times New Roman" w:cs="Times New Roman" w:eastAsia="Times New Roman" w:hAnsi="Times New Roman"/>
          <w:sz w:val="15"/>
          <w:szCs w:val="15"/>
          <w:b w:val="1"/>
          <w:bCs w:val="1"/>
          <w:color w:val="auto"/>
        </w:rPr>
        <w:t xml:space="preserve"> 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336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0" w:type="dxa"/>
            <w:vAlign w:val="bottom"/>
          </w:tcPr>
          <w:p>
            <w:pPr>
              <w:spacing w:after="0"/>
              <w:rPr>
                <w:sz w:val="15"/>
                <w:szCs w:val="15"/>
                <w:color w:val="auto"/>
              </w:rPr>
            </w:pPr>
          </w:p>
        </w:tc>
      </w:tr>
      <w:tr>
        <w:trPr>
          <w:trHeight w:val="364"/>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7920" w:type="dxa"/>
            <w:vAlign w:val="bottom"/>
            <w:gridSpan w:val="5"/>
          </w:tcPr>
          <w:p>
            <w:pPr>
              <w:ind w:left="1460"/>
              <w:spacing w:after="0"/>
              <w:rPr>
                <w:sz w:val="20"/>
                <w:szCs w:val="20"/>
                <w:color w:val="auto"/>
              </w:rPr>
            </w:pPr>
            <w:r>
              <w:rPr>
                <w:rFonts w:ascii="Times New Roman" w:cs="Times New Roman" w:eastAsia="Times New Roman" w:hAnsi="Times New Roman"/>
                <w:sz w:val="15"/>
                <w:szCs w:val="15"/>
                <w:b w:val="1"/>
                <w:bCs w:val="1"/>
                <w:color w:val="auto"/>
              </w:rPr>
              <w:t>EXECUTIVE OFFICERS</w:t>
            </w:r>
          </w:p>
        </w:tc>
      </w:tr>
      <w:tr>
        <w:trPr>
          <w:trHeight w:val="351"/>
        </w:trPr>
        <w:tc>
          <w:tcPr>
            <w:tcW w:w="20" w:type="dxa"/>
            <w:vAlign w:val="bottom"/>
          </w:tcPr>
          <w:p>
            <w:pPr>
              <w:spacing w:after="0"/>
              <w:rPr>
                <w:sz w:val="24"/>
                <w:szCs w:val="24"/>
                <w:color w:val="auto"/>
              </w:rPr>
            </w:pP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w w:val="96"/>
              </w:rPr>
              <w:t>The following table sets forth information concerning our executive officers as of April 3, 2024:</w:t>
            </w:r>
          </w:p>
        </w:tc>
        <w:tc>
          <w:tcPr>
            <w:tcW w:w="1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350"/>
        </w:trPr>
        <w:tc>
          <w:tcPr>
            <w:tcW w:w="33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Age</w:t>
            </w:r>
          </w:p>
        </w:tc>
        <w:tc>
          <w:tcPr>
            <w:tcW w:w="120" w:type="dxa"/>
            <w:vAlign w:val="bottom"/>
          </w:tcPr>
          <w:p>
            <w:pPr>
              <w:spacing w:after="0"/>
              <w:rPr>
                <w:sz w:val="24"/>
                <w:szCs w:val="24"/>
                <w:color w:val="auto"/>
              </w:rPr>
            </w:pPr>
          </w:p>
        </w:tc>
        <w:tc>
          <w:tcPr>
            <w:tcW w:w="5400" w:type="dxa"/>
            <w:vAlign w:val="bottom"/>
          </w:tcPr>
          <w:p>
            <w:pPr>
              <w:ind w:left="244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166"/>
        </w:trPr>
        <w:tc>
          <w:tcPr>
            <w:tcW w:w="20" w:type="dxa"/>
            <w:vAlign w:val="bottom"/>
          </w:tcPr>
          <w:p>
            <w:pPr>
              <w:spacing w:after="0"/>
              <w:rPr>
                <w:sz w:val="14"/>
                <w:szCs w:val="14"/>
                <w:color w:val="auto"/>
              </w:rPr>
            </w:pPr>
          </w:p>
        </w:tc>
        <w:tc>
          <w:tcPr>
            <w:tcW w:w="3340" w:type="dxa"/>
            <w:vAlign w:val="bottom"/>
            <w:tcBorders>
              <w:top w:val="single" w:sz="8" w:color="auto"/>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Neil F. McFarlane</w:t>
            </w:r>
          </w:p>
        </w:tc>
        <w:tc>
          <w:tcPr>
            <w:tcW w:w="17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3"/>
              </w:rPr>
              <w:t>51</w:t>
            </w:r>
          </w:p>
        </w:tc>
        <w:tc>
          <w:tcPr>
            <w:tcW w:w="120" w:type="dxa"/>
            <w:vAlign w:val="bottom"/>
            <w:shd w:val="clear" w:color="auto" w:fill="CCEEFF"/>
          </w:tcPr>
          <w:p>
            <w:pPr>
              <w:spacing w:after="0"/>
              <w:rPr>
                <w:sz w:val="14"/>
                <w:szCs w:val="14"/>
                <w:color w:val="auto"/>
              </w:rPr>
            </w:pPr>
          </w:p>
        </w:tc>
        <w:tc>
          <w:tcPr>
            <w:tcW w:w="54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President, Chief Executive Officer and Director</w:t>
            </w:r>
          </w:p>
        </w:tc>
      </w:tr>
      <w:tr>
        <w:trPr>
          <w:trHeight w:val="175"/>
        </w:trPr>
        <w:tc>
          <w:tcPr>
            <w:tcW w:w="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 LaDuane Clifton, MBA, CPA</w:t>
            </w:r>
          </w:p>
        </w:tc>
        <w:tc>
          <w:tcPr>
            <w:tcW w:w="2400" w:type="dxa"/>
            <w:vAlign w:val="bottom"/>
            <w:gridSpan w:val="3"/>
          </w:tcPr>
          <w:p>
            <w:pPr>
              <w:jc w:val="center"/>
              <w:ind w:left="1787"/>
              <w:spacing w:after="0"/>
              <w:rPr>
                <w:sz w:val="20"/>
                <w:szCs w:val="20"/>
                <w:color w:val="auto"/>
              </w:rPr>
            </w:pPr>
            <w:r>
              <w:rPr>
                <w:rFonts w:ascii="Times New Roman" w:cs="Times New Roman" w:eastAsia="Times New Roman" w:hAnsi="Times New Roman"/>
                <w:sz w:val="15"/>
                <w:szCs w:val="15"/>
                <w:color w:val="auto"/>
                <w:w w:val="93"/>
              </w:rPr>
              <w:t>51</w:t>
            </w:r>
          </w:p>
        </w:tc>
        <w:tc>
          <w:tcPr>
            <w:tcW w:w="1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 Secretary and Treasurer</w:t>
            </w:r>
          </w:p>
        </w:tc>
      </w:tr>
      <w:tr>
        <w:trPr>
          <w:trHeight w:val="175"/>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Sven Guenther, Ph.D.</w:t>
            </w:r>
          </w:p>
        </w:tc>
        <w:tc>
          <w:tcPr>
            <w:tcW w:w="2400" w:type="dxa"/>
            <w:vAlign w:val="bottom"/>
            <w:gridSpan w:val="3"/>
            <w:shd w:val="clear" w:color="auto" w:fill="CCEEFF"/>
          </w:tcPr>
          <w:p>
            <w:pPr>
              <w:jc w:val="center"/>
              <w:ind w:left="1787"/>
              <w:spacing w:after="0"/>
              <w:rPr>
                <w:sz w:val="20"/>
                <w:szCs w:val="20"/>
                <w:color w:val="auto"/>
              </w:rPr>
            </w:pPr>
            <w:r>
              <w:rPr>
                <w:rFonts w:ascii="Times New Roman" w:cs="Times New Roman" w:eastAsia="Times New Roman" w:hAnsi="Times New Roman"/>
                <w:sz w:val="15"/>
                <w:szCs w:val="15"/>
                <w:color w:val="auto"/>
                <w:w w:val="93"/>
              </w:rPr>
              <w:t>52</w:t>
            </w:r>
          </w:p>
        </w:tc>
        <w:tc>
          <w:tcPr>
            <w:tcW w:w="120" w:type="dxa"/>
            <w:vAlign w:val="bottom"/>
            <w:shd w:val="clear" w:color="auto" w:fill="CCEEFF"/>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Scientific Officer</w:t>
            </w:r>
          </w:p>
        </w:tc>
      </w:tr>
      <w:tr>
        <w:trPr>
          <w:trHeight w:val="175"/>
        </w:trPr>
        <w:tc>
          <w:tcPr>
            <w:tcW w:w="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Christal M.M. Mickle, M.A.</w:t>
            </w:r>
          </w:p>
        </w:tc>
        <w:tc>
          <w:tcPr>
            <w:tcW w:w="2400" w:type="dxa"/>
            <w:vAlign w:val="bottom"/>
            <w:gridSpan w:val="3"/>
          </w:tcPr>
          <w:p>
            <w:pPr>
              <w:jc w:val="center"/>
              <w:ind w:left="1787"/>
              <w:spacing w:after="0"/>
              <w:rPr>
                <w:sz w:val="20"/>
                <w:szCs w:val="20"/>
                <w:color w:val="auto"/>
              </w:rPr>
            </w:pPr>
            <w:r>
              <w:rPr>
                <w:rFonts w:ascii="Times New Roman" w:cs="Times New Roman" w:eastAsia="Times New Roman" w:hAnsi="Times New Roman"/>
                <w:sz w:val="15"/>
                <w:szCs w:val="15"/>
                <w:color w:val="auto"/>
                <w:w w:val="93"/>
              </w:rPr>
              <w:t>45</w:t>
            </w:r>
          </w:p>
        </w:tc>
        <w:tc>
          <w:tcPr>
            <w:tcW w:w="1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Chief Development Officer; Co-Founder</w:t>
            </w:r>
          </w:p>
        </w:tc>
      </w:tr>
      <w:tr>
        <w:trPr>
          <w:trHeight w:val="175"/>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Joshua Schafer</w:t>
            </w:r>
          </w:p>
        </w:tc>
        <w:tc>
          <w:tcPr>
            <w:tcW w:w="2400" w:type="dxa"/>
            <w:vAlign w:val="bottom"/>
            <w:gridSpan w:val="3"/>
            <w:shd w:val="clear" w:color="auto" w:fill="CCEEFF"/>
          </w:tcPr>
          <w:p>
            <w:pPr>
              <w:jc w:val="center"/>
              <w:ind w:left="1787"/>
              <w:spacing w:after="0"/>
              <w:rPr>
                <w:sz w:val="20"/>
                <w:szCs w:val="20"/>
                <w:color w:val="auto"/>
              </w:rPr>
            </w:pPr>
            <w:r>
              <w:rPr>
                <w:rFonts w:ascii="Times New Roman" w:cs="Times New Roman" w:eastAsia="Times New Roman" w:hAnsi="Times New Roman"/>
                <w:sz w:val="15"/>
                <w:szCs w:val="15"/>
                <w:color w:val="auto"/>
                <w:w w:val="93"/>
              </w:rPr>
              <w:t>53</w:t>
            </w:r>
          </w:p>
        </w:tc>
        <w:tc>
          <w:tcPr>
            <w:tcW w:w="120" w:type="dxa"/>
            <w:vAlign w:val="bottom"/>
            <w:shd w:val="clear" w:color="auto" w:fill="CCEEFF"/>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Commercial Officer &amp; Executive Vice President, Business Development</w:t>
            </w:r>
          </w:p>
        </w:tc>
      </w:tr>
      <w:tr>
        <w:trPr>
          <w:trHeight w:val="190"/>
        </w:trPr>
        <w:tc>
          <w:tcPr>
            <w:tcW w:w="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Adrian Quartel, M.D., FFPM</w:t>
            </w:r>
          </w:p>
        </w:tc>
        <w:tc>
          <w:tcPr>
            <w:tcW w:w="2400" w:type="dxa"/>
            <w:vAlign w:val="bottom"/>
            <w:gridSpan w:val="3"/>
          </w:tcPr>
          <w:p>
            <w:pPr>
              <w:jc w:val="center"/>
              <w:ind w:left="1787"/>
              <w:spacing w:after="0"/>
              <w:rPr>
                <w:sz w:val="20"/>
                <w:szCs w:val="20"/>
                <w:color w:val="auto"/>
              </w:rPr>
            </w:pPr>
            <w:r>
              <w:rPr>
                <w:rFonts w:ascii="Times New Roman" w:cs="Times New Roman" w:eastAsia="Times New Roman" w:hAnsi="Times New Roman"/>
                <w:sz w:val="15"/>
                <w:szCs w:val="15"/>
                <w:color w:val="auto"/>
                <w:w w:val="93"/>
              </w:rPr>
              <w:t>63</w:t>
            </w:r>
          </w:p>
        </w:tc>
        <w:tc>
          <w:tcPr>
            <w:tcW w:w="1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Chief Medical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Neil F. McFarlane</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Biographical information regarding Mr. McFarlane is set forth under “Nominees for Election as a Class III Director for a Three-year Term Expiring at the 2027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 LaDuane Clifton, MBA, CPA</w:t>
      </w:r>
    </w:p>
    <w:p>
      <w:pPr>
        <w:spacing w:after="0" w:line="182" w:lineRule="exact"/>
        <w:rPr>
          <w:sz w:val="20"/>
          <w:szCs w:val="20"/>
          <w:color w:val="auto"/>
        </w:rPr>
      </w:pPr>
    </w:p>
    <w:p>
      <w:pPr>
        <w:jc w:val="both"/>
        <w:ind w:firstLine="132"/>
        <w:spacing w:after="0" w:line="267" w:lineRule="auto"/>
        <w:rPr>
          <w:sz w:val="20"/>
          <w:szCs w:val="20"/>
          <w:color w:val="auto"/>
        </w:rPr>
      </w:pPr>
      <w:r>
        <w:rPr>
          <w:rFonts w:ascii="Times New Roman" w:cs="Times New Roman" w:eastAsia="Times New Roman" w:hAnsi="Times New Roman"/>
          <w:sz w:val="14"/>
          <w:szCs w:val="14"/>
          <w:color w:val="auto"/>
        </w:rPr>
        <w:t>R. LaDuane Clifton, MBA, CPA, has served as our chief financial officer since June 2015 and as our secretary and treasurer since February 2016. He is responsible for the company’s financial, operating and compliance activities. Previously, Mr. Clifton served as our vice president of finance and corporate controller from April 2015 to June 2015. Prior to joining our company, Mr. Clifton served in a variety of positions with The LGL Group, Inc., a publicly-held producer of industrial and commercial products and services, from August 2009 to February 2015, including chief financial officer, secretary and treasurer from December 2012 to February 2015, chief accounting officer and secretary from March 2010 to December 2012, and corporate controller from August 2009 to March 2010. From August 2008 to August 2009, Mr. Clifton served as the chief financial officer of a21, Inc., a publicly-held holding company with businesses in stock photography and the online retail and manufacturer of framed art, and as its corporate controller from March 2007 to August 2008. Mr. Clifton served in a variety of finance and medical cost analysis roles with Aetna, Inc., a publicly-held provider of healthcare benefits, from August 1991 to August 2004. Mr. Clifton was an auditor with KPMG, LLP from August 2004 to March 2007. Mr. Clifton received his B.B.A. and M.B.A. degrees from the University of North Florida and is a certified public accountant in the state of Florida.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Sven Guenther, Ph.D.</w:t>
      </w:r>
    </w:p>
    <w:p>
      <w:pPr>
        <w:spacing w:after="0" w:line="182"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Sven Guenther, Ph.D. has served as our chief scientific officer since January 2023. Dr. Guenther was one of the first members of Zevra, he joined our Company as our group leader of research in 2007, and served as our executive vice president, research and development, from May 2014 to January 2023. In this role, he was a key contributor to the strategy and execution of all of Zevra’s early discovery work, as well as, the development and approval of three NDAs. As chief scientific officer, he continues to lead Zevra’s research team and play a central role in the advancement of the Company’s pipeline. Dr. Guenther previously served as a research scientist for New River Pharmaceuticals, where he was part of the development team for VYVANSE. He earned his Ph.D. from the University of Iowa and is listed as an inventor on numerous patents, as well as an author of several research papers.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Christal M.M. Mickle, M.A.</w:t>
      </w:r>
    </w:p>
    <w:p>
      <w:pPr>
        <w:spacing w:after="0" w:line="182"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Christal M.M. Mickle, M.A. has served as our chief development officer since January 2023. Ms. Mickle, who co-founded and has held a variety of positions at Zevra, also served as interim president and chief executive officer from June 2023 to October 2023. She previously served as senior vice president, operations and product development from June 2022 to January 2023. In this role, she managed the development of each of Zevra's products through strategic collaborations across the various drug development disciplines including clinical, regulatory, nonclinical, and manufacturing, enabling efficient use of funds and the ability to meet timelines and milestones. From January 2018 through June 2022, Ms. Mickle served as Zevra's vice president, product development and operations. Before co-founding Zevra in 2006, Ms. Mickle started her career as a research associate for New River Pharmaceuticals, preparing compounds in ADHD, pain, and thyroid dysfunctions for further study. Throughout her more than 20 years in the pharmaceutical industry, Ms. Mickle has been involved in early discovery as a medicinal chemist, starting and helping build a pharmaceutical company, and interacting with the FDA. In addition, her efforts managing a team of talented scientists has led to the approval of three NDAs. Ms. Mickle received her M.A. degree in Medicinal Chemistry from the University of Virginia and her B.A. and B.S. degrees in Chemistry and Biochemistry, respectively, from Virginia Polytechnic Institute and State University. She is also listed as an inventor on several patents.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Joshua Schafer</w:t>
      </w:r>
    </w:p>
    <w:p>
      <w:pPr>
        <w:spacing w:after="0" w:line="182" w:lineRule="exact"/>
        <w:rPr>
          <w:sz w:val="20"/>
          <w:szCs w:val="20"/>
          <w:color w:val="auto"/>
        </w:rPr>
      </w:pPr>
    </w:p>
    <w:p>
      <w:pPr>
        <w:jc w:val="both"/>
        <w:ind w:firstLine="132"/>
        <w:spacing w:after="0" w:line="267" w:lineRule="auto"/>
        <w:rPr>
          <w:sz w:val="20"/>
          <w:szCs w:val="20"/>
          <w:color w:val="auto"/>
        </w:rPr>
      </w:pPr>
      <w:r>
        <w:rPr>
          <w:rFonts w:ascii="Times New Roman" w:cs="Times New Roman" w:eastAsia="Times New Roman" w:hAnsi="Times New Roman"/>
          <w:sz w:val="14"/>
          <w:szCs w:val="14"/>
          <w:color w:val="auto"/>
        </w:rPr>
        <w:t>Joshua Schafer has served as our chief commercial officer and executive vice president, business development since January 2023. Mr. Schafer brings to Zevra over 25 years of pharmaceutical commercial, new product development and merger and acquisition (“M&amp;A”) experience. Mr. Schafer previously served as senior vice president and general manager of the Autoimmune and Rare Disease business at Mallinckrodt Pharmaceuticals from December 2020 to November 2022. Prior to that at Mallinckrodt Pharmaceuticals, he served as chief strategy and business officer from September 2019 to December 2020 and senior vice president of business development and general manager from January 2018 to September 2019. Prior to Mallinckrodt, Mr. Schafer served as vice president and oncology therapeutic area head, global marketing and strategy at Astellas Pharmaceuticals, where he was responsible for building the company's global oncology franchise, and also held senior roles at Takeda Pharmaceuticals, Accenture (formerly Anderson Consulting), G. D. Searle &amp; Co. (later acquired by Pfizer) and Cognia Corporation. During his professional career, he has successfully led over $16 billion in aggregate M&amp;A transactions. Mr. Schafer currently serves as a board member of Pharnext SA and Shuttle Pharmaceuticals. He received his B.A. in Biology and German at the University of Notre Dame, and both an M.S. in Biotechnology and an M.B.A. from Northwestern University.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Adrian Quartel, M.D., FFPM</w:t>
      </w:r>
    </w:p>
    <w:p>
      <w:pPr>
        <w:spacing w:after="0" w:line="182"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Adrian Quartel, M.D., FFPM, has served as our chief medical officer since January 2023, and previously served as the chief medical officer of Acer Therapeutics from February 2022 until January 2023, where he played a key role in guiding clinical development, medical affairs and regulatory compliance. Prior to that, he was the chief medical officer at Adamas Pharmaceuticals, a company focused on drug development for neurological diseases, from September 2020 until February 2022. From June 2017 until September 2020, Dr. Quartel served as the group vice president of global medical affairs at BioMarin Pharmaceuticals Inc., where he spearheaded the launch of six treatments for rare diseases or genetic disorders, including KUVAN, VIMIZIM, and BRINEURA. Before his tenure at BioMarin, Dr. Quartel oversaw clinical development and held senior medical leadership positions at Astellas Pharma, Inc. from January 2004 until September 2006, at Chiltern, a specialist contract research organization, from September 2006 to July 2007, and ICON Clinical Research from August 2001 to January 2004. In addition, Dr. Quartel worked as a clinical research fellow at UCLA Cedar Sinai and as a resident in cardio-thoracic surgery at Erasmus University Medical Center. He holds an M.D. from Erasmus University Medical School, Rotterdam, and has a postgraduate specialization in pharmaceutical medicine from the Faculty of Pharmaceutical Medicine in London. Dr. Quartel is board certified by the General Medical Council (GMC) in pharmaceutical medicine in the United Kingdom.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0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SECURITY OWNERSHIP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BENEFICIAL OWNERS AND MANAGEMENT</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following table sets forth the beneficial ownership of our common stock as of the Record Date for:</w:t>
      </w:r>
    </w:p>
    <w:p>
      <w:pPr>
        <w:spacing w:after="0" w:line="178" w:lineRule="exact"/>
        <w:rPr>
          <w:sz w:val="20"/>
          <w:szCs w:val="20"/>
          <w:color w:val="auto"/>
        </w:rPr>
      </w:pPr>
    </w:p>
    <w:p>
      <w:pPr>
        <w:ind w:left="280" w:hanging="141"/>
        <w:spacing w:after="0"/>
        <w:tabs>
          <w:tab w:leader="none" w:pos="2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or group of affiliated persons, who is known by us to beneficially own more than 5% of our common stock;</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named executive officers;</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 and</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current executive officers and directors as a group.</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percentage ownership information shown in the table is based upon 41,850,494 shares of common stock outstanding as of the Record Date.</w:t>
      </w:r>
    </w:p>
    <w:p>
      <w:pPr>
        <w:spacing w:after="0" w:line="178"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(a) shares of common stock issuable pursuant to the exercise of stock options or warrants that are either immediately exercisable or exercisable on or before May 22, 2024, which is 60 days after the Record Date, and (b) restricted stock units vesting on or before May 22, 2024, which is 60 days after the Record Date. These shares are deemed to be outstanding and beneficially owned by the person holding those options or warrants or restricted stock units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Except as otherwise noted below, the address for persons listed in the table is c/o Zevra Therapeutics, Inc., 1180 Celebration Boulevard, Suite 103, Celebration, FL 34747.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Number</w:t>
            </w:r>
          </w:p>
        </w:tc>
        <w:tc>
          <w:tcPr>
            <w:tcW w:w="2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Percentage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of Shares</w:t>
            </w:r>
          </w:p>
        </w:tc>
        <w:tc>
          <w:tcPr>
            <w:tcW w:w="22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of Shares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Beneficially</w:t>
            </w:r>
          </w:p>
        </w:tc>
        <w:tc>
          <w:tcPr>
            <w:tcW w:w="2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Beneficially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Owned</w:t>
            </w:r>
          </w:p>
        </w:tc>
        <w:tc>
          <w:tcPr>
            <w:tcW w:w="2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Owned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Name of Beneficial Owner[**]</w:t>
            </w:r>
          </w:p>
        </w:tc>
        <w:tc>
          <w:tcPr>
            <w:tcW w:w="14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612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Principal Stockholders:</w:t>
            </w: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Nantahala Capital Management, LLC (1)</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9"/>
              </w:rPr>
              <w:t>2,453,405</w:t>
            </w:r>
          </w:p>
        </w:tc>
        <w:tc>
          <w:tcPr>
            <w:tcW w:w="1680" w:type="dxa"/>
            <w:vAlign w:val="bottom"/>
            <w:gridSpan w:val="2"/>
          </w:tcPr>
          <w:p>
            <w:pPr>
              <w:jc w:val="center"/>
              <w:ind w:left="227"/>
              <w:spacing w:after="0"/>
              <w:rPr>
                <w:sz w:val="20"/>
                <w:szCs w:val="20"/>
                <w:color w:val="auto"/>
              </w:rPr>
            </w:pPr>
            <w:r>
              <w:rPr>
                <w:rFonts w:ascii="Times New Roman" w:cs="Times New Roman" w:eastAsia="Times New Roman" w:hAnsi="Times New Roman"/>
                <w:sz w:val="15"/>
                <w:szCs w:val="15"/>
                <w:color w:val="auto"/>
                <w:w w:val="95"/>
              </w:rPr>
              <w:t>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BlackRock, Inc. (2)</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9"/>
              </w:rPr>
              <w:t>2,410,289</w:t>
            </w:r>
          </w:p>
        </w:tc>
        <w:tc>
          <w:tcPr>
            <w:tcW w:w="1680" w:type="dxa"/>
            <w:vAlign w:val="bottom"/>
            <w:gridSpan w:val="2"/>
            <w:shd w:val="clear" w:color="auto" w:fill="CCEEFF"/>
          </w:tcPr>
          <w:p>
            <w:pPr>
              <w:jc w:val="center"/>
              <w:ind w:left="227"/>
              <w:spacing w:after="0"/>
              <w:rPr>
                <w:sz w:val="20"/>
                <w:szCs w:val="20"/>
                <w:color w:val="auto"/>
              </w:rPr>
            </w:pPr>
            <w:r>
              <w:rPr>
                <w:rFonts w:ascii="Times New Roman" w:cs="Times New Roman" w:eastAsia="Times New Roman" w:hAnsi="Times New Roman"/>
                <w:sz w:val="15"/>
                <w:szCs w:val="15"/>
                <w:color w:val="auto"/>
                <w:w w:val="95"/>
              </w:rPr>
              <w:t>5.8%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18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Named Executive Officers and Directors:</w:t>
            </w: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Neil F. McFarlane</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 LaDuane Clifton, MBA, CPA (3)</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8"/>
              </w:rPr>
              <w:t>253,599</w:t>
            </w:r>
          </w:p>
        </w:tc>
        <w:tc>
          <w:tcPr>
            <w:tcW w:w="168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Sven Guenther, Ph.D. (4)</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8"/>
              </w:rPr>
              <w:t>202,215</w:t>
            </w:r>
          </w:p>
        </w:tc>
        <w:tc>
          <w:tcPr>
            <w:tcW w:w="168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Christal M.M. Mickle, M.A. (5)</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8"/>
              </w:rPr>
              <w:t>274,990</w:t>
            </w:r>
          </w:p>
        </w:tc>
        <w:tc>
          <w:tcPr>
            <w:tcW w:w="168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Joshua Schafer (6)</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6"/>
              </w:rPr>
              <w:t>78,500</w:t>
            </w:r>
          </w:p>
        </w:tc>
        <w:tc>
          <w:tcPr>
            <w:tcW w:w="168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Adrian Quartel, M.D., FFPM</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Travis Mickle, Ph.D. (7)</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8"/>
              </w:rPr>
              <w:t>817,212</w:t>
            </w:r>
          </w:p>
        </w:tc>
        <w:tc>
          <w:tcPr>
            <w:tcW w:w="1680" w:type="dxa"/>
            <w:vAlign w:val="bottom"/>
            <w:gridSpan w:val="2"/>
          </w:tcPr>
          <w:p>
            <w:pPr>
              <w:jc w:val="center"/>
              <w:ind w:left="227"/>
              <w:spacing w:after="0"/>
              <w:rPr>
                <w:sz w:val="20"/>
                <w:szCs w:val="20"/>
                <w:color w:val="auto"/>
              </w:rPr>
            </w:pPr>
            <w:r>
              <w:rPr>
                <w:rFonts w:ascii="Times New Roman" w:cs="Times New Roman" w:eastAsia="Times New Roman" w:hAnsi="Times New Roman"/>
                <w:sz w:val="15"/>
                <w:szCs w:val="15"/>
                <w:color w:val="auto"/>
                <w:w w:val="95"/>
              </w:rPr>
              <w:t>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Richard W. Pascoe (8)</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29,973</w:t>
            </w:r>
          </w:p>
        </w:tc>
        <w:tc>
          <w:tcPr>
            <w:tcW w:w="168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Thomas D. Anderson (9)</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6"/>
              </w:rPr>
              <w:t>29,600</w:t>
            </w:r>
          </w:p>
        </w:tc>
        <w:tc>
          <w:tcPr>
            <w:tcW w:w="168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John B. Bode (10)</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39,600</w:t>
            </w:r>
          </w:p>
        </w:tc>
        <w:tc>
          <w:tcPr>
            <w:tcW w:w="168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Douglas W. Calder (11)</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6"/>
              </w:rPr>
              <w:t>19,600</w:t>
            </w:r>
          </w:p>
        </w:tc>
        <w:tc>
          <w:tcPr>
            <w:tcW w:w="168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Wendy Dixon, Ph.D. (12)</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19,600</w:t>
            </w:r>
          </w:p>
        </w:tc>
        <w:tc>
          <w:tcPr>
            <w:tcW w:w="168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Tamara A. Favorito (13)</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6"/>
              </w:rPr>
              <w:t>79,919</w:t>
            </w:r>
          </w:p>
        </w:tc>
        <w:tc>
          <w:tcPr>
            <w:tcW w:w="168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Alvin Shih, M.D. (14)</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19,600</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Corey Watton (15)</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6"/>
              </w:rPr>
              <w:t>20,600</w:t>
            </w:r>
          </w:p>
        </w:tc>
        <w:tc>
          <w:tcPr>
            <w:tcW w:w="168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All current directors and executive officers as a group (13 persons) (16)</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9"/>
              </w:rPr>
              <w:t>1,037,823</w:t>
            </w:r>
          </w:p>
        </w:tc>
        <w:tc>
          <w:tcPr>
            <w:tcW w:w="1680" w:type="dxa"/>
            <w:vAlign w:val="bottom"/>
            <w:gridSpan w:val="2"/>
            <w:shd w:val="clear" w:color="auto" w:fill="CCEEFF"/>
          </w:tcPr>
          <w:p>
            <w:pPr>
              <w:jc w:val="center"/>
              <w:ind w:left="227"/>
              <w:spacing w:after="0"/>
              <w:rPr>
                <w:sz w:val="20"/>
                <w:szCs w:val="20"/>
                <w:color w:val="auto"/>
              </w:rPr>
            </w:pPr>
            <w:r>
              <w:rPr>
                <w:rFonts w:ascii="Times New Roman" w:cs="Times New Roman" w:eastAsia="Times New Roman" w:hAnsi="Times New Roman"/>
                <w:sz w:val="15"/>
                <w:szCs w:val="15"/>
                <w:color w:val="auto"/>
                <w:w w:val="95"/>
              </w:rPr>
              <w:t>2.4%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58355" cy="111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11112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ind w:left="260" w:hanging="251"/>
        <w:spacing w:after="0" w:line="254" w:lineRule="auto"/>
        <w:rPr>
          <w:sz w:val="20"/>
          <w:szCs w:val="20"/>
          <w:color w:val="auto"/>
        </w:rPr>
      </w:pPr>
      <w:r>
        <w:rPr>
          <w:rFonts w:ascii="Times New Roman" w:cs="Times New Roman" w:eastAsia="Times New Roman" w:hAnsi="Times New Roman"/>
          <w:sz w:val="15"/>
          <w:szCs w:val="15"/>
          <w:color w:val="auto"/>
        </w:rPr>
        <w:t>[**]The Company has not included in this beneficial ownership table information regarding the holdings of Samuel J. Braun, as filed on a Schedule 13G/A filed by Samuel J. Braun with the SEC on January 12, 2022, because the Company has reason to believe that such information is not complete or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58355"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222885"/>
                    </a:xfrm>
                    <a:prstGeom prst="rect">
                      <a:avLst/>
                    </a:prstGeom>
                    <a:noFill/>
                  </pic:spPr>
                </pic:pic>
              </a:graphicData>
            </a:graphic>
          </wp:anchor>
        </w:drawing>
      </w:r>
    </w:p>
    <w:p>
      <w:pPr>
        <w:jc w:val="both"/>
        <w:ind w:left="260" w:hanging="252"/>
        <w:spacing w:after="0" w:line="212" w:lineRule="auto"/>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reported on a Schedule 13G filed by Nantahala Capital Management, LLC (“Nantahala”), Wilmot B. Harkey, and Daniel Mack on February 14, 2024. Each of the reporting persons has shared voting and dispositive power over 2,453,405 shares. Nantahala may be deemed to be the beneficial owner of the 2,453,405 shares held by funds and separately managed accounts under its control, and as the managing members of Nantahala, each of Messrs. Harkey and Mack may be deemed to be a beneficial owner of those shares. The principal business address of each of the reporting persons is 130 Main St.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5"/>
          <w:szCs w:val="15"/>
          <w:color w:val="auto"/>
        </w:rPr>
        <w:t xml:space="preserve"> Floor, New Canaan, CT 06840.</w:t>
      </w:r>
    </w:p>
    <w:p>
      <w:pPr>
        <w:spacing w:after="0" w:line="1" w:lineRule="exact"/>
        <w:rPr>
          <w:rFonts w:ascii="Times New Roman" w:cs="Times New Roman" w:eastAsia="Times New Roman" w:hAnsi="Times New Roman"/>
          <w:sz w:val="15"/>
          <w:szCs w:val="15"/>
          <w:color w:val="auto"/>
        </w:rPr>
      </w:pPr>
    </w:p>
    <w:p>
      <w:pPr>
        <w:ind w:left="260" w:hanging="252"/>
        <w:spacing w:after="0" w:line="243" w:lineRule="auto"/>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reported on a Schedule 13G filed by BlackRock, Inc. with the SEC on January 29, 2024. BlackRock, Inc. has sole voting power over 2,370,804 and sole dispositive power over 2,410,289 shares. The principal business address of BlackRock, Inc. is 50 Hudson Yards, New York, NY 10001.</w:t>
      </w:r>
    </w:p>
    <w:p>
      <w:pPr>
        <w:ind w:left="260" w:hanging="252"/>
        <w:spacing w:after="0" w:line="243" w:lineRule="auto"/>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15,883 shares of common stock held directly by Mr. Clifton and (b) 237,716 shares of common stock underlying options that are exercisable within 60 days of the Record Date.</w:t>
      </w:r>
    </w:p>
    <w:p>
      <w:pPr>
        <w:spacing w:after="0" w:line="1" w:lineRule="exact"/>
        <w:rPr>
          <w:rFonts w:ascii="Times New Roman" w:cs="Times New Roman" w:eastAsia="Times New Roman" w:hAnsi="Times New Roman"/>
          <w:sz w:val="15"/>
          <w:szCs w:val="15"/>
          <w:color w:val="auto"/>
        </w:rPr>
      </w:pPr>
    </w:p>
    <w:p>
      <w:pPr>
        <w:ind w:left="260" w:hanging="252"/>
        <w:spacing w:after="0" w:line="243" w:lineRule="auto"/>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2,740 shares of common stock held directly by Dr. Guenther and (b) 199,475 shares of common stock underlying options that are exercisable within 60 days of the Record Date.</w:t>
      </w:r>
    </w:p>
    <w:p>
      <w:pPr>
        <w:spacing w:after="0" w:line="1" w:lineRule="exact"/>
        <w:rPr>
          <w:rFonts w:ascii="Times New Roman" w:cs="Times New Roman" w:eastAsia="Times New Roman" w:hAnsi="Times New Roman"/>
          <w:sz w:val="15"/>
          <w:szCs w:val="15"/>
          <w:color w:val="auto"/>
        </w:rPr>
      </w:pPr>
    </w:p>
    <w:p>
      <w:pPr>
        <w:jc w:val="both"/>
        <w:ind w:left="260" w:hanging="252"/>
        <w:spacing w:after="0" w:line="243" w:lineRule="auto"/>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11,972 shares of common stock held directly by Ms. Mickle, (b) 9,824 shares of common stock held by the Travis C. Mickle 2015 Dynasty Trust dated 7/21/2015 for which Ms. Mickle serves as trustee. (c) 96,153 shares of common stock held by Mickle Holdings, LLC, for which Dr. Mickle is the sole managing member, and (d) 15,242 shares of common stock held by Christal M.M. Mickle 2015 Gift Trust dated 7/21/2015, for which Dr. Mickle serves as trustee, and (e) 141,799 share of common stock underlying options that are exercisable within 60 days of the Record Date.</w:t>
      </w:r>
    </w:p>
    <w:p>
      <w:pPr>
        <w:spacing w:after="0" w:line="2" w:lineRule="exact"/>
        <w:rPr>
          <w:rFonts w:ascii="Times New Roman" w:cs="Times New Roman" w:eastAsia="Times New Roman" w:hAnsi="Times New Roman"/>
          <w:sz w:val="15"/>
          <w:szCs w:val="15"/>
          <w:color w:val="auto"/>
        </w:rPr>
      </w:pPr>
    </w:p>
    <w:p>
      <w:pPr>
        <w:ind w:left="260" w:hanging="252"/>
        <w:spacing w:after="0" w:line="243" w:lineRule="auto"/>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3,500 shares of common stock held directly by Mr. Schafer and (b) 75,000 shares of common stock underlying options that are exercisable within 60 days of the Record Date.</w:t>
      </w:r>
    </w:p>
    <w:p>
      <w:pPr>
        <w:spacing w:after="0" w:line="1" w:lineRule="exact"/>
        <w:rPr>
          <w:rFonts w:ascii="Times New Roman" w:cs="Times New Roman" w:eastAsia="Times New Roman" w:hAnsi="Times New Roman"/>
          <w:sz w:val="15"/>
          <w:szCs w:val="15"/>
          <w:color w:val="auto"/>
        </w:rPr>
      </w:pPr>
    </w:p>
    <w:p>
      <w:pPr>
        <w:jc w:val="both"/>
        <w:ind w:left="260" w:hanging="252"/>
        <w:spacing w:after="0" w:line="261"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46,395 shares of common stock held directly by Dr. Mickle, (b) 9,824 shares of common stock held by the Travis C. Mickle 2015 Dynasty Trust dated 7/21/2015 for which Ms. Mickle serves as trustee. (c) 96,153 shares of common stock held by Mickle Holdings, LLC, for which Dr. Mickle is the sole managing member, and (d) 15,242 shares of common stock held by Christal M.M. Mickle 2015 Gift Trust dated 7/21/2015, for which Dr. Mickle serves as trustee, (e) 11,034 shares of common stock held be Mickle Investments, LLC, for which Dr. Mickle is the sole managing member, and (f) 638,564 shares of common stock underlying options that were exercisable as of April 25, 2023, the date of Dr. Mickle’s separation from the Company. Dr. Mickle was not with the Company on Record Date and the Company does not have access to current information regarding his share ownership.</w:t>
      </w:r>
    </w:p>
    <w:p>
      <w:pPr>
        <w:spacing w:after="0" w:line="1" w:lineRule="exact"/>
        <w:rPr>
          <w:rFonts w:ascii="Times New Roman" w:cs="Times New Roman" w:eastAsia="Times New Roman" w:hAnsi="Times New Roman"/>
          <w:sz w:val="14"/>
          <w:szCs w:val="14"/>
          <w:color w:val="auto"/>
        </w:rPr>
      </w:pPr>
    </w:p>
    <w:p>
      <w:pPr>
        <w:ind w:left="260" w:hanging="252"/>
        <w:spacing w:after="0" w:line="243" w:lineRule="auto"/>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last known information. Consists of 29,973 shares of common stock held by Mr. Pascoe as of June 1, 2023, the date of Mr. Pascoe’s separation from the Company. Mr. Pascoe was not with the Company on Record Date and the Company does not have access to current information regarding his share ownership.</w:t>
      </w:r>
    </w:p>
    <w:p>
      <w:pPr>
        <w:spacing w:after="0" w:line="1" w:lineRule="exact"/>
        <w:rPr>
          <w:rFonts w:ascii="Times New Roman" w:cs="Times New Roman" w:eastAsia="Times New Roman" w:hAnsi="Times New Roman"/>
          <w:sz w:val="15"/>
          <w:szCs w:val="15"/>
          <w:color w:val="auto"/>
        </w:rPr>
      </w:pPr>
    </w:p>
    <w:p>
      <w:pPr>
        <w:ind w:left="260" w:right="100" w:hanging="252"/>
        <w:spacing w:after="0" w:line="243" w:lineRule="auto"/>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10,000 shares of common stock held directly by Mr. Anderson and (b) 19,600 shares of common stock underlying options that are exercisable within 60 days of the Record Date.</w:t>
      </w:r>
    </w:p>
    <w:p>
      <w:pPr>
        <w:spacing w:after="0" w:line="1"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25"/>
        </w:numPr>
        <w:rPr>
          <w:rFonts w:ascii="Times New Roman" w:cs="Times New Roman" w:eastAsia="Times New Roman" w:hAnsi="Times New Roman"/>
          <w:sz w:val="14"/>
          <w:szCs w:val="14"/>
          <w:color w:val="auto"/>
          <w:shd w:val="clear" w:color="auto" w:fill="CCEEFF"/>
        </w:rPr>
      </w:pPr>
      <w:r>
        <w:rPr>
          <w:rFonts w:ascii="Times New Roman" w:cs="Times New Roman" w:eastAsia="Times New Roman" w:hAnsi="Times New Roman"/>
          <w:sz w:val="14"/>
          <w:szCs w:val="14"/>
          <w:color w:val="auto"/>
          <w:shd w:val="clear" w:color="auto" w:fill="CCEEFF"/>
        </w:rPr>
        <w:t>Consists of (a) 20,000 shares of common stock held directly by Mr. Bode and (b) 19,600 shares of common stock underlying options that are exercisable within 60 days of the Record Date.</w:t>
      </w:r>
    </w:p>
    <w:p>
      <w:pPr>
        <w:spacing w:after="0" w:line="14" w:lineRule="exact"/>
        <w:rPr>
          <w:rFonts w:ascii="Times New Roman" w:cs="Times New Roman" w:eastAsia="Times New Roman" w:hAnsi="Times New Roman"/>
          <w:sz w:val="14"/>
          <w:szCs w:val="14"/>
          <w:color w:val="auto"/>
          <w:shd w:val="clear" w:color="auto" w:fill="CCEEFF"/>
        </w:rPr>
      </w:pPr>
    </w:p>
    <w:p>
      <w:pPr>
        <w:ind w:left="260" w:hanging="252"/>
        <w:spacing w:after="0"/>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19,600 shares of common stock underlying options that are exercisable within 60 days of the Record Date.</w:t>
      </w:r>
    </w:p>
    <w:p>
      <w:pPr>
        <w:spacing w:after="0" w:line="2"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19,600 shares of common stock underlying options that are exercisable within 60 days of the Record Date.</w:t>
      </w:r>
    </w:p>
    <w:p>
      <w:pPr>
        <w:spacing w:after="0" w:line="2" w:lineRule="exact"/>
        <w:rPr>
          <w:rFonts w:ascii="Times New Roman" w:cs="Times New Roman" w:eastAsia="Times New Roman" w:hAnsi="Times New Roman"/>
          <w:sz w:val="15"/>
          <w:szCs w:val="15"/>
          <w:color w:val="auto"/>
        </w:rPr>
      </w:pPr>
    </w:p>
    <w:p>
      <w:pPr>
        <w:ind w:left="260" w:hanging="252"/>
        <w:spacing w:after="0" w:line="243" w:lineRule="auto"/>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719 shares of common stock directly held by Ms. Favorito and (b) 79,200 shares of common stock underlying options that are exercisable within 60 days of the Record Date.</w:t>
      </w:r>
    </w:p>
    <w:p>
      <w:pPr>
        <w:spacing w:after="0" w:line="1"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19,600 shares of common stock underlying options that are exercisable within 60 days of the Record Date.</w:t>
      </w:r>
    </w:p>
    <w:p>
      <w:pPr>
        <w:spacing w:after="0" w:line="2" w:lineRule="exact"/>
        <w:rPr>
          <w:rFonts w:ascii="Times New Roman" w:cs="Times New Roman" w:eastAsia="Times New Roman" w:hAnsi="Times New Roman"/>
          <w:sz w:val="15"/>
          <w:szCs w:val="15"/>
          <w:color w:val="auto"/>
        </w:rPr>
      </w:pPr>
    </w:p>
    <w:p>
      <w:pPr>
        <w:ind w:left="260" w:hanging="252"/>
        <w:spacing w:after="0" w:line="243" w:lineRule="auto"/>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1,000 shares of common stock directly held by Mr. Watton and (b) 19,600 shares of common stock underlying options that are exercisable within 60 days of the Record Date.</w:t>
      </w:r>
    </w:p>
    <w:p>
      <w:pPr>
        <w:spacing w:after="0" w:line="1"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187,033 shares of common stock and (b) 850,790 shares of common stock underlying options that are exercisable within 60 days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-3336925</wp:posOffset>
            </wp:positionV>
            <wp:extent cx="7158355"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-2891790</wp:posOffset>
            </wp:positionV>
            <wp:extent cx="7158355"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-2223770</wp:posOffset>
            </wp:positionV>
            <wp:extent cx="7158355"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-1444625</wp:posOffset>
            </wp:positionV>
            <wp:extent cx="7158355"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-776605</wp:posOffset>
            </wp:positionV>
            <wp:extent cx="7158355"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58355"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58355"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111125"/>
                    </a:xfrm>
                    <a:prstGeom prst="rect">
                      <a:avLst/>
                    </a:prstGeom>
                    <a:noFill/>
                  </pic:spPr>
                </pic:pic>
              </a:graphicData>
            </a:graphic>
          </wp:anchor>
        </w:drawing>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DELINQUENT SECTION 16(A) REPORTS</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Section 16(a) of the Exchange Act requires the Company’s directors and executive officers, and persons who own more than ten percent of a registered class of the Company’s equity securities, or collectively, the Reporting Persons, to file with the SEC initial reports of ownership and reports of changes in ownership of common stock and other equity securities of the Company. Officers, directors and greater than ten percent stockholders are required by SEC regulations to furnish the Company with copies of all Section 16(a) forms they file.</w:t>
      </w:r>
    </w:p>
    <w:p>
      <w:pPr>
        <w:spacing w:after="0" w:line="149"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To the Company’s knowledge, based solely on a review of the copies of such forms filed with the SEC and written representations of the Reporting Persons received by us, during the year ended December 31, 2023, all Section 16(a) filing requirements applicable to its Reporting Persons were complied with. During the year ended December 31, 2024, there was one late Form 3 for Alvin Shih, M.D., reporting no transactions, and one late Form 4 for Dr. Shih, reporting one transaction.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This section discusses the material components of the executive compensation program for our named executive officers for the year ended December 31, 2023, who are listed below:</w:t>
      </w:r>
    </w:p>
    <w:p>
      <w:pPr>
        <w:spacing w:after="0" w:line="178" w:lineRule="exact"/>
        <w:rPr>
          <w:sz w:val="20"/>
          <w:szCs w:val="20"/>
          <w:color w:val="auto"/>
        </w:rPr>
      </w:pPr>
    </w:p>
    <w:p>
      <w:pPr>
        <w:ind w:left="420" w:hanging="204"/>
        <w:spacing w:after="0"/>
        <w:tabs>
          <w:tab w:leader="none" w:pos="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Neil F. McFarlane, our President, Chief Executive Officer and Director;</w:t>
      </w:r>
    </w:p>
    <w:p>
      <w:pPr>
        <w:spacing w:after="0" w:line="178" w:lineRule="exact"/>
        <w:rPr>
          <w:rFonts w:ascii="Times New Roman" w:cs="Times New Roman" w:eastAsia="Times New Roman" w:hAnsi="Times New Roman"/>
          <w:sz w:val="15"/>
          <w:szCs w:val="15"/>
          <w:color w:val="auto"/>
        </w:rPr>
      </w:pPr>
    </w:p>
    <w:p>
      <w:pPr>
        <w:ind w:left="420" w:hanging="204"/>
        <w:spacing w:after="0"/>
        <w:tabs>
          <w:tab w:leader="none" w:pos="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Travis Mickle, Ph.D., our former President, Chief Executive Officer and Director;</w:t>
      </w:r>
    </w:p>
    <w:p>
      <w:pPr>
        <w:spacing w:after="0" w:line="178" w:lineRule="exact"/>
        <w:rPr>
          <w:rFonts w:ascii="Times New Roman" w:cs="Times New Roman" w:eastAsia="Times New Roman" w:hAnsi="Times New Roman"/>
          <w:sz w:val="15"/>
          <w:szCs w:val="15"/>
          <w:color w:val="auto"/>
        </w:rPr>
      </w:pPr>
    </w:p>
    <w:p>
      <w:pPr>
        <w:ind w:left="420" w:hanging="204"/>
        <w:spacing w:after="0"/>
        <w:tabs>
          <w:tab w:leader="none" w:pos="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Richard W. Pascoe, our former Chief Executive Officer and Director;</w:t>
      </w:r>
    </w:p>
    <w:p>
      <w:pPr>
        <w:spacing w:after="0" w:line="178" w:lineRule="exact"/>
        <w:rPr>
          <w:rFonts w:ascii="Times New Roman" w:cs="Times New Roman" w:eastAsia="Times New Roman" w:hAnsi="Times New Roman"/>
          <w:sz w:val="15"/>
          <w:szCs w:val="15"/>
          <w:color w:val="auto"/>
        </w:rPr>
      </w:pPr>
    </w:p>
    <w:p>
      <w:pPr>
        <w:ind w:left="420" w:hanging="204"/>
        <w:spacing w:after="0"/>
        <w:tabs>
          <w:tab w:leader="none" w:pos="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Christal M.M. Mickle, M.A., our former Interim Chief Executive Officer, and our current Chief Development Officer;</w:t>
      </w:r>
    </w:p>
    <w:p>
      <w:pPr>
        <w:spacing w:after="0" w:line="178" w:lineRule="exact"/>
        <w:rPr>
          <w:rFonts w:ascii="Times New Roman" w:cs="Times New Roman" w:eastAsia="Times New Roman" w:hAnsi="Times New Roman"/>
          <w:sz w:val="15"/>
          <w:szCs w:val="15"/>
          <w:color w:val="auto"/>
        </w:rPr>
      </w:pPr>
    </w:p>
    <w:p>
      <w:pPr>
        <w:ind w:left="420" w:hanging="204"/>
        <w:spacing w:after="0"/>
        <w:tabs>
          <w:tab w:leader="none" w:pos="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 LaDuane Clifton, MBA, CPA, our Chief Financial Officer, Secretary and Treasurer; and</w:t>
      </w:r>
    </w:p>
    <w:p>
      <w:pPr>
        <w:spacing w:after="0" w:line="178" w:lineRule="exact"/>
        <w:rPr>
          <w:rFonts w:ascii="Times New Roman" w:cs="Times New Roman" w:eastAsia="Times New Roman" w:hAnsi="Times New Roman"/>
          <w:sz w:val="15"/>
          <w:szCs w:val="15"/>
          <w:color w:val="auto"/>
        </w:rPr>
      </w:pPr>
    </w:p>
    <w:p>
      <w:pPr>
        <w:ind w:left="420" w:hanging="204"/>
        <w:spacing w:after="0"/>
        <w:tabs>
          <w:tab w:leader="none" w:pos="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Joshua Schafer, our Chief Commercial Officer and Executive Vice President,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-1212850</wp:posOffset>
            </wp:positionV>
            <wp:extent cx="7158355"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-989965</wp:posOffset>
            </wp:positionV>
            <wp:extent cx="7158355"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58355"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-544830</wp:posOffset>
            </wp:positionV>
            <wp:extent cx="7158355" cy="111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158355"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58355" cy="11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11112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2023 Summary Compensation Table</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The following table presents the compensation awarded to, earned by or paid to each of our named executive officers for the years ended December 31, 2023, and 2022, as applicable.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Non-Equity</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Stock</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Option</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Incentive Plan</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All Other</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200" w:type="dxa"/>
            <w:vAlign w:val="bottom"/>
          </w:tcPr>
          <w:p>
            <w:pPr>
              <w:spacing w:after="0"/>
              <w:rPr>
                <w:sz w:val="15"/>
                <w:szCs w:val="15"/>
                <w:color w:val="auto"/>
              </w:rPr>
            </w:pPr>
          </w:p>
        </w:tc>
        <w:tc>
          <w:tcPr>
            <w:tcW w:w="820" w:type="dxa"/>
            <w:vAlign w:val="bottom"/>
          </w:tcPr>
          <w:p>
            <w:pPr>
              <w:jc w:val="center"/>
              <w:ind w:left="27"/>
              <w:spacing w:after="0"/>
              <w:rPr>
                <w:sz w:val="20"/>
                <w:szCs w:val="20"/>
                <w:color w:val="auto"/>
              </w:rPr>
            </w:pPr>
            <w:r>
              <w:rPr>
                <w:rFonts w:ascii="Times New Roman" w:cs="Times New Roman" w:eastAsia="Times New Roman" w:hAnsi="Times New Roman"/>
                <w:sz w:val="15"/>
                <w:szCs w:val="15"/>
                <w:b w:val="1"/>
                <w:bCs w:val="1"/>
                <w:color w:val="auto"/>
                <w:w w:val="99"/>
              </w:rPr>
              <w:t>Bonus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Compensation</w:t>
            </w:r>
          </w:p>
        </w:tc>
        <w:tc>
          <w:tcPr>
            <w:tcW w:w="22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7"/>
              </w:rPr>
              <w:t>Compensation</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2"/>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 and Principal Position</w:t>
            </w:r>
          </w:p>
        </w:tc>
        <w:tc>
          <w:tcPr>
            <w:tcW w:w="120" w:type="dxa"/>
            <w:vAlign w:val="bottom"/>
          </w:tcPr>
          <w:p>
            <w:pPr>
              <w:spacing w:after="0"/>
              <w:rPr>
                <w:sz w:val="16"/>
                <w:szCs w:val="16"/>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900" w:type="dxa"/>
            <w:vAlign w:val="bottom"/>
            <w:gridSpan w:val="2"/>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gridSpan w:val="2"/>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($)(8)</w:t>
            </w:r>
          </w:p>
        </w:tc>
        <w:tc>
          <w:tcPr>
            <w:tcW w:w="110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b w:val="1"/>
                <w:bCs w:val="1"/>
                <w:color w:val="auto"/>
                <w:w w:val="97"/>
              </w:rPr>
              <w:t>($)(8)</w:t>
            </w:r>
          </w:p>
        </w:tc>
        <w:tc>
          <w:tcPr>
            <w:tcW w:w="1580" w:type="dxa"/>
            <w:vAlign w:val="bottom"/>
            <w:gridSpan w:val="2"/>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7"/>
              </w:rPr>
              <w:t>($)(9)</w:t>
            </w:r>
          </w:p>
        </w:tc>
        <w:tc>
          <w:tcPr>
            <w:tcW w:w="1040" w:type="dxa"/>
            <w:vAlign w:val="bottom"/>
            <w:gridSpan w:val="2"/>
          </w:tcPr>
          <w:p>
            <w:pPr>
              <w:jc w:val="center"/>
              <w:ind w:left="207"/>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24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Neil F. McFarlane (1)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5"/>
                <w:szCs w:val="15"/>
                <w:color w:val="auto"/>
              </w:rPr>
              <w:t>2023</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157,500</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center"/>
              <w:ind w:left="147"/>
              <w:spacing w:after="0" w:line="167" w:lineRule="exact"/>
              <w:rPr>
                <w:sz w:val="20"/>
                <w:szCs w:val="20"/>
                <w:color w:val="auto"/>
              </w:rPr>
            </w:pPr>
            <w:r>
              <w:rPr>
                <w:rFonts w:ascii="Times New Roman" w:cs="Times New Roman" w:eastAsia="Times New Roman" w:hAnsi="Times New Roman"/>
                <w:sz w:val="15"/>
                <w:szCs w:val="15"/>
                <w:color w:val="auto"/>
                <w:w w:val="98"/>
              </w:rPr>
              <w:t>200,000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w w:val="91"/>
              </w:rPr>
              <w:t>(6)</w:t>
            </w:r>
          </w:p>
        </w:tc>
        <w:tc>
          <w:tcPr>
            <w:tcW w:w="780" w:type="dxa"/>
            <w:vAlign w:val="bottom"/>
            <w:shd w:val="clear" w:color="auto" w:fill="CCEEFF"/>
          </w:tcPr>
          <w:p>
            <w:pPr>
              <w:jc w:val="center"/>
              <w:ind w:left="27"/>
              <w:spacing w:after="0" w:line="167" w:lineRule="exact"/>
              <w:rPr>
                <w:sz w:val="20"/>
                <w:szCs w:val="20"/>
                <w:color w:val="auto"/>
              </w:rPr>
            </w:pPr>
            <w:r>
              <w:rPr>
                <w:rFonts w:ascii="Times New Roman" w:cs="Times New Roman" w:eastAsia="Times New Roman" w:hAnsi="Times New Roman"/>
                <w:sz w:val="15"/>
                <w:szCs w:val="15"/>
                <w:color w:val="auto"/>
                <w:w w:val="98"/>
              </w:rPr>
              <w:t>735,365</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left="47"/>
              <w:spacing w:after="0" w:line="167" w:lineRule="exact"/>
              <w:rPr>
                <w:sz w:val="20"/>
                <w:szCs w:val="20"/>
                <w:color w:val="auto"/>
              </w:rPr>
            </w:pPr>
            <w:r>
              <w:rPr>
                <w:rFonts w:ascii="Times New Roman" w:cs="Times New Roman" w:eastAsia="Times New Roman" w:hAnsi="Times New Roman"/>
                <w:sz w:val="15"/>
                <w:szCs w:val="15"/>
                <w:color w:val="auto"/>
                <w:w w:val="96"/>
              </w:rPr>
              <w:t>2,206,096</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left="47"/>
              <w:spacing w:after="0" w:line="167" w:lineRule="exact"/>
              <w:rPr>
                <w:sz w:val="20"/>
                <w:szCs w:val="20"/>
                <w:color w:val="auto"/>
              </w:rPr>
            </w:pPr>
            <w:r>
              <w:rPr>
                <w:rFonts w:ascii="Times New Roman" w:cs="Times New Roman" w:eastAsia="Times New Roman" w:hAnsi="Times New Roman"/>
                <w:sz w:val="15"/>
                <w:szCs w:val="15"/>
                <w:color w:val="auto"/>
                <w:w w:val="98"/>
              </w:rPr>
              <w:t>105,535</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center"/>
              <w:ind w:left="107"/>
              <w:spacing w:after="0" w:line="167" w:lineRule="exact"/>
              <w:rPr>
                <w:sz w:val="20"/>
                <w:szCs w:val="20"/>
                <w:color w:val="auto"/>
              </w:rPr>
            </w:pPr>
            <w:r>
              <w:rPr>
                <w:rFonts w:ascii="Times New Roman" w:cs="Times New Roman" w:eastAsia="Times New Roman" w:hAnsi="Times New Roman"/>
                <w:sz w:val="15"/>
                <w:szCs w:val="15"/>
                <w:color w:val="auto"/>
                <w:w w:val="96"/>
              </w:rPr>
              <w:t>40,735</w:t>
            </w:r>
          </w:p>
        </w:tc>
        <w:tc>
          <w:tcPr>
            <w:tcW w:w="440" w:type="dxa"/>
            <w:vAlign w:val="bottom"/>
            <w:gridSpan w:val="2"/>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5"/>
                <w:szCs w:val="15"/>
                <w:color w:val="auto"/>
              </w:rPr>
              <w:t>(10)</w:t>
            </w:r>
          </w:p>
        </w:tc>
        <w:tc>
          <w:tcPr>
            <w:tcW w:w="7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3,445,231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8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President, Chief Executive Officer and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Travis Mickle, Ph.D. (2)</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2023</w:t>
            </w:r>
          </w:p>
        </w:tc>
        <w:tc>
          <w:tcPr>
            <w:tcW w:w="9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186,520</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127"/>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7"/>
              <w:spacing w:after="0"/>
              <w:rPr>
                <w:sz w:val="20"/>
                <w:szCs w:val="20"/>
                <w:color w:val="auto"/>
              </w:rPr>
            </w:pPr>
            <w:r>
              <w:rPr>
                <w:rFonts w:ascii="Times New Roman" w:cs="Times New Roman" w:eastAsia="Times New Roman" w:hAnsi="Times New Roman"/>
                <w:sz w:val="15"/>
                <w:szCs w:val="15"/>
                <w:color w:val="auto"/>
                <w:w w:val="96"/>
              </w:rPr>
              <w:t>2,204,788</w:t>
            </w:r>
          </w:p>
        </w:tc>
        <w:tc>
          <w:tcPr>
            <w:tcW w:w="110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5"/>
                <w:szCs w:val="15"/>
                <w:color w:val="auto"/>
                <w:w w:val="98"/>
              </w:rPr>
              <w:t>354,085</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3"/>
              </w:rPr>
              <w:t>—</w:t>
            </w:r>
          </w:p>
        </w:tc>
        <w:tc>
          <w:tcPr>
            <w:tcW w:w="1040" w:type="dxa"/>
            <w:vAlign w:val="bottom"/>
            <w:gridSpan w:val="2"/>
            <w:shd w:val="clear" w:color="auto" w:fill="CCEEFF"/>
          </w:tcPr>
          <w:p>
            <w:pPr>
              <w:jc w:val="center"/>
              <w:ind w:left="327"/>
              <w:spacing w:after="0"/>
              <w:rPr>
                <w:sz w:val="20"/>
                <w:szCs w:val="20"/>
                <w:color w:val="auto"/>
              </w:rPr>
            </w:pPr>
            <w:r>
              <w:rPr>
                <w:rFonts w:ascii="Times New Roman" w:cs="Times New Roman" w:eastAsia="Times New Roman" w:hAnsi="Times New Roman"/>
                <w:sz w:val="15"/>
                <w:szCs w:val="15"/>
                <w:color w:val="auto"/>
                <w:w w:val="98"/>
              </w:rPr>
              <w:t>848,045</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3,593,438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8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Former President, Chief Executive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Officer and Director</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2022</w:t>
            </w:r>
          </w:p>
        </w:tc>
        <w:tc>
          <w:tcPr>
            <w:tcW w:w="9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590,186</w:t>
            </w:r>
          </w:p>
        </w:tc>
        <w:tc>
          <w:tcPr>
            <w:tcW w:w="200" w:type="dxa"/>
            <w:vAlign w:val="bottom"/>
          </w:tcPr>
          <w:p>
            <w:pPr>
              <w:spacing w:after="0"/>
              <w:rPr>
                <w:sz w:val="16"/>
                <w:szCs w:val="16"/>
                <w:color w:val="auto"/>
              </w:rPr>
            </w:pPr>
          </w:p>
        </w:tc>
        <w:tc>
          <w:tcPr>
            <w:tcW w:w="820" w:type="dxa"/>
            <w:vAlign w:val="bottom"/>
          </w:tcPr>
          <w:p>
            <w:pPr>
              <w:jc w:val="center"/>
              <w:ind w:left="127"/>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w w:val="93"/>
              </w:rPr>
              <w:t>—</w:t>
            </w:r>
          </w:p>
        </w:tc>
        <w:tc>
          <w:tcPr>
            <w:tcW w:w="110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w w:val="96"/>
              </w:rPr>
              <w:t>1,515,290</w:t>
            </w:r>
          </w:p>
        </w:tc>
        <w:tc>
          <w:tcPr>
            <w:tcW w:w="1580" w:type="dxa"/>
            <w:vAlign w:val="bottom"/>
            <w:gridSpan w:val="2"/>
          </w:tcPr>
          <w:p>
            <w:pPr>
              <w:jc w:val="center"/>
              <w:ind w:left="267"/>
              <w:spacing w:after="0"/>
              <w:rPr>
                <w:sz w:val="20"/>
                <w:szCs w:val="20"/>
                <w:color w:val="auto"/>
              </w:rPr>
            </w:pPr>
            <w:r>
              <w:rPr>
                <w:rFonts w:ascii="Times New Roman" w:cs="Times New Roman" w:eastAsia="Times New Roman" w:hAnsi="Times New Roman"/>
                <w:sz w:val="15"/>
                <w:szCs w:val="15"/>
                <w:color w:val="auto"/>
                <w:w w:val="98"/>
              </w:rPr>
              <w:t>282,680</w:t>
            </w:r>
          </w:p>
        </w:tc>
        <w:tc>
          <w:tcPr>
            <w:tcW w:w="1040" w:type="dxa"/>
            <w:vAlign w:val="bottom"/>
            <w:gridSpan w:val="2"/>
          </w:tcPr>
          <w:p>
            <w:pPr>
              <w:jc w:val="center"/>
              <w:ind w:left="327"/>
              <w:spacing w:after="0"/>
              <w:rPr>
                <w:sz w:val="20"/>
                <w:szCs w:val="20"/>
                <w:color w:val="auto"/>
              </w:rPr>
            </w:pPr>
            <w:r>
              <w:rPr>
                <w:rFonts w:ascii="Times New Roman" w:cs="Times New Roman" w:eastAsia="Times New Roman" w:hAnsi="Times New Roman"/>
                <w:sz w:val="15"/>
                <w:szCs w:val="15"/>
                <w:color w:val="auto"/>
                <w:w w:val="96"/>
              </w:rPr>
              <w:t>12,200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2,400,356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Richard W. Pascoe (3)</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2023</w:t>
            </w:r>
          </w:p>
        </w:tc>
        <w:tc>
          <w:tcPr>
            <w:tcW w:w="9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273,576</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127"/>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7"/>
              <w:spacing w:after="0"/>
              <w:rPr>
                <w:sz w:val="20"/>
                <w:szCs w:val="20"/>
                <w:color w:val="auto"/>
              </w:rPr>
            </w:pPr>
            <w:r>
              <w:rPr>
                <w:rFonts w:ascii="Times New Roman" w:cs="Times New Roman" w:eastAsia="Times New Roman" w:hAnsi="Times New Roman"/>
                <w:sz w:val="15"/>
                <w:szCs w:val="15"/>
                <w:color w:val="auto"/>
                <w:w w:val="93"/>
              </w:rPr>
              <w:t>—</w:t>
            </w:r>
          </w:p>
        </w:tc>
        <w:tc>
          <w:tcPr>
            <w:tcW w:w="110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w w:val="96"/>
              </w:rPr>
              <w:t>3,469,457</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3"/>
              </w:rPr>
              <w:t>—</w:t>
            </w:r>
          </w:p>
        </w:tc>
        <w:tc>
          <w:tcPr>
            <w:tcW w:w="1040" w:type="dxa"/>
            <w:vAlign w:val="bottom"/>
            <w:gridSpan w:val="2"/>
            <w:shd w:val="clear" w:color="auto" w:fill="CCEEFF"/>
          </w:tcPr>
          <w:p>
            <w:pPr>
              <w:jc w:val="center"/>
              <w:ind w:left="327"/>
              <w:spacing w:after="0"/>
              <w:rPr>
                <w:sz w:val="20"/>
                <w:szCs w:val="20"/>
                <w:color w:val="auto"/>
              </w:rPr>
            </w:pPr>
            <w:r>
              <w:rPr>
                <w:rFonts w:ascii="Times New Roman" w:cs="Times New Roman" w:eastAsia="Times New Roman" w:hAnsi="Times New Roman"/>
                <w:sz w:val="15"/>
                <w:szCs w:val="15"/>
                <w:color w:val="auto"/>
                <w:w w:val="98"/>
              </w:rPr>
              <w:t>379,525</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4,122,558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8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Former Chief Executive Officer and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2022</w:t>
            </w:r>
          </w:p>
        </w:tc>
        <w:tc>
          <w:tcPr>
            <w:tcW w:w="9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422,917</w:t>
            </w:r>
          </w:p>
        </w:tc>
        <w:tc>
          <w:tcPr>
            <w:tcW w:w="200" w:type="dxa"/>
            <w:vAlign w:val="bottom"/>
          </w:tcPr>
          <w:p>
            <w:pPr>
              <w:spacing w:after="0"/>
              <w:rPr>
                <w:sz w:val="16"/>
                <w:szCs w:val="16"/>
                <w:color w:val="auto"/>
              </w:rPr>
            </w:pPr>
          </w:p>
        </w:tc>
        <w:tc>
          <w:tcPr>
            <w:tcW w:w="820" w:type="dxa"/>
            <w:vAlign w:val="bottom"/>
          </w:tcPr>
          <w:p>
            <w:pPr>
              <w:jc w:val="center"/>
              <w:ind w:left="127"/>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w w:val="93"/>
              </w:rPr>
              <w:t>—</w:t>
            </w:r>
          </w:p>
        </w:tc>
        <w:tc>
          <w:tcPr>
            <w:tcW w:w="1100" w:type="dxa"/>
            <w:vAlign w:val="bottom"/>
            <w:gridSpan w:val="2"/>
          </w:tcPr>
          <w:p>
            <w:pPr>
              <w:jc w:val="center"/>
              <w:ind w:left="267"/>
              <w:spacing w:after="0"/>
              <w:rPr>
                <w:sz w:val="20"/>
                <w:szCs w:val="20"/>
                <w:color w:val="auto"/>
              </w:rPr>
            </w:pPr>
            <w:r>
              <w:rPr>
                <w:rFonts w:ascii="Times New Roman" w:cs="Times New Roman" w:eastAsia="Times New Roman" w:hAnsi="Times New Roman"/>
                <w:sz w:val="15"/>
                <w:szCs w:val="15"/>
                <w:color w:val="auto"/>
                <w:w w:val="98"/>
              </w:rPr>
              <w:t>722,921</w:t>
            </w:r>
          </w:p>
        </w:tc>
        <w:tc>
          <w:tcPr>
            <w:tcW w:w="1580" w:type="dxa"/>
            <w:vAlign w:val="bottom"/>
            <w:gridSpan w:val="2"/>
          </w:tcPr>
          <w:p>
            <w:pPr>
              <w:jc w:val="center"/>
              <w:ind w:left="267"/>
              <w:spacing w:after="0"/>
              <w:rPr>
                <w:sz w:val="20"/>
                <w:szCs w:val="20"/>
                <w:color w:val="auto"/>
              </w:rPr>
            </w:pPr>
            <w:r>
              <w:rPr>
                <w:rFonts w:ascii="Times New Roman" w:cs="Times New Roman" w:eastAsia="Times New Roman" w:hAnsi="Times New Roman"/>
                <w:sz w:val="15"/>
                <w:szCs w:val="15"/>
                <w:color w:val="auto"/>
                <w:w w:val="98"/>
              </w:rPr>
              <w:t>202,938</w:t>
            </w:r>
          </w:p>
        </w:tc>
        <w:tc>
          <w:tcPr>
            <w:tcW w:w="1040" w:type="dxa"/>
            <w:vAlign w:val="bottom"/>
            <w:gridSpan w:val="2"/>
          </w:tcPr>
          <w:p>
            <w:pPr>
              <w:jc w:val="center"/>
              <w:ind w:left="327"/>
              <w:spacing w:after="0"/>
              <w:rPr>
                <w:sz w:val="20"/>
                <w:szCs w:val="20"/>
                <w:color w:val="auto"/>
              </w:rPr>
            </w:pPr>
            <w:r>
              <w:rPr>
                <w:rFonts w:ascii="Times New Roman" w:cs="Times New Roman" w:eastAsia="Times New Roman" w:hAnsi="Times New Roman"/>
                <w:sz w:val="15"/>
                <w:szCs w:val="15"/>
                <w:color w:val="auto"/>
                <w:w w:val="96"/>
              </w:rPr>
              <w:t>12,200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1,360,976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Christal M.M. Mickle, M.A. (4)</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2023</w:t>
            </w:r>
          </w:p>
        </w:tc>
        <w:tc>
          <w:tcPr>
            <w:tcW w:w="9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435,500</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127"/>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7"/>
              <w:spacing w:after="0"/>
              <w:rPr>
                <w:sz w:val="20"/>
                <w:szCs w:val="20"/>
                <w:color w:val="auto"/>
              </w:rPr>
            </w:pPr>
            <w:r>
              <w:rPr>
                <w:rFonts w:ascii="Times New Roman" w:cs="Times New Roman" w:eastAsia="Times New Roman" w:hAnsi="Times New Roman"/>
                <w:sz w:val="15"/>
                <w:szCs w:val="15"/>
                <w:color w:val="auto"/>
                <w:w w:val="93"/>
              </w:rPr>
              <w:t>—</w:t>
            </w:r>
          </w:p>
        </w:tc>
        <w:tc>
          <w:tcPr>
            <w:tcW w:w="110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w w:val="96"/>
              </w:rPr>
              <w:t>1,047,596</w:t>
            </w:r>
          </w:p>
        </w:tc>
        <w:tc>
          <w:tcPr>
            <w:tcW w:w="15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5"/>
                <w:szCs w:val="15"/>
                <w:color w:val="auto"/>
                <w:w w:val="98"/>
              </w:rPr>
              <w:t>173,264</w:t>
            </w:r>
          </w:p>
        </w:tc>
        <w:tc>
          <w:tcPr>
            <w:tcW w:w="1040" w:type="dxa"/>
            <w:vAlign w:val="bottom"/>
            <w:gridSpan w:val="2"/>
            <w:shd w:val="clear" w:color="auto" w:fill="CCEEFF"/>
          </w:tcPr>
          <w:p>
            <w:pPr>
              <w:jc w:val="center"/>
              <w:ind w:left="327"/>
              <w:spacing w:after="0"/>
              <w:rPr>
                <w:sz w:val="20"/>
                <w:szCs w:val="20"/>
                <w:color w:val="auto"/>
              </w:rPr>
            </w:pPr>
            <w:r>
              <w:rPr>
                <w:rFonts w:ascii="Times New Roman" w:cs="Times New Roman" w:eastAsia="Times New Roman" w:hAnsi="Times New Roman"/>
                <w:sz w:val="15"/>
                <w:szCs w:val="15"/>
                <w:color w:val="auto"/>
                <w:w w:val="96"/>
              </w:rPr>
              <w:t>13,596</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1,669,956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7"/>
              </w:rPr>
              <w:t>Former Interim Chief Executive Officer</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 LaDuane Clifton, MBA, CPA</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2023</w:t>
            </w:r>
          </w:p>
        </w:tc>
        <w:tc>
          <w:tcPr>
            <w:tcW w:w="9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446,480</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127"/>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7"/>
              <w:spacing w:after="0"/>
              <w:rPr>
                <w:sz w:val="20"/>
                <w:szCs w:val="20"/>
                <w:color w:val="auto"/>
              </w:rPr>
            </w:pPr>
            <w:r>
              <w:rPr>
                <w:rFonts w:ascii="Times New Roman" w:cs="Times New Roman" w:eastAsia="Times New Roman" w:hAnsi="Times New Roman"/>
                <w:sz w:val="15"/>
                <w:szCs w:val="15"/>
                <w:color w:val="auto"/>
                <w:w w:val="93"/>
              </w:rPr>
              <w:t>—</w:t>
            </w:r>
          </w:p>
        </w:tc>
        <w:tc>
          <w:tcPr>
            <w:tcW w:w="110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w w:val="96"/>
              </w:rPr>
              <w:t>1,604,822</w:t>
            </w:r>
          </w:p>
        </w:tc>
        <w:tc>
          <w:tcPr>
            <w:tcW w:w="15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5"/>
                <w:szCs w:val="15"/>
                <w:color w:val="auto"/>
                <w:w w:val="98"/>
              </w:rPr>
              <w:t>197,132</w:t>
            </w:r>
          </w:p>
        </w:tc>
        <w:tc>
          <w:tcPr>
            <w:tcW w:w="1040" w:type="dxa"/>
            <w:vAlign w:val="bottom"/>
            <w:gridSpan w:val="2"/>
            <w:shd w:val="clear" w:color="auto" w:fill="CCEEFF"/>
          </w:tcPr>
          <w:p>
            <w:pPr>
              <w:jc w:val="center"/>
              <w:ind w:left="327"/>
              <w:spacing w:after="0"/>
              <w:rPr>
                <w:sz w:val="20"/>
                <w:szCs w:val="20"/>
                <w:color w:val="auto"/>
              </w:rPr>
            </w:pPr>
            <w:r>
              <w:rPr>
                <w:rFonts w:ascii="Times New Roman" w:cs="Times New Roman" w:eastAsia="Times New Roman" w:hAnsi="Times New Roman"/>
                <w:sz w:val="15"/>
                <w:szCs w:val="15"/>
                <w:color w:val="auto"/>
                <w:w w:val="96"/>
              </w:rPr>
              <w:t>14,823</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2,263,257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8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Chief Financial Officer, Secretary and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Treasurer</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2022</w:t>
            </w:r>
          </w:p>
        </w:tc>
        <w:tc>
          <w:tcPr>
            <w:tcW w:w="9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410,975</w:t>
            </w:r>
          </w:p>
        </w:tc>
        <w:tc>
          <w:tcPr>
            <w:tcW w:w="200" w:type="dxa"/>
            <w:vAlign w:val="bottom"/>
          </w:tcPr>
          <w:p>
            <w:pPr>
              <w:spacing w:after="0"/>
              <w:rPr>
                <w:sz w:val="16"/>
                <w:szCs w:val="16"/>
                <w:color w:val="auto"/>
              </w:rPr>
            </w:pPr>
          </w:p>
        </w:tc>
        <w:tc>
          <w:tcPr>
            <w:tcW w:w="820" w:type="dxa"/>
            <w:vAlign w:val="bottom"/>
          </w:tcPr>
          <w:p>
            <w:pPr>
              <w:jc w:val="center"/>
              <w:ind w:left="127"/>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w w:val="93"/>
              </w:rPr>
              <w:t>—</w:t>
            </w:r>
          </w:p>
        </w:tc>
        <w:tc>
          <w:tcPr>
            <w:tcW w:w="1100" w:type="dxa"/>
            <w:vAlign w:val="bottom"/>
            <w:gridSpan w:val="2"/>
          </w:tcPr>
          <w:p>
            <w:pPr>
              <w:jc w:val="center"/>
              <w:ind w:left="267"/>
              <w:spacing w:after="0"/>
              <w:rPr>
                <w:sz w:val="20"/>
                <w:szCs w:val="20"/>
                <w:color w:val="auto"/>
              </w:rPr>
            </w:pPr>
            <w:r>
              <w:rPr>
                <w:rFonts w:ascii="Times New Roman" w:cs="Times New Roman" w:eastAsia="Times New Roman" w:hAnsi="Times New Roman"/>
                <w:sz w:val="15"/>
                <w:szCs w:val="15"/>
                <w:color w:val="auto"/>
                <w:w w:val="98"/>
              </w:rPr>
              <w:t>474,792</w:t>
            </w:r>
          </w:p>
        </w:tc>
        <w:tc>
          <w:tcPr>
            <w:tcW w:w="1580" w:type="dxa"/>
            <w:vAlign w:val="bottom"/>
            <w:gridSpan w:val="2"/>
          </w:tcPr>
          <w:p>
            <w:pPr>
              <w:jc w:val="center"/>
              <w:ind w:left="267"/>
              <w:spacing w:after="0"/>
              <w:rPr>
                <w:sz w:val="20"/>
                <w:szCs w:val="20"/>
                <w:color w:val="auto"/>
              </w:rPr>
            </w:pPr>
            <w:r>
              <w:rPr>
                <w:rFonts w:ascii="Times New Roman" w:cs="Times New Roman" w:eastAsia="Times New Roman" w:hAnsi="Times New Roman"/>
                <w:sz w:val="15"/>
                <w:szCs w:val="15"/>
                <w:color w:val="auto"/>
                <w:w w:val="98"/>
              </w:rPr>
              <w:t>138,417</w:t>
            </w:r>
          </w:p>
        </w:tc>
        <w:tc>
          <w:tcPr>
            <w:tcW w:w="1040" w:type="dxa"/>
            <w:vAlign w:val="bottom"/>
            <w:gridSpan w:val="2"/>
          </w:tcPr>
          <w:p>
            <w:pPr>
              <w:jc w:val="center"/>
              <w:ind w:left="327"/>
              <w:spacing w:after="0"/>
              <w:rPr>
                <w:sz w:val="20"/>
                <w:szCs w:val="20"/>
                <w:color w:val="auto"/>
              </w:rPr>
            </w:pPr>
            <w:r>
              <w:rPr>
                <w:rFonts w:ascii="Times New Roman" w:cs="Times New Roman" w:eastAsia="Times New Roman" w:hAnsi="Times New Roman"/>
                <w:sz w:val="15"/>
                <w:szCs w:val="15"/>
                <w:color w:val="auto"/>
                <w:w w:val="96"/>
              </w:rPr>
              <w:t>13,823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Joshua Schafer (5)</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2023</w:t>
            </w:r>
          </w:p>
        </w:tc>
        <w:tc>
          <w:tcPr>
            <w:tcW w:w="9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452,333</w:t>
            </w:r>
          </w:p>
        </w:tc>
        <w:tc>
          <w:tcPr>
            <w:tcW w:w="1020" w:type="dxa"/>
            <w:vAlign w:val="bottom"/>
            <w:gridSpan w:val="2"/>
            <w:shd w:val="clear" w:color="auto" w:fill="CCEEFF"/>
          </w:tcPr>
          <w:p>
            <w:pPr>
              <w:jc w:val="center"/>
              <w:ind w:left="347"/>
              <w:spacing w:after="0"/>
              <w:rPr>
                <w:sz w:val="20"/>
                <w:szCs w:val="20"/>
                <w:color w:val="auto"/>
              </w:rPr>
            </w:pPr>
            <w:r>
              <w:rPr>
                <w:rFonts w:ascii="Times New Roman" w:cs="Times New Roman" w:eastAsia="Times New Roman" w:hAnsi="Times New Roman"/>
                <w:sz w:val="15"/>
                <w:szCs w:val="15"/>
                <w:color w:val="auto"/>
                <w:w w:val="98"/>
              </w:rPr>
              <w:t>100,000</w:t>
            </w:r>
          </w:p>
        </w:tc>
        <w:tc>
          <w:tcPr>
            <w:tcW w:w="3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w:t>
            </w:r>
          </w:p>
        </w:tc>
        <w:tc>
          <w:tcPr>
            <w:tcW w:w="780" w:type="dxa"/>
            <w:vAlign w:val="bottom"/>
            <w:shd w:val="clear" w:color="auto" w:fill="CCEEFF"/>
          </w:tcPr>
          <w:p>
            <w:pPr>
              <w:jc w:val="center"/>
              <w:ind w:left="7"/>
              <w:spacing w:after="0"/>
              <w:rPr>
                <w:sz w:val="20"/>
                <w:szCs w:val="20"/>
                <w:color w:val="auto"/>
              </w:rPr>
            </w:pPr>
            <w:r>
              <w:rPr>
                <w:rFonts w:ascii="Times New Roman" w:cs="Times New Roman" w:eastAsia="Times New Roman" w:hAnsi="Times New Roman"/>
                <w:sz w:val="15"/>
                <w:szCs w:val="15"/>
                <w:color w:val="auto"/>
                <w:w w:val="93"/>
              </w:rPr>
              <w:t>—</w:t>
            </w:r>
          </w:p>
        </w:tc>
        <w:tc>
          <w:tcPr>
            <w:tcW w:w="110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w w:val="96"/>
              </w:rPr>
              <w:t>1,049,397</w:t>
            </w:r>
          </w:p>
        </w:tc>
        <w:tc>
          <w:tcPr>
            <w:tcW w:w="15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5"/>
                <w:szCs w:val="15"/>
                <w:color w:val="auto"/>
                <w:w w:val="98"/>
              </w:rPr>
              <w:t>200,535</w:t>
            </w:r>
          </w:p>
        </w:tc>
        <w:tc>
          <w:tcPr>
            <w:tcW w:w="1040" w:type="dxa"/>
            <w:vAlign w:val="bottom"/>
            <w:gridSpan w:val="2"/>
            <w:shd w:val="clear" w:color="auto" w:fill="CCEEFF"/>
          </w:tcPr>
          <w:p>
            <w:pPr>
              <w:jc w:val="center"/>
              <w:ind w:left="327"/>
              <w:spacing w:after="0"/>
              <w:rPr>
                <w:sz w:val="20"/>
                <w:szCs w:val="20"/>
                <w:color w:val="auto"/>
              </w:rPr>
            </w:pPr>
            <w:r>
              <w:rPr>
                <w:rFonts w:ascii="Times New Roman" w:cs="Times New Roman" w:eastAsia="Times New Roman" w:hAnsi="Times New Roman"/>
                <w:sz w:val="15"/>
                <w:szCs w:val="15"/>
                <w:color w:val="auto"/>
                <w:w w:val="96"/>
              </w:rPr>
              <w:t>13,200</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1,814,465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8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Chief Commercial Officer</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and Executive Vice President, Business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Development</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Mr. McFarlane commenced employment with us on October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58355"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111125"/>
                    </a:xfrm>
                    <a:prstGeom prst="rect">
                      <a:avLst/>
                    </a:prstGeom>
                    <a:noFill/>
                  </pic:spPr>
                </pic:pic>
              </a:graphicData>
            </a:graphic>
          </wp:anchor>
        </w:drawing>
      </w:r>
    </w:p>
    <w:p>
      <w:pPr>
        <w:jc w:val="both"/>
        <w:ind w:left="280" w:hanging="279"/>
        <w:spacing w:after="0" w:line="243" w:lineRule="auto"/>
        <w:tabs>
          <w:tab w:leader="none" w:pos="260" w:val="left"/>
        </w:tabs>
        <w:rPr>
          <w:sz w:val="20"/>
          <w:szCs w:val="20"/>
          <w:color w:val="auto"/>
        </w:rPr>
      </w:pPr>
      <w:r>
        <w:rPr>
          <w:rFonts w:ascii="Times New Roman" w:cs="Times New Roman" w:eastAsia="Times New Roman" w:hAnsi="Times New Roman"/>
          <w:sz w:val="15"/>
          <w:szCs w:val="15"/>
          <w:color w:val="auto"/>
        </w:rPr>
        <w:t>(2)</w:t>
        <w:tab/>
        <w:t>Dr. Travis Mickle resigned from his role as the Company’s Chief Executive Officer on January 6, 2023. Dr. Travis Mickle served as the Company's President from January 6, 2023, until April 25, 2023. and was hired as a consultant effective April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58355" cy="111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1111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(3) Mr. Pascoe served as the Company’s Chief Executive Officer from January 6, 2023, until June 1, 2023.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 Ms. Christal Mickle served as the Company’s Interim Chief Executive Officer from June 1, 2023, until October 10, 2023.</w:t>
      </w:r>
    </w:p>
    <w:p>
      <w:pPr>
        <w:spacing w:after="0" w:line="233" w:lineRule="auto"/>
        <w:rPr>
          <w:sz w:val="20"/>
          <w:szCs w:val="20"/>
          <w:color w:val="auto"/>
        </w:rPr>
      </w:pPr>
      <w:r>
        <w:rPr>
          <w:rFonts w:ascii="Times New Roman" w:cs="Times New Roman" w:eastAsia="Times New Roman" w:hAnsi="Times New Roman"/>
          <w:sz w:val="18"/>
          <w:szCs w:val="18"/>
          <w:color w:val="auto"/>
        </w:rPr>
        <w:t>(5) Mr. Schafer commenced employment with us on January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58355" cy="125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125095"/>
                    </a:xfrm>
                    <a:prstGeom prst="rect">
                      <a:avLst/>
                    </a:prstGeom>
                    <a:noFill/>
                  </pic:spPr>
                </pic:pic>
              </a:graphicData>
            </a:graphic>
          </wp:anchor>
        </w:drawing>
      </w:r>
    </w:p>
    <w:p>
      <w:pPr>
        <w:jc w:val="both"/>
        <w:ind w:left="280" w:hanging="279"/>
        <w:spacing w:after="0"/>
        <w:tabs>
          <w:tab w:leader="none" w:pos="260" w:val="left"/>
        </w:tabs>
        <w:rPr>
          <w:sz w:val="20"/>
          <w:szCs w:val="20"/>
          <w:color w:val="auto"/>
        </w:rPr>
      </w:pPr>
      <w:r>
        <w:rPr>
          <w:rFonts w:ascii="Times New Roman" w:cs="Times New Roman" w:eastAsia="Times New Roman" w:hAnsi="Times New Roman"/>
          <w:sz w:val="15"/>
          <w:szCs w:val="15"/>
          <w:color w:val="auto"/>
        </w:rPr>
        <w:t>(6)</w:t>
        <w:tab/>
        <w:t>During 2023, Mr. McFarlane received the first installment of his signing bonus to assist with his move to the vicinity of the Company’s headquarters. Please refer to “Narrative to Summary Compensation Table—Employment Arrangements and Potential Payments upon Termination of Employment—Neil F. McFarlane” for further details.</w:t>
      </w:r>
    </w:p>
    <w:p>
      <w:pPr>
        <w:spacing w:after="0" w:line="1" w:lineRule="exact"/>
        <w:rPr>
          <w:sz w:val="20"/>
          <w:szCs w:val="20"/>
          <w:color w:val="auto"/>
        </w:rPr>
      </w:pPr>
    </w:p>
    <w:p>
      <w:pPr>
        <w:jc w:val="both"/>
        <w:ind w:left="280" w:hanging="262"/>
        <w:spacing w:after="0" w:line="180" w:lineRule="auto"/>
        <w:rPr>
          <w:sz w:val="20"/>
          <w:szCs w:val="20"/>
          <w:color w:val="auto"/>
        </w:rPr>
      </w:pPr>
      <w:r>
        <w:rPr>
          <w:rFonts w:ascii="Times New Roman" w:cs="Times New Roman" w:eastAsia="Times New Roman" w:hAnsi="Times New Roman"/>
          <w:sz w:val="30"/>
          <w:szCs w:val="30"/>
          <w:color w:val="auto"/>
          <w:vertAlign w:val="subscript"/>
        </w:rPr>
        <w:t>(7)</w:t>
      </w:r>
      <w:r>
        <w:rPr>
          <w:rFonts w:ascii="Times New Roman" w:cs="Times New Roman" w:eastAsia="Times New Roman" w:hAnsi="Times New Roman"/>
          <w:sz w:val="16"/>
          <w:szCs w:val="16"/>
          <w:color w:val="auto"/>
        </w:rPr>
        <w:t xml:space="preserve"> The amount reflects a sign-on bonus paid to Mr. Schafer in connection with his commencement of employment. Please refer to “Narrative to Summary Compensation Table—Employment Arrangements and Potential Payments upon Termination of Employment—Joshua Schafer”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58355" cy="250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250190"/>
                    </a:xfrm>
                    <a:prstGeom prst="rect">
                      <a:avLst/>
                    </a:prstGeom>
                    <a:noFill/>
                  </pic:spPr>
                </pic:pic>
              </a:graphicData>
            </a:graphic>
          </wp:anchor>
        </w:drawing>
      </w:r>
    </w:p>
    <w:p>
      <w:pPr>
        <w:jc w:val="both"/>
        <w:ind w:left="280" w:hanging="272"/>
        <w:spacing w:after="0" w:line="243" w:lineRule="auto"/>
        <w:tabs>
          <w:tab w:leader="none" w:pos="2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reflect the full grant date fair value for awards granted during 2023 and 2022. The grant date fair value was computed in accordance with ASC Topic 718, Compensation— Stock Compensation. Unlike the calculations contained in our financial statements, this calculation does not give effect to any estimate of forfeitures related to service-based vesting but assumes that the executive will perform the requisite service for the award to vest in full. The assumptions we used in valuing options are described in Note K to our audited financial statements included in our Annual Report on Form 10-K for the fiscal year ended December 31, 2023. In accordance with the SEC rules, the amount reported herein for the performance-based restricted stock units (“PSUs”) granted to Dr. Travis Mickle ($2,204,788) is based upon the probable outcome of such conditions as of the grant date in accordance with ASC Topic 718. For Dr. Travis Mickle and Mr. Pascoe, the amounts reported in the Option Awards column include $354,085 and $1,026,288, respectively, which represents the incremental fair value attributable to modifications made to such individual’s equity awards pursuant to their respective transition agreements. Please refer to “Narrative to Summary Compensation Table— Employment Arrangements and Potential Payments upon Termination of Employment” for further details.</w:t>
      </w:r>
    </w:p>
    <w:p>
      <w:pPr>
        <w:spacing w:after="0" w:line="3" w:lineRule="exact"/>
        <w:rPr>
          <w:rFonts w:ascii="Times New Roman" w:cs="Times New Roman" w:eastAsia="Times New Roman" w:hAnsi="Times New Roman"/>
          <w:sz w:val="15"/>
          <w:szCs w:val="15"/>
          <w:color w:val="auto"/>
        </w:rPr>
      </w:pPr>
    </w:p>
    <w:p>
      <w:pPr>
        <w:ind w:left="280" w:hanging="272"/>
        <w:spacing w:after="0" w:line="243" w:lineRule="auto"/>
        <w:tabs>
          <w:tab w:leader="none" w:pos="2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reflect non-equity incentive plan awards paid in 2024 and 2023 for performance during 2023 and 2022, respectively. Please refer to "Narrative to Summary Compensation Table - Short-Term Incentive Plan (Non-Equity Annual Bonus) Awards" for further details.</w:t>
      </w:r>
    </w:p>
    <w:p>
      <w:pPr>
        <w:spacing w:after="0" w:line="1" w:lineRule="exact"/>
        <w:rPr>
          <w:rFonts w:ascii="Times New Roman" w:cs="Times New Roman" w:eastAsia="Times New Roman" w:hAnsi="Times New Roman"/>
          <w:sz w:val="15"/>
          <w:szCs w:val="15"/>
          <w:color w:val="auto"/>
        </w:rPr>
      </w:pPr>
    </w:p>
    <w:p>
      <w:pPr>
        <w:jc w:val="both"/>
        <w:ind w:left="280" w:hanging="272"/>
        <w:spacing w:after="0" w:line="243" w:lineRule="auto"/>
        <w:tabs>
          <w:tab w:leader="none" w:pos="2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represents 401(k) employer matching contributions ($4,733), travel reimbursements ($14,865), gross-up tax payments ($1,137) and legal fee reimbursements incurred in connection with the negotiation of his employment agreement ($20,000). Please refer to “Narrative to Summary Compensation Table—Employment Arrangements and Potential Payments upon Termination of Employment” for further details.</w:t>
      </w:r>
    </w:p>
    <w:p>
      <w:pPr>
        <w:spacing w:after="0" w:line="1" w:lineRule="exact"/>
        <w:rPr>
          <w:rFonts w:ascii="Times New Roman" w:cs="Times New Roman" w:eastAsia="Times New Roman" w:hAnsi="Times New Roman"/>
          <w:sz w:val="15"/>
          <w:szCs w:val="15"/>
          <w:color w:val="auto"/>
        </w:rPr>
      </w:pPr>
    </w:p>
    <w:p>
      <w:pPr>
        <w:jc w:val="both"/>
        <w:ind w:left="280" w:hanging="272"/>
        <w:spacing w:after="0" w:line="243" w:lineRule="auto"/>
        <w:tabs>
          <w:tab w:leader="none" w:pos="2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represents 401(k) employer matching contributions ($10,000), cash severance payments ($498,740), COBRA premiums ($19,305) and consulting fees for his service as a consultant during 2023 ($320,000). Please refer to “Narrative to Summary Compensation Table—Employment Arrangements and Potential Payments upon Termination of Employment” for further details.</w:t>
      </w:r>
    </w:p>
    <w:p>
      <w:pPr>
        <w:spacing w:after="0" w:line="1" w:lineRule="exact"/>
        <w:rPr>
          <w:rFonts w:ascii="Times New Roman" w:cs="Times New Roman" w:eastAsia="Times New Roman" w:hAnsi="Times New Roman"/>
          <w:sz w:val="15"/>
          <w:szCs w:val="15"/>
          <w:color w:val="auto"/>
        </w:rPr>
      </w:pPr>
    </w:p>
    <w:p>
      <w:pPr>
        <w:ind w:left="280" w:hanging="272"/>
        <w:spacing w:after="0" w:line="243" w:lineRule="auto"/>
        <w:tabs>
          <w:tab w:leader="none" w:pos="2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represents 401(k) employer matching contributions ($9,867), cash severance payments ($357,592) and COBRA premiums ($12,066). Please refer to “Narrative to Summary Compensation Table—Employment Arrangements and Potential Payments upon Termination of Employment” for further details.</w:t>
      </w:r>
    </w:p>
    <w:p>
      <w:pPr>
        <w:spacing w:after="0" w:line="1" w:lineRule="exact"/>
        <w:rPr>
          <w:rFonts w:ascii="Times New Roman" w:cs="Times New Roman" w:eastAsia="Times New Roman" w:hAnsi="Times New Roman"/>
          <w:sz w:val="15"/>
          <w:szCs w:val="15"/>
          <w:color w:val="auto"/>
        </w:rPr>
      </w:pPr>
    </w:p>
    <w:p>
      <w:pPr>
        <w:ind w:left="280" w:right="120" w:hanging="272"/>
        <w:spacing w:after="0" w:line="243" w:lineRule="auto"/>
        <w:tabs>
          <w:tab w:leader="none" w:pos="2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represents 401(k) employer matching contributions ($13,200), and premiums we paid for life insurance policies ($396). Please refer to “Narrative to Summary Compensation Table—Employment Arrangements and Potential Payments upon Termination of Employment” for further details.</w:t>
      </w:r>
    </w:p>
    <w:p>
      <w:pPr>
        <w:spacing w:after="0" w:line="1" w:lineRule="exact"/>
        <w:rPr>
          <w:rFonts w:ascii="Times New Roman" w:cs="Times New Roman" w:eastAsia="Times New Roman" w:hAnsi="Times New Roman"/>
          <w:sz w:val="15"/>
          <w:szCs w:val="15"/>
          <w:color w:val="auto"/>
        </w:rPr>
      </w:pPr>
    </w:p>
    <w:p>
      <w:pPr>
        <w:ind w:left="280" w:hanging="272"/>
        <w:spacing w:after="0" w:line="243" w:lineRule="auto"/>
        <w:tabs>
          <w:tab w:leader="none" w:pos="2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represents 401(k) employer matching contributions ($13,200), premiums we paid for life insurance policies ($704) and gross-up tax payments ($919). Please refer to “Narrative to Summary Compensation Table—Employment Arrangements and Potential Payments upon Termination of Employment” for further details.</w:t>
      </w:r>
    </w:p>
    <w:p>
      <w:pPr>
        <w:spacing w:after="0" w:line="1" w:lineRule="exact"/>
        <w:rPr>
          <w:rFonts w:ascii="Times New Roman" w:cs="Times New Roman" w:eastAsia="Times New Roman" w:hAnsi="Times New Roman"/>
          <w:sz w:val="15"/>
          <w:szCs w:val="15"/>
          <w:color w:val="auto"/>
        </w:rPr>
      </w:pPr>
    </w:p>
    <w:p>
      <w:pPr>
        <w:ind w:left="280" w:right="560" w:hanging="272"/>
        <w:spacing w:after="0" w:line="247" w:lineRule="auto"/>
        <w:tabs>
          <w:tab w:leader="none" w:pos="2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represents 401(k) employer matching contributions ($13,200). Please refer to “Narrative to Summary Compensation Table—Employment Arrangements and Potential Payments upon Termination of Employment”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-1783080</wp:posOffset>
            </wp:positionV>
            <wp:extent cx="7158355"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-1226820</wp:posOffset>
            </wp:positionV>
            <wp:extent cx="7158355" cy="3340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334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-669925</wp:posOffset>
            </wp:positionV>
            <wp:extent cx="7158355"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58355"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2228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5835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Narrative to 2023 Summary Compensation Table</w:t>
      </w:r>
    </w:p>
    <w:p>
      <w:pPr>
        <w:spacing w:after="0" w:line="180"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We review compensation at least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the Company. We do not target a specific competitive position or a specific mix of compensation among base salary, bonus or long-term incentives. The Compensation Committee has historically determined our executives’ compensation. Our Compensation Committee typically reviews and discusses management’s proposed compensation with the chief executive officer for all executives other than the chief executive officer. Based on those discussions and its discretion, our Compensation Committee, without members of management present, discusses and ultimately approves the compensation of our executive officers.</w:t>
      </w:r>
    </w:p>
    <w:p>
      <w:pPr>
        <w:spacing w:after="0" w:line="16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primary elements of compensation for our named executive officers are base salary, annual cash bonuses and long-term, equity-based compensation awards. Our named executive officers also participate in employee benefit plans and programs that we offer to our other full-time employees on the same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Annual Base Salary</w:t>
      </w:r>
    </w:p>
    <w:p>
      <w:pPr>
        <w:spacing w:after="0" w:line="182"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Our named executive officers receive a base salary to compensate them for the satisfactory performance of duties to the Company. The base salary payable to each named executive officer is intended to provide a fixed component of compensation reflecting the executive’s skill set, experience, role and responsibilities. Our named executive officers’ base salaries are reviewed periodically by our Compensation Committee, and adjustments may be made upon the approval of the Compensation Committee, in consultation with Mercer and management.</w:t>
      </w:r>
    </w:p>
    <w:p>
      <w:pPr>
        <w:spacing w:after="0" w:line="149"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In connection with Mr. Pascoe’s appointment as the Company’s Chief Executive Officer on January 6, 2023, Mr. Pascoe’s annual base salary increased to $592,000. Effective June 1, 2023, the Compensation Committee approved an increase in Ms. Christal Mickle’s base salary to $512,000 while she served as the Company’s interim President and Chief Executive Officer, which was then reduced its previous level of $392,000 upon the appointment of Mr. McFarlane in October 2023.</w:t>
      </w:r>
    </w:p>
    <w:p>
      <w:pPr>
        <w:spacing w:after="0" w:line="149"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Effective March 1, 2024, our Compensation Committee approved an increase in the annual base salary for Mr. Clifton, Ms. Christal Mickle and Mr. Schafer to $464,000, $408,000 and $479,000, respectively. Mr. McFarlane did not receive a base salary increase in March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Short-Term Incentive Plan (Non-Equity Annual Bonus) Awards</w:t>
      </w:r>
    </w:p>
    <w:p>
      <w:pPr>
        <w:spacing w:after="0" w:line="182"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Our Board and Compensation Committee may make cash bonus and non-equity incentive plan awards in their discretion. For 2023, our named executive officers’ target annual cash bonuses (expressed as a percentage of annual base salary) were as follows: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5100" w:type="dxa"/>
            <w:vAlign w:val="bottom"/>
          </w:tcPr>
          <w:p>
            <w:pPr>
              <w:jc w:val="center"/>
              <w:ind w:left="507"/>
              <w:spacing w:after="0"/>
              <w:rPr>
                <w:sz w:val="20"/>
                <w:szCs w:val="20"/>
                <w:color w:val="auto"/>
              </w:rPr>
            </w:pPr>
            <w:r>
              <w:rPr>
                <w:rFonts w:ascii="Times New Roman" w:cs="Times New Roman" w:eastAsia="Times New Roman" w:hAnsi="Times New Roman"/>
                <w:sz w:val="15"/>
                <w:szCs w:val="15"/>
                <w:b w:val="1"/>
                <w:bCs w:val="1"/>
                <w:color w:val="auto"/>
                <w:w w:val="97"/>
              </w:rPr>
              <w:t>2023 Target Annual Bonus</w:t>
            </w:r>
          </w:p>
        </w:tc>
      </w:tr>
      <w:tr>
        <w:trPr>
          <w:trHeight w:val="192"/>
        </w:trPr>
        <w:tc>
          <w:tcPr>
            <w:tcW w:w="3920" w:type="dxa"/>
            <w:vAlign w:val="bottom"/>
          </w:tcPr>
          <w:p>
            <w:pPr>
              <w:spacing w:after="0"/>
              <w:rPr>
                <w:sz w:val="16"/>
                <w:szCs w:val="16"/>
                <w:color w:val="auto"/>
              </w:rPr>
            </w:pPr>
          </w:p>
        </w:tc>
        <w:tc>
          <w:tcPr>
            <w:tcW w:w="5100" w:type="dxa"/>
            <w:vAlign w:val="bottom"/>
          </w:tcPr>
          <w:p>
            <w:pPr>
              <w:jc w:val="center"/>
              <w:ind w:left="507"/>
              <w:spacing w:after="0"/>
              <w:rPr>
                <w:sz w:val="20"/>
                <w:szCs w:val="20"/>
                <w:color w:val="auto"/>
              </w:rPr>
            </w:pPr>
            <w:r>
              <w:rPr>
                <w:rFonts w:ascii="Times New Roman" w:cs="Times New Roman" w:eastAsia="Times New Roman" w:hAnsi="Times New Roman"/>
                <w:sz w:val="15"/>
                <w:szCs w:val="15"/>
                <w:b w:val="1"/>
                <w:bCs w:val="1"/>
                <w:color w:val="auto"/>
                <w:w w:val="97"/>
              </w:rPr>
              <w:t>(% of Annual Base Salary)</w:t>
            </w:r>
          </w:p>
        </w:tc>
      </w:tr>
      <w:tr>
        <w:trPr>
          <w:trHeight w:val="17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Neil F. McFarlane</w:t>
            </w:r>
          </w:p>
        </w:tc>
        <w:tc>
          <w:tcPr>
            <w:tcW w:w="5100" w:type="dxa"/>
            <w:vAlign w:val="bottom"/>
            <w:shd w:val="clear" w:color="auto" w:fill="CCEEFF"/>
          </w:tcPr>
          <w:p>
            <w:pPr>
              <w:jc w:val="center"/>
              <w:ind w:left="507"/>
              <w:spacing w:after="0"/>
              <w:rPr>
                <w:sz w:val="20"/>
                <w:szCs w:val="20"/>
                <w:color w:val="auto"/>
              </w:rPr>
            </w:pPr>
            <w:r>
              <w:rPr>
                <w:rFonts w:ascii="Times New Roman" w:cs="Times New Roman" w:eastAsia="Times New Roman" w:hAnsi="Times New Roman"/>
                <w:sz w:val="15"/>
                <w:szCs w:val="15"/>
                <w:color w:val="auto"/>
              </w:rPr>
              <w:t>60</w:t>
            </w: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Travis Mickle, Ph.D.</w:t>
            </w:r>
          </w:p>
        </w:tc>
        <w:tc>
          <w:tcPr>
            <w:tcW w:w="5100" w:type="dxa"/>
            <w:vAlign w:val="bottom"/>
          </w:tcPr>
          <w:p>
            <w:pPr>
              <w:jc w:val="center"/>
              <w:ind w:left="507"/>
              <w:spacing w:after="0"/>
              <w:rPr>
                <w:sz w:val="20"/>
                <w:szCs w:val="20"/>
                <w:color w:val="auto"/>
              </w:rPr>
            </w:pPr>
            <w:r>
              <w:rPr>
                <w:rFonts w:ascii="Times New Roman" w:cs="Times New Roman" w:eastAsia="Times New Roman" w:hAnsi="Times New Roman"/>
                <w:sz w:val="15"/>
                <w:szCs w:val="15"/>
                <w:color w:val="auto"/>
              </w:rPr>
              <w:t>50</w:t>
            </w:r>
          </w:p>
        </w:tc>
      </w:tr>
      <w:tr>
        <w:trPr>
          <w:trHeight w:val="17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Richard W. Pascoe</w:t>
            </w:r>
          </w:p>
        </w:tc>
        <w:tc>
          <w:tcPr>
            <w:tcW w:w="5100" w:type="dxa"/>
            <w:vAlign w:val="bottom"/>
            <w:shd w:val="clear" w:color="auto" w:fill="CCEEFF"/>
          </w:tcPr>
          <w:p>
            <w:pPr>
              <w:jc w:val="center"/>
              <w:ind w:left="507"/>
              <w:spacing w:after="0"/>
              <w:rPr>
                <w:sz w:val="20"/>
                <w:szCs w:val="20"/>
                <w:color w:val="auto"/>
              </w:rPr>
            </w:pPr>
            <w:r>
              <w:rPr>
                <w:rFonts w:ascii="Times New Roman" w:cs="Times New Roman" w:eastAsia="Times New Roman" w:hAnsi="Times New Roman"/>
                <w:sz w:val="15"/>
                <w:szCs w:val="15"/>
                <w:color w:val="auto"/>
              </w:rPr>
              <w:t>55</w:t>
            </w: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Christal M.M. Mickle, M.A.</w:t>
            </w:r>
          </w:p>
        </w:tc>
        <w:tc>
          <w:tcPr>
            <w:tcW w:w="5100" w:type="dxa"/>
            <w:vAlign w:val="bottom"/>
          </w:tcPr>
          <w:p>
            <w:pPr>
              <w:jc w:val="center"/>
              <w:ind w:left="507"/>
              <w:spacing w:after="0"/>
              <w:rPr>
                <w:sz w:val="20"/>
                <w:szCs w:val="20"/>
                <w:color w:val="auto"/>
              </w:rPr>
            </w:pPr>
            <w:r>
              <w:rPr>
                <w:rFonts w:ascii="Times New Roman" w:cs="Times New Roman" w:eastAsia="Times New Roman" w:hAnsi="Times New Roman"/>
                <w:sz w:val="15"/>
                <w:szCs w:val="15"/>
                <w:color w:val="auto"/>
              </w:rPr>
              <w:t>40</w:t>
            </w:r>
          </w:p>
        </w:tc>
      </w:tr>
      <w:tr>
        <w:trPr>
          <w:trHeight w:val="17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 LaDuane Clifton, MBA, CPA</w:t>
            </w:r>
          </w:p>
        </w:tc>
        <w:tc>
          <w:tcPr>
            <w:tcW w:w="5100" w:type="dxa"/>
            <w:vAlign w:val="bottom"/>
            <w:shd w:val="clear" w:color="auto" w:fill="CCEEFF"/>
          </w:tcPr>
          <w:p>
            <w:pPr>
              <w:jc w:val="center"/>
              <w:ind w:left="507"/>
              <w:spacing w:after="0"/>
              <w:rPr>
                <w:sz w:val="20"/>
                <w:szCs w:val="20"/>
                <w:color w:val="auto"/>
              </w:rPr>
            </w:pPr>
            <w:r>
              <w:rPr>
                <w:rFonts w:ascii="Times New Roman" w:cs="Times New Roman" w:eastAsia="Times New Roman" w:hAnsi="Times New Roman"/>
                <w:sz w:val="15"/>
                <w:szCs w:val="15"/>
                <w:color w:val="auto"/>
              </w:rPr>
              <w:t>40</w:t>
            </w:r>
          </w:p>
        </w:tc>
      </w:tr>
      <w:tr>
        <w:trPr>
          <w:trHeight w:val="190"/>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Joshua Schafer</w:t>
            </w:r>
          </w:p>
        </w:tc>
        <w:tc>
          <w:tcPr>
            <w:tcW w:w="5100" w:type="dxa"/>
            <w:vAlign w:val="bottom"/>
          </w:tcPr>
          <w:p>
            <w:pPr>
              <w:jc w:val="center"/>
              <w:ind w:left="507"/>
              <w:spacing w:after="0"/>
              <w:rPr>
                <w:sz w:val="20"/>
                <w:szCs w:val="20"/>
                <w:color w:val="auto"/>
              </w:rPr>
            </w:pPr>
            <w:r>
              <w:rPr>
                <w:rFonts w:ascii="Times New Roman" w:cs="Times New Roman" w:eastAsia="Times New Roman" w:hAnsi="Times New Roman"/>
                <w:sz w:val="15"/>
                <w:szCs w:val="15"/>
                <w:color w:val="auto"/>
              </w:rPr>
              <w:t>40</w:t>
            </w:r>
          </w:p>
        </w:tc>
      </w:tr>
    </w:tbl>
    <w:p>
      <w:pPr>
        <w:spacing w:after="0" w:line="146"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Our Compensation Committee generally determines annual bonuses for our named executive officers by multiplying (a) base salary, by (b) target cash bonus percentage, by (c) the level of achievement of corporate performance objectives. In addition, the Compensation Committee retains discretion to adjust annual bonuses as it determines to be appropriate to reflect company performance, individual performance or other factors that the committee believes to be appropriate.</w:t>
      </w:r>
    </w:p>
    <w:p>
      <w:pPr>
        <w:spacing w:after="0" w:line="149"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Under the 2023 annual bonus plan, the Board approved performance objectives based on the achievement of specified development, regulatory and financial milestones which included (i) the resubmission of the Arimoclomol New Drug Application to the FDA, (ii) receipt of topline data from the Phase 2 trial for KP1077 for the treatment of Idiopathic Hypersomnia (“IH”), (iii) IND clearance for KP1077 in narcolepsy, (iv) completion of a Board-approved value-creating rare disease pipeline expansion, (v) an increase in the number of institutional investors, and (vi) attainment of financial performance goals in accordance with the Board-approved operating plan. For each of our named executive officers who was eligible to receive an annual bonus for 2023, their annual bonus payments were linked directly to the percentage completion toward the accomplishment of these corporate objectives.</w:t>
      </w:r>
    </w:p>
    <w:p>
      <w:pPr>
        <w:spacing w:after="0" w:line="153"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In February 2024, our Compensation Committee approved annual cash bonus awards to Mr. McFarlane, Mr. Clifton, Ms. Christal Mickle and Mr. Schafer of $105,535, $197,132, $173,264, and $200,535, respectively, for their services in 2023. Mr. McFarlane’s annual bonus 2023 was pro-rated in recognition of his partial year of employment. These award amounts were in recognition for Mr. McFarlane’s, Mr. Clifton’s, Ms. Christal Mickle's and Mr. Schafer's performance during the indicated year based on corporate objectives and are reflected in the “Non-Equity Incentive Plan Awards” column of the Summary Compensation Table above for 2023. Dr. Travis Mickle and Mr. Pascoe ceased to be eligible to receive an annual cash bonus for 2023 following the termination of their employment with us.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Long-Term Incentives</w:t>
      </w:r>
    </w:p>
    <w:p>
      <w:pPr>
        <w:spacing w:after="0" w:line="182"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Our Amended and Restated 2014 Equity Incentive Plan (the “2014 Plan”) and our 2023 Employment Inducement Award Plan (the “2023 Plan”) authorize us to make grants to eligible recipients of non-qualified stock options, incentive stock options and other stock-based awards. All of our awards granted in 2023 under these plans were in the form of stock options and restricted stock unit awards.</w:t>
      </w:r>
    </w:p>
    <w:p>
      <w:pPr>
        <w:spacing w:after="0" w:line="149"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We typically grant stock options at the start of employment to each executive and our other employees. Additionally, the Compensation Committee may grant additional equity in its discretion to provide additional targeted grants in appropriate circumstances, such as in connection with an employee taking on a new role at the Company. Typically, our stock options vest in equal annual installments over a period of four years, subject to continued service. However, our Compensation Committee may, from time to time, construct alternate vesting schedules as it determines are appropriate to motivate particular employees. Additionally, stock options granted to our employees may be subject to accelerated vesting in certain circumstances, as described in the section titled “––Employment Arrangements and Potential Payments upon Termination of Employment.”</w:t>
      </w:r>
    </w:p>
    <w:p>
      <w:pPr>
        <w:spacing w:after="0" w:line="153"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For employees who are not officers of the Company, we generally award stock options on the date the single-person non-officer stock award subcommittee of the Compensation Committee approves the grant. In 2015, the Compensation Committee formed a single-person non-officer stock award committee, currently composed of our chief executive officer, to which it delegated authority to grant, without any further action required by the Compensation Committee, stock awards to employees who are not officers of the Company, provided that such grants are made in accordance with guidelines established by the Compensation Committee. If employees are officers of the Company we award stock options on the date the Compensation Committee approves the grant. We set the option exercise price as the last reported sale price of our common stock on the Nasdaq Stock Market on the date of grant.</w:t>
      </w:r>
    </w:p>
    <w:p>
      <w:pPr>
        <w:spacing w:after="0" w:line="153"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We awarded stock options to our named executive officers during 2023 in the following amounts and with the vesting schedules indicated below. These options were granted with exercise prices equal to the fair market of our common stock on the date of grant, as determined by our Compensation Committee</w:t>
      </w:r>
    </w:p>
    <w:p>
      <w:pPr>
        <w:spacing w:after="0" w:line="131" w:lineRule="exact"/>
        <w:rPr>
          <w:sz w:val="20"/>
          <w:szCs w:val="20"/>
          <w:color w:val="auto"/>
        </w:rPr>
      </w:pPr>
    </w:p>
    <w:tbl>
      <w:tblPr>
        <w:tblLayout w:type="fixed"/>
        <w:tblInd w:w="1150" w:type="dxa"/>
        <w:tblCellMar>
          <w:top w:w="0" w:type="dxa"/>
          <w:left w:w="0" w:type="dxa"/>
          <w:bottom w:w="0" w:type="dxa"/>
          <w:right w:w="0" w:type="dxa"/>
        </w:tblCellMar>
      </w:tblPr>
      <w:tr>
        <w:trPr>
          <w:trHeight w:val="349"/>
        </w:trPr>
        <w:tc>
          <w:tcPr>
            <w:tcW w:w="1980" w:type="dxa"/>
            <w:vAlign w:val="bottom"/>
            <w:tcBorders>
              <w:top w:val="single" w:sz="8" w:color="auto"/>
              <w:left w:val="single" w:sz="8" w:color="auto"/>
            </w:tcBorders>
          </w:tcPr>
          <w:p>
            <w:pPr>
              <w:spacing w:after="0"/>
              <w:rPr>
                <w:sz w:val="24"/>
                <w:szCs w:val="24"/>
                <w:color w:val="auto"/>
              </w:rPr>
            </w:pPr>
          </w:p>
        </w:tc>
        <w:tc>
          <w:tcPr>
            <w:tcW w:w="256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Name</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Number of Shares Subject to</w:t>
            </w:r>
          </w:p>
        </w:tc>
        <w:tc>
          <w:tcPr>
            <w:tcW w:w="0" w:type="dxa"/>
            <w:vAlign w:val="bottom"/>
          </w:tcPr>
          <w:p>
            <w:pPr>
              <w:spacing w:after="0"/>
              <w:rPr>
                <w:sz w:val="1"/>
                <w:szCs w:val="1"/>
                <w:color w:val="auto"/>
              </w:rPr>
            </w:pPr>
          </w:p>
        </w:tc>
      </w:tr>
      <w:tr>
        <w:trPr>
          <w:trHeight w:val="104"/>
        </w:trPr>
        <w:tc>
          <w:tcPr>
            <w:tcW w:w="1980" w:type="dxa"/>
            <w:vAlign w:val="bottom"/>
            <w:tcBorders>
              <w:left w:val="single" w:sz="8" w:color="auto"/>
            </w:tcBorders>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4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Options Granted</w:t>
            </w:r>
          </w:p>
        </w:tc>
        <w:tc>
          <w:tcPr>
            <w:tcW w:w="0" w:type="dxa"/>
            <w:vAlign w:val="bottom"/>
          </w:tcPr>
          <w:p>
            <w:pPr>
              <w:spacing w:after="0"/>
              <w:rPr>
                <w:sz w:val="1"/>
                <w:szCs w:val="1"/>
                <w:color w:val="auto"/>
              </w:rPr>
            </w:pPr>
          </w:p>
        </w:tc>
      </w:tr>
      <w:tr>
        <w:trPr>
          <w:trHeight w:val="88"/>
        </w:trPr>
        <w:tc>
          <w:tcPr>
            <w:tcW w:w="1980" w:type="dxa"/>
            <w:vAlign w:val="bottom"/>
            <w:tcBorders>
              <w:left w:val="single" w:sz="8" w:color="auto"/>
            </w:tcBorders>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tcBorders>
          </w:tcPr>
          <w:p>
            <w:pPr>
              <w:spacing w:after="0"/>
              <w:rPr>
                <w:sz w:val="16"/>
                <w:szCs w:val="16"/>
                <w:color w:val="auto"/>
              </w:rPr>
            </w:pPr>
          </w:p>
        </w:tc>
        <w:tc>
          <w:tcPr>
            <w:tcW w:w="2560" w:type="dxa"/>
            <w:vAlign w:val="bottom"/>
            <w:tcBorders>
              <w:bottom w:val="single" w:sz="8" w:color="auto"/>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980" w:type="dxa"/>
            <w:vAlign w:val="bottom"/>
            <w:tcBorders>
              <w:top w:val="single" w:sz="8" w:color="auto"/>
              <w:left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Neil F. McFarlane</w:t>
            </w:r>
          </w:p>
        </w:tc>
        <w:tc>
          <w:tcPr>
            <w:tcW w:w="2560" w:type="dxa"/>
            <w:vAlign w:val="bottom"/>
            <w:tcBorders>
              <w:top w:val="single" w:sz="8" w:color="auto"/>
              <w:right w:val="single" w:sz="8" w:color="auto"/>
            </w:tcBorders>
            <w:shd w:val="clear" w:color="auto" w:fill="CCEEFF"/>
          </w:tcPr>
          <w:p>
            <w:pPr>
              <w:spacing w:after="0"/>
              <w:rPr>
                <w:sz w:val="13"/>
                <w:szCs w:val="13"/>
                <w:color w:val="auto"/>
              </w:rPr>
            </w:pPr>
          </w:p>
        </w:tc>
        <w:tc>
          <w:tcPr>
            <w:tcW w:w="4480" w:type="dxa"/>
            <w:vAlign w:val="bottom"/>
            <w:tcBorders>
              <w:top w:val="single" w:sz="8" w:color="CCEEFF"/>
              <w:right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w w:val="97"/>
              </w:rPr>
              <w:t>600,000 (1)</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Travis Mickle, Ph.D.</w:t>
            </w:r>
          </w:p>
        </w:tc>
        <w:tc>
          <w:tcPr>
            <w:tcW w:w="256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r>
        <w:trPr>
          <w:trHeight w:val="175"/>
        </w:trPr>
        <w:tc>
          <w:tcPr>
            <w:tcW w:w="19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Richard W. Pascoe</w:t>
            </w:r>
          </w:p>
        </w:tc>
        <w:tc>
          <w:tcPr>
            <w:tcW w:w="2560" w:type="dxa"/>
            <w:vAlign w:val="bottom"/>
            <w:tcBorders>
              <w:right w:val="single" w:sz="8" w:color="auto"/>
            </w:tcBorders>
            <w:shd w:val="clear" w:color="auto" w:fill="CCEEFF"/>
          </w:tcPr>
          <w:p>
            <w:pPr>
              <w:spacing w:after="0"/>
              <w:rPr>
                <w:sz w:val="15"/>
                <w:szCs w:val="15"/>
                <w:color w:val="auto"/>
              </w:rPr>
            </w:pPr>
          </w:p>
        </w:tc>
        <w:tc>
          <w:tcPr>
            <w:tcW w:w="44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700,000 (1)</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Christal M.M. Mickle, M.A.</w:t>
            </w:r>
          </w:p>
        </w:tc>
        <w:tc>
          <w:tcPr>
            <w:tcW w:w="256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300,000 (1)</w:t>
            </w:r>
          </w:p>
        </w:tc>
        <w:tc>
          <w:tcPr>
            <w:tcW w:w="0" w:type="dxa"/>
            <w:vAlign w:val="bottom"/>
          </w:tcPr>
          <w:p>
            <w:pPr>
              <w:spacing w:after="0"/>
              <w:rPr>
                <w:sz w:val="1"/>
                <w:szCs w:val="1"/>
                <w:color w:val="auto"/>
              </w:rPr>
            </w:pPr>
          </w:p>
        </w:tc>
      </w:tr>
      <w:tr>
        <w:trPr>
          <w:trHeight w:val="175"/>
        </w:trPr>
        <w:tc>
          <w:tcPr>
            <w:tcW w:w="19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R. LaDuane Clifton, MBA, CPA</w:t>
            </w:r>
          </w:p>
        </w:tc>
        <w:tc>
          <w:tcPr>
            <w:tcW w:w="2560" w:type="dxa"/>
            <w:vAlign w:val="bottom"/>
            <w:tcBorders>
              <w:right w:val="single" w:sz="8" w:color="auto"/>
            </w:tcBorders>
            <w:shd w:val="clear" w:color="auto" w:fill="CCEEFF"/>
          </w:tcPr>
          <w:p>
            <w:pPr>
              <w:spacing w:after="0"/>
              <w:rPr>
                <w:sz w:val="15"/>
                <w:szCs w:val="15"/>
                <w:color w:val="auto"/>
              </w:rPr>
            </w:pPr>
          </w:p>
        </w:tc>
        <w:tc>
          <w:tcPr>
            <w:tcW w:w="44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459,726 (1)</w:t>
            </w:r>
          </w:p>
        </w:tc>
        <w:tc>
          <w:tcPr>
            <w:tcW w:w="0" w:type="dxa"/>
            <w:vAlign w:val="bottom"/>
          </w:tcPr>
          <w:p>
            <w:pPr>
              <w:spacing w:after="0"/>
              <w:rPr>
                <w:sz w:val="1"/>
                <w:szCs w:val="1"/>
                <w:color w:val="auto"/>
              </w:rPr>
            </w:pPr>
          </w:p>
        </w:tc>
      </w:tr>
      <w:tr>
        <w:trPr>
          <w:trHeight w:val="175"/>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Joshua Schafer</w:t>
            </w:r>
          </w:p>
        </w:tc>
        <w:tc>
          <w:tcPr>
            <w:tcW w:w="256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300,000 (1)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400" w:right="1140" w:hanging="265"/>
        <w:spacing w:after="0" w:line="252" w:lineRule="auto"/>
        <w:tabs>
          <w:tab w:leader="none" w:pos="14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award vests in equal annual installments over a period of four years, subject to continued service. Additionally, the option award will vest in full and become immediately exercisable upon a change of control of the Company or if the executive is terminated without cause or resigns for good reason (each as defined in the executive’s employment agreement, discussed under the section entitled “Employment Arrangements and Potential Payments upon Termination of Employment”.</w:t>
      </w:r>
    </w:p>
    <w:p>
      <w:pPr>
        <w:spacing w:after="0" w:line="152"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In addition to the stock option grants described above, in 2023, we granted 547,945 PSUs to Dr. Travis Mickle under the 2014 Plan and 200,000 time-based restricted stock units (“RSUs”) to Mr. McFarlane under the 2023 Plan. The PSUs granted to Dr. Travis Mickle vest in full upon the Company’s achievement of a clinical and development milestone prior to December 31, 2024, subject to forfeiture upon certain disqualifying events. The RSUs granted to Mr. McFarlane vest in four equal annual installments, beginning on the first anniversary of Mr. McFarlane’s start date, subject to his continuous service to Company through each such vesting date.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Compensation</w:t>
      </w:r>
    </w:p>
    <w:p>
      <w:pPr>
        <w:spacing w:after="0" w:line="182"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The amounts shown in the “All Other Compensation” column in the Summary Compensation Table consist of contributions to the 401(k) plan, tax gross-up payments associated with travel reimbursements that are generally available to all employees and premiums we paid for life insurance policies. We sponsor a 401(k) defined contribution plan in which our named executive officers may participate, subject to limits imposed by the Code, to the same extent as all of our other full-time employees. During 2023, we matched 100% of each eligible employee’s contributions up to 4% of total eligible compensation. Employees’ pre-tax contributions are allocated to each participant’s individual account and are then invested in selected investment alternatives according to the participants’ directions. Employees are immediately and fully vested in their contributions, and our matching contribution is also immediately and fully vested when made.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 Additionally, our named executive officers are eligible to participate in certain of our employee benefit plans and programs, including medical and dental benefits, to the same extent as our other full-time employees, subject to the terms and eligibility requirements of those plans.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Employment Arrangements and Potential Payments upon Termination of Employment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Neil F. McFarlane</w:t>
      </w:r>
    </w:p>
    <w:p>
      <w:pPr>
        <w:spacing w:after="0" w:line="180"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In October 2023, we entered into an employment agreement with Mr. McFarlane under which he serves as our President and Chief Executive Officer. Pursuant to the employment agreement, Mr. McFarlane is entitled to (i) an initial annual base salary of $700,000, (ii) an annual performance-based target bonus of 60% of his annual base salary, (iii) an initial award of an option to purchase 600,000 shares of the Company’s common stock and (iv) an initial award of RSUs covering 200,000 shares of the Company's common stock. The option and RSUs were granted to Mr. McFarlane under the 2023 Plan. In addition, Mr. McFarlane was entitled to receive reimbursement for commuting expenses (together with a tax gross-up related thereto), and a cash bonus of up to $350,000 to assist with his move to the Company’s headquarters (the “Relocation Bonus”), payable in two installments. The first installment of the Relocation Bonus was $200,000 and was paid shortly after the commencement of his employment. The second installment of the Relocation Bonus, which is $150,000, is payable upon his move to within fifty (50) miles of the Company’s headquarters prior to the first anniversary of the commencement of his employment, which is October 10, 2024. The Relocation Bonus is subject to repayment if Mr. McFarlane resigns for any reason (other than for “good reason,” as defined in Mr. McFarlane’s employment agreement) or is terminated for “cause” (as defined in Mr. McFarlane’s employment agreement), in either case, within two years after the commencement of his employment. Mr. McFarlane was also entitled to reimbursement of legal fees of up to $20,000 in connection with the negotiation of his employment agreement.</w:t>
      </w:r>
    </w:p>
    <w:p>
      <w:pPr>
        <w:spacing w:after="0" w:line="160"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Upon a termination of Mr. McFarlane’s employment without cause by the Company or resignation for good reason, Mr. McFarlane is entitled to receive (a) an amount of cash equal to 1.0 times annual base salary, (b) a pro-rated target annual bonus for the year in which termination occurs, (c) twelve months of Company paid COBRA continuation coverage, and (d) full vesting of his outstanding and unvested equity awards. However, if any such termination occurs within one month prior to or six months after a change in control, he will instead receive (a) an amount of cash equal to 1.5 times annual base salary, (b) a target annual bonus for the year in which termination occurs, (c) eighteen months of Company paid COBRA continuation coverage, and (d) full vesting of his outstanding and unvested equity awards. Upon Mr. McFarlane’s termination due to death or disability, Mr. McFarlane will receive a pro-rated target annual bonus. Mr. McFarlane is also subject to 12-month post-termination non-competition and non-solicitation restrictions.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Travis Mickle, Ph.D.</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In connection with Dr. Travis Mickle’s resignation as the Company’s Chief Executive Officer on January 6, 2023, the Company entered into a transition agreement (the “Mickle Transition Agreement”) and a consulting agreement (the “Consulting Agreement”) with Dr. Travis Mickle.</w:t>
      </w:r>
    </w:p>
    <w:p>
      <w:pPr>
        <w:spacing w:after="0" w:line="141"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Pursuant to the terms of the Mickle Transition Agreement, in exchange for his execution of a release of claims in the Company’s favor, Dr. Travis Mickle became entitled to receive severance payments and benefits consisting of (i) continued payment of his base salary for 18 months following the date on which Dr. Travis Mickle’s employment with the Company ended, which was April 25, 2023 (the “Mickle Separation Date”), (ii) up to 18 months of continued medical, dental and vision coverage pursuant to COBRA and (iii) a one-time, lump sum bonus payment equal to a pro rata amount of his annual performance-based target bonus for 2023. In addition, immediately prior to the Mickle Separation Date, all outstanding options to purchase the Company’s common stock held by Dr. Travis Mickle vested in full, and such accelerated vested options may be exercised through the later of (i) the 18-month anniversary of the date of the Mickle Transition Agreement and (ii) the date of the termination of the Consulting Agreement.</w:t>
      </w:r>
    </w:p>
    <w:p>
      <w:pPr>
        <w:spacing w:after="0" w:line="158"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Pursuant to the terms of the Consulting Agreement, Dr. Travis Mickle agreed to provide consulting services until April 25, 2024. In exchange for such services, Dr. Travis Mickle receives consulting fees of $40,000 per month. In addition, Dr. Travis Mickle was granted 547,945 PSUs under the 2014 Plan, which will vest in full upon the timely achievement of a clinical and development milestone, subject to forfeiture upon certain disqualifying events.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Richard W. Pascoe</w:t>
      </w:r>
    </w:p>
    <w:p>
      <w:pPr>
        <w:spacing w:after="0" w:line="180"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In connection with Mr. Pascoe’s appointment as the Company’s Chief Executive Officer on January 6, 2023, the Company and Mr. Pascoe entered into an amendment to his employment agreement, dated November 5, 2021 (the “Pascoe Amendment”). Pursuant to the Pascoe Amendment, (i) Mr. Pascoe’s annual base salary was increased to $592,000, (ii) his annual performance-based target bonus was increased to 55% of his annual base salary, and (iii) he became entitled to receive an option under the 2014 Plan to purchase 700,000 shares of the Company’s common stock.</w:t>
      </w:r>
    </w:p>
    <w:p>
      <w:pPr>
        <w:spacing w:after="0" w:line="152"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Upon Mr. Pascoe’s resignation as the Company’s Chief Executive Officer on June 1, 2023, the Company entered into a transition agreement with Mr. Pascoe (the “Pascoe Transition Agreement”). Mr. Pascoe continued to earn his Chief Executive Officer base salary and participate in the Company’s benefit plans. Pursuant to the terms of the Pascoe Transition Agreement, following his execution of a release of claims in the Company’s favor, Mr. Pascoe became entitled to receive severance payments and benefits consisting of (i) continued payment of his base salary for 12 months following the date on which Mr. Pascoe’s employment with the Company ended, which was June 1, 2023 (the “Pascoe Separation Date”), (ii) up to 12 months of continued medical, dental and vision coverage pursuant to COBRA, (iii) an amount equal to Mr. Pascoe’s target annual bonus, pro-rated through the Pascoe Separation Date and (iv) accelerated vesting of his outstanding equity awards. In addition, the exercise period of vested options to purchase the Company’s common stock held by Mr. Pascoe were extended through the nine-month anniversary of the Pascoe Separation Date.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Christal M.M. Mickle, M.A.</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In 2014, we entered into an employment agreement with Ms. Christal Mickle under which she serves as our Chief Development Officer (as amended, the “Mickle Agreement”). Pursuant to the Mickle Agreement, Ms. Christal Mickle is entitled to (i) an annual base salary and (ii) an annual performance-based bonus opportunity. Ms. Christal Mickle is also subject to 12-month post-termination non-competition and non-solicitation restrictions.</w:t>
      </w:r>
    </w:p>
    <w:p>
      <w:pPr>
        <w:spacing w:after="0" w:line="149"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In the event that we terminate Ms. Christal Mickle without “cause” or she resigns for “good reason” (in each case, as defined in the Mickle Agreement), Ms. Christal Mickle will be entitled to receive (a) an amount equal to 12 months of her annual base salary, less applicable deductions, payable in accordance with our normal payroll schedule, (b) a pro-rated target annual bonus for the year in which termination occurs, (c) twelve months of Company paid COBRA continuation coverage, and (d) full vesting of her outstanding and unvested equity awards, except that if such termination occurs within 60 days before, upon or within one year following a sale that constitutes a “change in control event” as defined in Section 409A of the Code then in lieu of the payment described in clause (a), Ms. Christal Mickle will be entitled to a lump sum payment equal to her annual base salary. In the event that we terminate Ms. Christal Mickle with cause, Ms. Christal Mickle resigns without good reason, or the employment is terminated due to mutual agreement, death or disability, then Ms. Christal Mickle will not be entitled to receive severance benefits. Additionally, under the terms of the Mickle Agreement, if we undergo a change of control, all then unvested and outstanding equity awards shall become fully vested and immediately exercisable immediately prior to such change in control.</w:t>
      </w:r>
    </w:p>
    <w:p>
      <w:pPr>
        <w:spacing w:after="0" w:line="157" w:lineRule="exact"/>
        <w:rPr>
          <w:sz w:val="20"/>
          <w:szCs w:val="20"/>
          <w:color w:val="auto"/>
        </w:rPr>
      </w:pPr>
    </w:p>
    <w:p>
      <w:pPr>
        <w:jc w:val="both"/>
        <w:ind w:firstLine="132"/>
        <w:spacing w:after="0" w:line="275" w:lineRule="auto"/>
        <w:rPr>
          <w:sz w:val="20"/>
          <w:szCs w:val="20"/>
          <w:color w:val="auto"/>
        </w:rPr>
      </w:pPr>
      <w:r>
        <w:rPr>
          <w:rFonts w:ascii="Times New Roman" w:cs="Times New Roman" w:eastAsia="Times New Roman" w:hAnsi="Times New Roman"/>
          <w:sz w:val="14"/>
          <w:szCs w:val="14"/>
          <w:color w:val="auto"/>
        </w:rPr>
        <w:t>In connection with Ms. Christal Mickle’s appointment as interim President and Chief Executive Officer on June 1, 2023, Zevra and Ms. Christal Mickle entered into a letter agreement pursuant to which she served as the Company’s interim Chief Executive Officer and President until a new Chief Executive Officer of the Company was appointed (which was October 10, 2023). During this transition period, she was paid at an annual rate of $512,000 while she served as interim President and Chief Executive Officer. Following the expiration of this transition period, the terms of Ms. Christal Mickle’s employment reverted to those terms as in effect immediately prior to her appointment as our interim President and Chief Executive Officer.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 LaDuane Clifton, MBA, CPA</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In 2015, we entered into an amended and restated employment agreement with Mr. Clifton under which he serves as our Chief Financial Officer (as amended, the “Clifton Agreement”). Pursuant to the Clifton Agreement, Mr. Clifton is entitled to (i) an annual base salary and (ii) an annual performance-based bonus opportunity. Mr. Clifton is also subject to 12-month post-termination non-competition and non-solicitation restrictions.</w:t>
      </w:r>
    </w:p>
    <w:p>
      <w:pPr>
        <w:spacing w:after="0" w:line="149" w:lineRule="exact"/>
        <w:rPr>
          <w:sz w:val="20"/>
          <w:szCs w:val="20"/>
          <w:color w:val="auto"/>
        </w:rPr>
      </w:pPr>
    </w:p>
    <w:p>
      <w:pPr>
        <w:jc w:val="both"/>
        <w:ind w:firstLine="132"/>
        <w:spacing w:after="0" w:line="247" w:lineRule="auto"/>
        <w:rPr>
          <w:sz w:val="20"/>
          <w:szCs w:val="20"/>
          <w:color w:val="auto"/>
        </w:rPr>
      </w:pPr>
      <w:r>
        <w:rPr>
          <w:rFonts w:ascii="Times New Roman" w:cs="Times New Roman" w:eastAsia="Times New Roman" w:hAnsi="Times New Roman"/>
          <w:sz w:val="15"/>
          <w:szCs w:val="15"/>
          <w:color w:val="auto"/>
        </w:rPr>
        <w:t>In the event that we terminate Mr. Clifton without “cause” or he resigns for “good reason” (in each case, as defined in the Clifton Agreement), Mr. Clifton will be entitled to receive (a) an amount equal to 12 months of his annual base salary, less applicable deductions, payable in accordance with our normal payroll schedule, (b) a pro-rated target annual bonus for the year in which termination occurs, (c) 12 months of Company paid COBRA continuation coverage and (d) full vesting of his outstanding equity awards, except that if such termination occurs upon or within one year following a sale that constitutes a “change in control event” as defined in Section 409A of the Code then in lieu of the payment described in clause (a) Mr. Clifton will be entitled to a lump sum payment equal to his annual base salary on the first regularly scheduled pay day immediately following the effective date of his termination. In the event that we terminate Mr. Clifton with cause, Mr. Clifton resigns without good reason, or the employment is terminated due to mutual agreement, death or disability, then Mr. Clifton will not be entitled to receive severance benefits. Under the terms of the Clifton Agreement, if we undergo a change of control, all then unvested and outstanding equity awards shall become fully vested and immediately exercisable immediately prior to such change in control.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Joshua Schafer</w:t>
      </w:r>
    </w:p>
    <w:p>
      <w:pPr>
        <w:spacing w:after="0" w:line="180"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In January 2023, we entered into an employment agreement with Mr. Schafer under which he serves as our Chief Commercial Officer and Executive Vice President of Business Development (the “Schafer Agreement”). Pursuant to the Schafer Agreement, Mr. Schafer is entitled to (i) an initial annual base salary of $460,000, (ii) an annual performance-based target bonus of 40% of his annual base salary and (iii) an initial award of an option to purchase 300,000 shares of the Company’s common stock. In addition, Mr. Schafer was entitled to receive a cash signing bonus of $100,000 in connection with his commencement of employment (the “Signing Bonus”). The Signing Bonus was subject to repayment if Mr. Schafer resigned for any reason (other than for “good reason,” as defined in the Schafer Agreement) or was terminated for “cause” (as defined in the Schafer Agreement), in either case, within six months after the commencement of his employment.</w:t>
      </w:r>
    </w:p>
    <w:p>
      <w:pPr>
        <w:spacing w:after="0" w:line="158"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Upon a termination of Mr. Schafer’s employment without cause by the Company or resignation for good reason, Mr. Schafer is entitled to receive (a) an amount equal to 12 months of his annual base salary, less applicable deductions, payable in accordance with our normal payroll schedule, (b) a pro-rated target annual bonus for the year in which termination occurs, (c) 12 months of Company paid COBRA continuation coverage, and (d) full vesting of his outstanding and unvested equity awards, except that if such termination occurs within one year following a sale that constitutes a “change in control event” as defined in Section 409A of the Code, then in lieu of the payment described in clause (a), Mr. Schafer will be entitled to a lump sum payment equal to 1.0 times his annual base salary. Upon Mr. Schafer’s termination due to death or disability, Mr. Schafer will receive a pro-rated target annual bonus. Mr. Schafer is also subject to 12-month post-termination non-competition and non-solicitation restrictions.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Outstanding Equity Awards at End of 2023</w:t>
      </w:r>
    </w:p>
    <w:p>
      <w:pPr>
        <w:spacing w:after="0" w:line="180" w:lineRule="exact"/>
        <w:rPr>
          <w:sz w:val="20"/>
          <w:szCs w:val="20"/>
          <w:color w:val="auto"/>
        </w:rPr>
      </w:pPr>
    </w:p>
    <w:p>
      <w:pPr>
        <w:ind w:firstLine="132"/>
        <w:spacing w:after="0" w:line="268" w:lineRule="auto"/>
        <w:rPr>
          <w:sz w:val="20"/>
          <w:szCs w:val="20"/>
          <w:color w:val="auto"/>
        </w:rPr>
      </w:pPr>
      <w:r>
        <w:rPr>
          <w:rFonts w:ascii="Times New Roman" w:cs="Times New Roman" w:eastAsia="Times New Roman" w:hAnsi="Times New Roman"/>
          <w:sz w:val="15"/>
          <w:szCs w:val="15"/>
          <w:color w:val="auto"/>
        </w:rPr>
        <w:t>The following table provides information about outstanding stock options held by each of our named executive officers at December 31, 2023. All of these options were granted under our 2007 stock incentive plan (the “2007 Plan”), our 2014 Plan, or the 2023 Plan.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Option Awards (1)</w:t>
            </w:r>
          </w:p>
        </w:tc>
        <w:tc>
          <w:tcPr>
            <w:tcW w:w="9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Stock Awards</w:t>
            </w:r>
            <w:r>
              <w:rPr>
                <w:rFonts w:ascii="Times New Roman" w:cs="Times New Roman" w:eastAsia="Times New Roman" w:hAnsi="Times New Roman"/>
                <w:sz w:val="24"/>
                <w:szCs w:val="24"/>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w w:val="96"/>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Equity</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incentive plan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incentive plan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awards: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Market Value</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awards: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market 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Number of</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5"/>
              </w:rPr>
              <w:t>number of</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payout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Number of</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Number of</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Shares or</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Shares or</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unearned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of unearned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Securities</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5"/>
              </w:rPr>
              <w:t>Securities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3"/>
              </w:rPr>
              <w:t>Units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Units of</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4"/>
              </w:rPr>
              <w:t>shares, units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4"/>
              </w:rPr>
              <w:t>shares, units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Underlying</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Underlying</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Option</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of Stock That</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Stock That</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or other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or other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Unexercised</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Unexercised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Exercise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Option</w:t>
            </w:r>
          </w:p>
        </w:tc>
        <w:tc>
          <w:tcPr>
            <w:tcW w:w="2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Have Not</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Have</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5"/>
              </w:rPr>
              <w:t>rights that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rights that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Grant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Options (#)</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Options (#)</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Expiration</w:t>
            </w:r>
          </w:p>
        </w:tc>
        <w:tc>
          <w:tcPr>
            <w:tcW w:w="2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2"/>
              </w:rPr>
              <w:t>Vested</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Not Vested</w:t>
            </w: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5"/>
              </w:rPr>
              <w:t>have not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have not</w:t>
            </w:r>
          </w:p>
        </w:tc>
        <w:tc>
          <w:tcPr>
            <w:tcW w:w="0" w:type="dxa"/>
            <w:vAlign w:val="bottom"/>
          </w:tcPr>
          <w:p>
            <w:pPr>
              <w:spacing w:after="0"/>
              <w:rPr>
                <w:sz w:val="1"/>
                <w:szCs w:val="1"/>
                <w:color w:val="auto"/>
              </w:rPr>
            </w:pPr>
          </w:p>
        </w:tc>
      </w:tr>
      <w:tr>
        <w:trPr>
          <w:trHeight w:val="192"/>
        </w:trPr>
        <w:tc>
          <w:tcPr>
            <w:tcW w:w="1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2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Exercisable</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Unexercisable</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100" w:type="dxa"/>
            <w:vAlign w:val="bottom"/>
            <w:gridSpan w:val="2"/>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3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($)(2)</w:t>
            </w:r>
          </w:p>
        </w:tc>
        <w:tc>
          <w:tcPr>
            <w:tcW w:w="20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vested (#)</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 xml:space="preserve">vested </w:t>
            </w:r>
            <w:r>
              <w:rPr>
                <w:rFonts w:ascii="Times New Roman" w:cs="Times New Roman" w:eastAsia="Times New Roman" w:hAnsi="Times New Roman"/>
                <w:sz w:val="15"/>
                <w:szCs w:val="15"/>
                <w:b w:val="1"/>
                <w:bCs w:val="1"/>
                <w:u w:val="single" w:color="auto"/>
                <w:color w:val="auto"/>
                <w:w w:val="96"/>
              </w:rPr>
              <w:t>($</w:t>
            </w:r>
            <w:r>
              <w:rPr>
                <w:rFonts w:ascii="Times New Roman" w:cs="Times New Roman" w:eastAsia="Times New Roman" w:hAnsi="Times New Roman"/>
                <w:sz w:val="15"/>
                <w:szCs w:val="15"/>
                <w:b w:val="1"/>
                <w:bCs w:val="1"/>
                <w:color w:val="auto"/>
                <w:w w:val="96"/>
              </w:rPr>
              <w:t>)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3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Neil F. McFarlane</w:t>
            </w:r>
          </w:p>
        </w:tc>
        <w:tc>
          <w:tcPr>
            <w:tcW w:w="780" w:type="dxa"/>
            <w:vAlign w:val="bottom"/>
            <w:gridSpan w:val="2"/>
            <w:shd w:val="clear" w:color="auto" w:fill="CCEEFF"/>
          </w:tcPr>
          <w:p>
            <w:pPr>
              <w:jc w:val="center"/>
              <w:ind w:left="47"/>
              <w:spacing w:after="0" w:line="167" w:lineRule="exact"/>
              <w:rPr>
                <w:sz w:val="20"/>
                <w:szCs w:val="20"/>
                <w:color w:val="auto"/>
              </w:rPr>
            </w:pPr>
            <w:r>
              <w:rPr>
                <w:rFonts w:ascii="Times New Roman" w:cs="Times New Roman" w:eastAsia="Times New Roman" w:hAnsi="Times New Roman"/>
                <w:sz w:val="15"/>
                <w:szCs w:val="15"/>
                <w:color w:val="auto"/>
                <w:w w:val="96"/>
              </w:rPr>
              <w:t>10/10/2023</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5"/>
                <w:szCs w:val="15"/>
                <w:color w:val="auto"/>
              </w:rPr>
              <w:t>600,000(3)</w:t>
            </w:r>
          </w:p>
        </w:tc>
        <w:tc>
          <w:tcPr>
            <w:tcW w:w="1100" w:type="dxa"/>
            <w:vAlign w:val="bottom"/>
            <w:gridSpan w:val="2"/>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4.75</w:t>
            </w:r>
          </w:p>
        </w:tc>
        <w:tc>
          <w:tcPr>
            <w:tcW w:w="9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6"/>
              </w:rPr>
              <w:t>10/09/2033</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10/10/2023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200,000(4)</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1,310,000</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Travis Mickle, Ph. D.</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(5)</w:t>
            </w: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07/30/2014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1,666</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93.60</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07/29/2024</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09/04/2015</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13,750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327.20</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09/03/2025</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02/11/2016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9,375</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201.92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02/10/2026</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01/27/2017</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14,062</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56.80</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01/26/2027</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01/25/2018</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14,062</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88.00</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01/24/2028</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02/06/2019</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26,250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42.56</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02/05/2029</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11/25/2019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8.26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11/24/2029</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02/05/2020</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26,250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5.98</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02/04/2030</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08/20/2021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263,743</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9.06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08/19/2031</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02/01/2022</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267,156</w:t>
            </w:r>
          </w:p>
        </w:tc>
        <w:tc>
          <w:tcPr>
            <w:tcW w:w="2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7.17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01/31/2032</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01/06/2023</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547,945(6)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3,589,040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auto"/>
                <w:w w:val="98"/>
              </w:rPr>
              <w:t>Richard W. Pascoe (7)</w:t>
            </w: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08/25/2015</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625</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304.32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02/29/2024</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05/24/2016</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625</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96.80</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02/29/2024</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05/23/2017</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625</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63.20</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02/29/2024</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05/22/2018</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937</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97.60</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02/29/2024</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04/24/2019</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1,875</w:t>
            </w:r>
          </w:p>
        </w:tc>
        <w:tc>
          <w:tcPr>
            <w:tcW w:w="2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25.92</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02/29/2024</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06/19/2020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1,875</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4.34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02/29/2024</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06/17/2021</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15,000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02/29/2024</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11/10/2021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9.10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02/29/2024</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02/01/2022</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127,286</w:t>
            </w:r>
          </w:p>
        </w:tc>
        <w:tc>
          <w:tcPr>
            <w:tcW w:w="2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7.17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02/29/2024</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01/09/2023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700,000</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02/29/2024</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R. LaDuane Clifton,</w:t>
            </w:r>
          </w:p>
        </w:tc>
        <w:tc>
          <w:tcPr>
            <w:tcW w:w="780" w:type="dxa"/>
            <w:vAlign w:val="bottom"/>
            <w:gridSpan w:val="2"/>
            <w:vMerge w:val="restart"/>
          </w:tcPr>
          <w:p>
            <w:pPr>
              <w:jc w:val="center"/>
              <w:ind w:left="47"/>
              <w:spacing w:after="0"/>
              <w:rPr>
                <w:sz w:val="20"/>
                <w:szCs w:val="20"/>
                <w:color w:val="auto"/>
              </w:rPr>
            </w:pPr>
            <w:r>
              <w:rPr>
                <w:rFonts w:ascii="Times New Roman" w:cs="Times New Roman" w:eastAsia="Times New Roman" w:hAnsi="Times New Roman"/>
                <w:sz w:val="15"/>
                <w:szCs w:val="15"/>
                <w:color w:val="auto"/>
                <w:w w:val="96"/>
              </w:rPr>
              <w:t>04/15/2015</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1,333</w:t>
            </w:r>
          </w:p>
        </w:tc>
        <w:tc>
          <w:tcPr>
            <w:tcW w:w="220" w:type="dxa"/>
            <w:vAlign w:val="bottom"/>
          </w:tcPr>
          <w:p>
            <w:pPr>
              <w:spacing w:after="0"/>
              <w:rPr>
                <w:sz w:val="13"/>
                <w:szCs w:val="13"/>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176.00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04/01/2025</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MBA, CPA</w:t>
            </w: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06/25/2015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2,812</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292.64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06/25/2025</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09/04/2015</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937</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327.20</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09/03/2025</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02/11/2016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3,125</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201.92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02/10/2026</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01/27/2017</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4,687</w:t>
            </w:r>
          </w:p>
        </w:tc>
        <w:tc>
          <w:tcPr>
            <w:tcW w:w="2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56.80</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01/26/2027</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01/25/2018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4,687</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88.00</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01/24/2028</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02/06/2019</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10,000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42.56</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02/05/2029</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11/25/2019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8.26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11/24/2029</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02/05/2020</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10,000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5.98</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02/04/2030</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08/20/2021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41,211</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41,212 (3)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9.06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08/19/2031</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02/01/2022</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20,871</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62,615 (3)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7.17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01/31/2032</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01/09/2023</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459,726(8)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01/08/2023</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w w:val="98"/>
              </w:rPr>
              <w:t>Christal M.M. Mickle,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w:t>
            </w: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07/09/2014</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22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93.60</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07/08/2024</w:t>
            </w:r>
          </w:p>
        </w:tc>
        <w:tc>
          <w:tcPr>
            <w:tcW w:w="22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09/04/2015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1,562</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327.20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09/03/2025</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02/11/2016</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2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201.92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02/10/2026</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01/07/2017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1,875</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56.80</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01/06/2027</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01/25/2018</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1.875</w:t>
            </w:r>
          </w:p>
        </w:tc>
        <w:tc>
          <w:tcPr>
            <w:tcW w:w="2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88.00</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01/24/2028</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02/06/2019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42.56</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02/05/2029</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11/25/2019</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2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8.26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11/24/2029</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02/05/2030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5.98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02/04/2030</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08/20/2021</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24,191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24,192(3)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9.06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08/19/2031</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02/01/2022</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12,523</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37,569(3)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7.17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01/31/2032</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color w:val="auto"/>
                <w:w w:val="96"/>
              </w:rPr>
              <w:t>01/09/2023</w:t>
            </w:r>
          </w:p>
        </w:tc>
        <w:tc>
          <w:tcPr>
            <w:tcW w:w="1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300,000(8)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4.54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01/08/2033</w:t>
            </w:r>
          </w:p>
        </w:tc>
        <w:tc>
          <w:tcPr>
            <w:tcW w:w="2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Joshua Schafer</w:t>
            </w:r>
          </w:p>
        </w:tc>
        <w:tc>
          <w:tcPr>
            <w:tcW w:w="780" w:type="dxa"/>
            <w:vAlign w:val="bottom"/>
            <w:gridSpan w:val="2"/>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01/09/2023</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300,000(8)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01/08/2033</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20" w:hanging="212"/>
        <w:spacing w:after="0" w:line="254" w:lineRule="auto"/>
        <w:tabs>
          <w:tab w:leader="none" w:pos="2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awards will vest in full and become immediately exercisable (i) in the event that the option holder is terminated by us without cause or resigns for good reason or (ii) immediately prior to any change in control of Zevra.</w:t>
      </w:r>
    </w:p>
    <w:p>
      <w:pPr>
        <w:ind w:left="220" w:hanging="212"/>
        <w:spacing w:after="0"/>
        <w:tabs>
          <w:tab w:leader="none" w:pos="2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value calculated using the closing price per share of our common stock on December 29, 2023 (the last trading day of 2023) of $6.55.</w:t>
      </w:r>
    </w:p>
    <w:p>
      <w:pPr>
        <w:spacing w:after="0" w:line="2" w:lineRule="exact"/>
        <w:rPr>
          <w:rFonts w:ascii="Times New Roman" w:cs="Times New Roman" w:eastAsia="Times New Roman" w:hAnsi="Times New Roman"/>
          <w:sz w:val="15"/>
          <w:szCs w:val="15"/>
          <w:color w:val="auto"/>
        </w:rPr>
      </w:pPr>
    </w:p>
    <w:p>
      <w:pPr>
        <w:ind w:left="220" w:hanging="212"/>
        <w:spacing w:after="0"/>
        <w:tabs>
          <w:tab w:leader="none" w:pos="2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underlying the options vest in equal annual installments over a period of four years beginning on the first anniversary of the grant date, subject to continued service.</w:t>
      </w:r>
    </w:p>
    <w:p>
      <w:pPr>
        <w:spacing w:after="0" w:line="2" w:lineRule="exact"/>
        <w:rPr>
          <w:rFonts w:ascii="Times New Roman" w:cs="Times New Roman" w:eastAsia="Times New Roman" w:hAnsi="Times New Roman"/>
          <w:sz w:val="15"/>
          <w:szCs w:val="15"/>
          <w:color w:val="auto"/>
        </w:rPr>
      </w:pPr>
    </w:p>
    <w:p>
      <w:pPr>
        <w:ind w:left="220" w:hanging="212"/>
        <w:spacing w:after="0" w:line="243" w:lineRule="auto"/>
        <w:tabs>
          <w:tab w:leader="none" w:pos="2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RSUs vest in equal annual installments over a period of four years beginning on the first anniversary of the grant date, subject to continued service. The award may be subject to accelerated vesting, as described above in the section entitled “Employment Arrangements and Potential Payments upon Termination of Employment”.</w:t>
      </w:r>
    </w:p>
    <w:p>
      <w:pPr>
        <w:spacing w:after="0" w:line="1" w:lineRule="exact"/>
        <w:rPr>
          <w:rFonts w:ascii="Times New Roman" w:cs="Times New Roman" w:eastAsia="Times New Roman" w:hAnsi="Times New Roman"/>
          <w:sz w:val="15"/>
          <w:szCs w:val="15"/>
          <w:color w:val="auto"/>
        </w:rPr>
      </w:pPr>
    </w:p>
    <w:p>
      <w:pPr>
        <w:ind w:left="220" w:hanging="212"/>
        <w:spacing w:after="0" w:line="243" w:lineRule="auto"/>
        <w:tabs>
          <w:tab w:leader="none" w:pos="2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his transition agreement, Dr. Travis Mickle received accelerated vesting of his then outstanding equity awards. Please see the section entitled “Employment Arrangements and Potential Payments upon Termination of Employment” for additional details.</w:t>
      </w:r>
    </w:p>
    <w:p>
      <w:pPr>
        <w:spacing w:after="0" w:line="1" w:lineRule="exact"/>
        <w:rPr>
          <w:rFonts w:ascii="Times New Roman" w:cs="Times New Roman" w:eastAsia="Times New Roman" w:hAnsi="Times New Roman"/>
          <w:sz w:val="15"/>
          <w:szCs w:val="15"/>
          <w:color w:val="auto"/>
        </w:rPr>
      </w:pPr>
    </w:p>
    <w:p>
      <w:pPr>
        <w:ind w:left="220" w:hanging="212"/>
        <w:spacing w:after="0" w:line="243" w:lineRule="auto"/>
        <w:tabs>
          <w:tab w:leader="none" w:pos="2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PSUs were granted to Dr. Travis Mickle in connection with his consulting agreement and vest upon the Company’s achievement of a clinical and development milestone prior to December 31, 2024, subject to Dr. Mickle’s continued service to the Company.</w:t>
      </w:r>
    </w:p>
    <w:p>
      <w:pPr>
        <w:spacing w:after="0" w:line="1" w:lineRule="exact"/>
        <w:rPr>
          <w:rFonts w:ascii="Times New Roman" w:cs="Times New Roman" w:eastAsia="Times New Roman" w:hAnsi="Times New Roman"/>
          <w:sz w:val="15"/>
          <w:szCs w:val="15"/>
          <w:color w:val="auto"/>
        </w:rPr>
      </w:pPr>
    </w:p>
    <w:p>
      <w:pPr>
        <w:ind w:left="220" w:hanging="212"/>
        <w:spacing w:after="0" w:line="241" w:lineRule="auto"/>
        <w:tabs>
          <w:tab w:leader="none" w:pos="2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his transition agreement, Mr. Pascoe received accelerated vesting of his outstanding equity awards. Please see the section entitled “Employment Arrangements and Potential Payments upon Termination of Employment”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-1332230</wp:posOffset>
            </wp:positionV>
            <wp:extent cx="7158355"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-998855</wp:posOffset>
            </wp:positionV>
            <wp:extent cx="7158355" cy="111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58355"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-219710</wp:posOffset>
            </wp:positionV>
            <wp:extent cx="7158355"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222885"/>
                    </a:xfrm>
                    <a:prstGeom prst="rect">
                      <a:avLst/>
                    </a:prstGeom>
                    <a:noFill/>
                  </pic:spPr>
                </pic:pic>
              </a:graphicData>
            </a:graphic>
          </wp:anchor>
        </w:drawing>
      </w:r>
    </w:p>
    <w:p>
      <w:pPr>
        <w:ind w:left="220" w:right="60" w:hanging="207"/>
        <w:spacing w:after="0" w:line="180" w:lineRule="auto"/>
        <w:rPr>
          <w:sz w:val="20"/>
          <w:szCs w:val="20"/>
          <w:color w:val="auto"/>
        </w:rPr>
      </w:pPr>
      <w:r>
        <w:rPr>
          <w:rFonts w:ascii="Times New Roman" w:cs="Times New Roman" w:eastAsia="Times New Roman" w:hAnsi="Times New Roman"/>
          <w:sz w:val="31"/>
          <w:szCs w:val="31"/>
          <w:color w:val="auto"/>
          <w:vertAlign w:val="subscript"/>
        </w:rPr>
        <w:t>(8)</w:t>
      </w:r>
      <w:r>
        <w:rPr>
          <w:rFonts w:ascii="Times New Roman" w:cs="Times New Roman" w:eastAsia="Times New Roman" w:hAnsi="Times New Roman"/>
          <w:sz w:val="16"/>
          <w:szCs w:val="16"/>
          <w:color w:val="auto"/>
        </w:rPr>
        <w:t>The shares underlying the option vest in equal annual installments over a period of four years beginning on January 6, 2024 through January 6, 2027, subject to continued service.</w:t>
      </w:r>
    </w:p>
    <w:p>
      <w:pPr>
        <w:sectPr>
          <w:pgSz w:w="11900" w:h="16838" w:orient="portrait"/>
          <w:cols w:equalWidth="0" w:num="1">
            <w:col w:w="11280"/>
          </w:cols>
          <w:pgMar w:left="300" w:top="125" w:right="319" w:bottom="1012"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58355"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012"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Limitations on Liability and Indemnification Matters</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Our amended and restated certificate of incorporation contains provisions that limit the liability of our current and former directors for monetary damages to the fullest extent permitted by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 law. Delaware law provides that directors of a corporation will not be personally liable for monetary damages for any breach of fiduciary duties as directors, except liability for:</w:t>
      </w:r>
    </w:p>
    <w:p>
      <w:pPr>
        <w:spacing w:after="0" w:line="339" w:lineRule="exact"/>
        <w:rPr>
          <w:sz w:val="20"/>
          <w:szCs w:val="20"/>
          <w:color w:val="auto"/>
        </w:rPr>
      </w:pPr>
    </w:p>
    <w:p>
      <w:pPr>
        <w:ind w:left="280" w:hanging="141"/>
        <w:spacing w:after="0"/>
        <w:tabs>
          <w:tab w:leader="none" w:pos="2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 director’s duty of loyalty to the corporation or its stockholders;</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 or omission not in good faith or that involves intentional misconduct or a knowing violation of law;</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unlawful payments of dividends or unlawful stock repurchases or redemptions as provided in Section 174 of the Delaware General Corporation Law; or</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from which the director derived an improper personal benefit.</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This limitation of liability does not apply to liabilities arising under federal securities laws and does not affect the availability of equitable remedies such as injunctive relief or rescission.</w:t>
      </w:r>
    </w:p>
    <w:p>
      <w:pPr>
        <w:spacing w:after="0" w:line="190"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Our amended and restated bylaws provide that we will indemnify our directors to the fullest extent permitted by Delaware law, subject to certain conditions. Our amended and restated bylaws also provide that, upon satisfaction of certain conditions, we are required to advance expenses incurred by a director in advance of the final disposition of any action or proceeding, and permit us, upon approval of the Board, to secure insurance on behalf of any officer, director, employee or other agent for any liability arising out of his or her actions in that capacity regardless of whether we would otherwise be permitted to indemnify him or her pursuant to our amended and restated bylaws. Our amended and restated bylaws also provide our Board with discretion to indemnify our officers and employees when determined appropriate by the Board. Our Board has the power to delegate the determination of whether indemnification shall be given to any such officers or other persons in the Board’s discretion. We have entered into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We also maintain customary directors’ and officers’ liability insurance.</w:t>
      </w:r>
    </w:p>
    <w:p>
      <w:pPr>
        <w:spacing w:after="0" w:line="162" w:lineRule="exact"/>
        <w:rPr>
          <w:sz w:val="20"/>
          <w:szCs w:val="20"/>
          <w:color w:val="auto"/>
        </w:rPr>
      </w:pPr>
    </w:p>
    <w:p>
      <w:pPr>
        <w:jc w:val="both"/>
        <w:ind w:firstLine="132"/>
        <w:spacing w:after="0" w:line="248" w:lineRule="auto"/>
        <w:rPr>
          <w:sz w:val="20"/>
          <w:szCs w:val="20"/>
          <w:color w:val="auto"/>
        </w:rPr>
      </w:pPr>
      <w:r>
        <w:rPr>
          <w:rFonts w:ascii="Times New Roman" w:cs="Times New Roman" w:eastAsia="Times New Roman" w:hAnsi="Times New Roman"/>
          <w:sz w:val="15"/>
          <w:szCs w:val="15"/>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other than the securities litigation matter we previously disclosed under Part I, Item 3—Legal Proceedings in our Annual Report on Form 10-K, we are not aware of any threatened litigation that may result in claims for indemnification.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Rule 10b5-1 Sales Plans</w:t>
      </w:r>
    </w:p>
    <w:p>
      <w:pPr>
        <w:spacing w:after="0" w:line="182"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Our directors and executive officers may from time to time adopt “Rule 10b5-1 trading arrangements” or “non-Rule 10b5-1 trading arrangements,” as each term is defined in Item 408(a) of Regulation S-K. Pursuant to such arrangements, they may contract with a broker to buy, sell, or otherwise trade in our securities, including shares our common stock, on a periodic basis. Our directors and executive officers also may buy, sell, or otherwise trade in our securities outside of a “Rule 10b5-1 trading arrangement” or a “non-Rule 10b5-1 trading arrangement,” when they are not in possession of material nonpublic information, subject to compliance with the terms of our insider trading policy.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Clawback Policy</w:t>
      </w:r>
    </w:p>
    <w:p>
      <w:pPr>
        <w:spacing w:after="0" w:line="182"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In 2023, we adopted a compensation recovery, or “clawback,” policy (the “Clawback Policy”) in accordance with the Nasdaq listing standards and Exchange Act Rule 10D-1. Under the Clawback Policy, which applies to the Company’s current and former executive officers (as defined under Exchange Act Rule 10D-1), the Company is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exceptions. The Clawback Policy is overseen and administered by the Compensation Committee. The full text of the Clawback Policy was included as Exhibit 97 to our Annual Report on Form 10-K for the fiscal year ended December 31, 2023, filed with the SEC on April 1, 2024.</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Pay Versus Performance</w:t>
      </w:r>
    </w:p>
    <w:p>
      <w:pPr>
        <w:spacing w:after="0" w:line="180" w:lineRule="exact"/>
        <w:rPr>
          <w:sz w:val="20"/>
          <w:szCs w:val="20"/>
          <w:color w:val="auto"/>
        </w:rPr>
      </w:pPr>
    </w:p>
    <w:p>
      <w:pPr>
        <w:jc w:val="both"/>
        <w:ind w:right="80" w:firstLine="132"/>
        <w:spacing w:after="0" w:line="256" w:lineRule="auto"/>
        <w:rPr>
          <w:sz w:val="20"/>
          <w:szCs w:val="20"/>
          <w:color w:val="auto"/>
        </w:rPr>
      </w:pPr>
      <w:r>
        <w:rPr>
          <w:rFonts w:ascii="Times New Roman" w:cs="Times New Roman" w:eastAsia="Times New Roman" w:hAnsi="Times New Roman"/>
          <w:sz w:val="15"/>
          <w:szCs w:val="15"/>
          <w:color w:val="auto"/>
        </w:rPr>
        <w:t>In accordance with the SEC’s disclosure requirements regarding pay versus performance, or PVP, this section presents the SEC-defined “Compensation Actually Paid,” or CAP. Also required by the SEC, this section compares CAP to various measures used to gauge our performance. CAP is a supplemental measure to be viewed alongside performance measures as an addition to the philosophy and strategy of compensation-setting discussed elsewhere in the overview of the executive compensation program, not in replacement.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Pay Versus Performance Table</w:t>
      </w:r>
    </w:p>
    <w:p>
      <w:pPr>
        <w:spacing w:after="0" w:line="180" w:lineRule="exact"/>
        <w:rPr>
          <w:sz w:val="20"/>
          <w:szCs w:val="20"/>
          <w:color w:val="auto"/>
        </w:rPr>
      </w:pPr>
    </w:p>
    <w:p>
      <w:pPr>
        <w:jc w:val="both"/>
        <w:ind w:right="80" w:firstLine="132"/>
        <w:spacing w:after="0" w:line="268" w:lineRule="auto"/>
        <w:rPr>
          <w:sz w:val="20"/>
          <w:szCs w:val="20"/>
          <w:color w:val="auto"/>
        </w:rPr>
      </w:pPr>
      <w:r>
        <w:rPr>
          <w:rFonts w:ascii="Times New Roman" w:cs="Times New Roman" w:eastAsia="Times New Roman" w:hAnsi="Times New Roman"/>
          <w:sz w:val="15"/>
          <w:szCs w:val="15"/>
          <w:color w:val="auto"/>
        </w:rPr>
        <w:t>The following table sets forth information concerning the compensation of our named executive officers for each of the fiscal years ended December 31, 2023, 2022 and 2021, and our financial performance for each such fiscal year:</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Value of</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Initial Fixed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$100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Investment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vMerge w:val="restart"/>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3"/>
              </w:rPr>
              <w:t>Average</w:t>
            </w:r>
          </w:p>
        </w:tc>
        <w:tc>
          <w:tcPr>
            <w:tcW w:w="9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Based on:</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Summary</w:t>
            </w:r>
          </w:p>
        </w:tc>
        <w:tc>
          <w:tcPr>
            <w:tcW w:w="960" w:type="dxa"/>
            <w:vAlign w:val="bottom"/>
          </w:tcPr>
          <w:p>
            <w:pPr>
              <w:spacing w:after="0"/>
              <w:rPr>
                <w:sz w:val="15"/>
                <w:szCs w:val="15"/>
                <w:color w:val="auto"/>
              </w:rPr>
            </w:pP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7"/>
              </w:rPr>
              <w:t>Summary</w:t>
            </w:r>
          </w:p>
        </w:tc>
        <w:tc>
          <w:tcPr>
            <w:tcW w:w="9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Summary</w:t>
            </w:r>
          </w:p>
        </w:tc>
        <w:tc>
          <w:tcPr>
            <w:tcW w:w="960" w:type="dxa"/>
            <w:vAlign w:val="bottom"/>
          </w:tcPr>
          <w:p>
            <w:pPr>
              <w:spacing w:after="0"/>
              <w:rPr>
                <w:sz w:val="15"/>
                <w:szCs w:val="15"/>
                <w:color w:val="auto"/>
              </w:rPr>
            </w:pP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7"/>
              </w:rPr>
              <w:t>Summary</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Summary</w:t>
            </w:r>
          </w:p>
        </w:tc>
        <w:tc>
          <w:tcPr>
            <w:tcW w:w="900" w:type="dxa"/>
            <w:vAlign w:val="bottom"/>
          </w:tcPr>
          <w:p>
            <w:pPr>
              <w:spacing w:after="0"/>
              <w:rPr>
                <w:sz w:val="15"/>
                <w:szCs w:val="15"/>
                <w:color w:val="auto"/>
              </w:rPr>
            </w:pPr>
          </w:p>
        </w:tc>
        <w:tc>
          <w:tcPr>
            <w:tcW w:w="7500" w:type="dxa"/>
            <w:vAlign w:val="bottom"/>
            <w:gridSpan w:val="9"/>
          </w:tcPr>
          <w:p>
            <w:pPr>
              <w:ind w:left="20"/>
              <w:spacing w:after="0"/>
              <w:rPr>
                <w:sz w:val="20"/>
                <w:szCs w:val="20"/>
                <w:color w:val="auto"/>
              </w:rPr>
            </w:pPr>
            <w:r>
              <w:rPr>
                <w:rFonts w:ascii="Times New Roman" w:cs="Times New Roman" w:eastAsia="Times New Roman" w:hAnsi="Times New Roman"/>
                <w:sz w:val="15"/>
                <w:szCs w:val="15"/>
                <w:b w:val="1"/>
                <w:bCs w:val="1"/>
                <w:color w:val="auto"/>
                <w:w w:val="98"/>
              </w:rPr>
              <w:t>Compensation CompensationCompensation CompensationCompensation CompensationCompensation Compensation</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Compensation Compensation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Table Total</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Actually Paid</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3"/>
              </w:rPr>
              <w:t>Table Total</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Actually Paid</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Table Total</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Actually Paid</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3"/>
              </w:rPr>
              <w:t>Table Total</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6"/>
              </w:rPr>
              <w:t>Actually Paid</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Table Total</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Actually Paid</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to</w:t>
            </w:r>
          </w:p>
        </w:tc>
        <w:tc>
          <w:tcPr>
            <w:tcW w:w="90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rPr>
              <w:t>for</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to</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for</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to</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3"/>
              </w:rPr>
              <w:t>for</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5"/>
              </w:rPr>
              <w:t>to</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to</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Travis Mickle, Travis Mickle,</w:t>
            </w:r>
          </w:p>
        </w:tc>
        <w:tc>
          <w:tcPr>
            <w:tcW w:w="90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5"/>
              </w:rPr>
              <w:t>Richard W.</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Richard W.</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Christal M.M. Christal M.M.</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9"/>
              </w:rPr>
              <w:t>Non-PEO</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5"/>
              </w:rPr>
              <w:t>Non-PEO</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Shareholder</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Current PEO</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Current PEO</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Ph.D.</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Ph.D.</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6"/>
              </w:rPr>
              <w:t>Pascoe</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Pascoe</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Mickle</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Mickle</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8"/>
              </w:rPr>
              <w:t>NEOs</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3"/>
              </w:rPr>
              <w:t>NEOs</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Return</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81"/>
              </w:rPr>
              <w:t>Year</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($)(1)</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($)(2)</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($)(2)</w:t>
            </w:r>
          </w:p>
        </w:tc>
        <w:tc>
          <w:tcPr>
            <w:tcW w:w="9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7"/>
              </w:rPr>
              <w:t>($)(3)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($)(3)</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($)(4)</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($)(4)</w:t>
            </w:r>
          </w:p>
        </w:tc>
        <w:tc>
          <w:tcPr>
            <w:tcW w:w="9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7"/>
              </w:rPr>
              <w:t>($)(5)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($)(5)</w:t>
            </w: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86"/>
              </w:rPr>
              <w:t>2023</w:t>
            </w:r>
          </w:p>
        </w:tc>
        <w:tc>
          <w:tcPr>
            <w:tcW w:w="9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3,445,231</w:t>
            </w:r>
          </w:p>
        </w:tc>
        <w:tc>
          <w:tcPr>
            <w:tcW w:w="9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4,975,770</w:t>
            </w:r>
          </w:p>
        </w:tc>
        <w:tc>
          <w:tcPr>
            <w:tcW w:w="9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3,593,438</w:t>
            </w:r>
          </w:p>
        </w:tc>
        <w:tc>
          <w:tcPr>
            <w:tcW w:w="9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4,385,998</w:t>
            </w:r>
          </w:p>
        </w:tc>
        <w:tc>
          <w:tcPr>
            <w:tcW w:w="9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4,122,558</w:t>
            </w:r>
          </w:p>
        </w:tc>
        <w:tc>
          <w:tcPr>
            <w:tcW w:w="9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3,308,589</w:t>
            </w:r>
          </w:p>
        </w:tc>
        <w:tc>
          <w:tcPr>
            <w:tcW w:w="9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1,669,956</w:t>
            </w:r>
          </w:p>
        </w:tc>
        <w:tc>
          <w:tcPr>
            <w:tcW w:w="9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2,211,127</w:t>
            </w:r>
          </w:p>
        </w:tc>
        <w:tc>
          <w:tcPr>
            <w:tcW w:w="9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2,039,861</w:t>
            </w:r>
          </w:p>
        </w:tc>
        <w:tc>
          <w:tcPr>
            <w:tcW w:w="96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2,724,999</w:t>
            </w:r>
          </w:p>
        </w:tc>
        <w:tc>
          <w:tcPr>
            <w:tcW w:w="8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58.48</w:t>
            </w:r>
          </w:p>
        </w:tc>
        <w:tc>
          <w:tcPr>
            <w:tcW w:w="8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(46,049,000)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w w:val="86"/>
              </w:rPr>
              <w:t>2022</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2,400,356</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1,349,703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1,199,492</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1,106,040</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(41,543,000)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86"/>
              </w:rPr>
              <w:t>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2,657,059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2,808,110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953,616</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989,957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(8,555,000)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hanging="201"/>
        <w:spacing w:after="0"/>
        <w:tabs>
          <w:tab w:leader="none" w:pos="3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McFarlane became our Chief Executive Officer on October 10, 2023.</w:t>
      </w:r>
    </w:p>
    <w:p>
      <w:pPr>
        <w:spacing w:after="0" w:line="178" w:lineRule="exact"/>
        <w:rPr>
          <w:rFonts w:ascii="Times New Roman" w:cs="Times New Roman" w:eastAsia="Times New Roman" w:hAnsi="Times New Roman"/>
          <w:sz w:val="15"/>
          <w:szCs w:val="15"/>
          <w:color w:val="auto"/>
        </w:rPr>
      </w:pPr>
    </w:p>
    <w:p>
      <w:pPr>
        <w:ind w:left="340" w:hanging="201"/>
        <w:spacing w:after="0"/>
        <w:tabs>
          <w:tab w:leader="none" w:pos="3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Travis Mickle served as the Company’s Chief Executive Officer in 2021, 2022 and from January 1, 2023 until January 6, 2023.</w:t>
      </w:r>
    </w:p>
    <w:p>
      <w:pPr>
        <w:spacing w:after="0" w:line="178" w:lineRule="exact"/>
        <w:rPr>
          <w:rFonts w:ascii="Times New Roman" w:cs="Times New Roman" w:eastAsia="Times New Roman" w:hAnsi="Times New Roman"/>
          <w:sz w:val="15"/>
          <w:szCs w:val="15"/>
          <w:color w:val="auto"/>
        </w:rPr>
      </w:pPr>
    </w:p>
    <w:p>
      <w:pPr>
        <w:jc w:val="both"/>
        <w:ind w:right="80" w:firstLine="139"/>
        <w:spacing w:after="0" w:line="256" w:lineRule="auto"/>
        <w:tabs>
          <w:tab w:leader="none" w:pos="33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Pascoe served as the Company’s Chief Executive Officer from January 6, 2023, until June 1, 2023. As noted below, Mr. Pascoe also served as a non-PEO NEO during 2022 and 2021, and his compensation for those years is reflected in the columns entitled “Average Summary Compensation Table Total for Non-PEO NEOs” and “Average Compensation Actually Paid to Non-PEO NEOs.”</w:t>
      </w:r>
    </w:p>
    <w:p>
      <w:pPr>
        <w:spacing w:after="0" w:line="149" w:lineRule="exact"/>
        <w:rPr>
          <w:rFonts w:ascii="Times New Roman" w:cs="Times New Roman" w:eastAsia="Times New Roman" w:hAnsi="Times New Roman"/>
          <w:sz w:val="15"/>
          <w:szCs w:val="15"/>
          <w:color w:val="auto"/>
        </w:rPr>
      </w:pPr>
    </w:p>
    <w:p>
      <w:pPr>
        <w:ind w:left="340" w:hanging="201"/>
        <w:spacing w:after="0"/>
        <w:tabs>
          <w:tab w:leader="none" w:pos="3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Christal Mickle served as the Company’s Interim Chief Executive Officer from June 1, 2023, until October 10, 2023.</w:t>
      </w:r>
    </w:p>
    <w:p>
      <w:pPr>
        <w:spacing w:after="0" w:line="178" w:lineRule="exact"/>
        <w:rPr>
          <w:rFonts w:ascii="Times New Roman" w:cs="Times New Roman" w:eastAsia="Times New Roman" w:hAnsi="Times New Roman"/>
          <w:sz w:val="15"/>
          <w:szCs w:val="15"/>
          <w:color w:val="auto"/>
        </w:rPr>
      </w:pPr>
    </w:p>
    <w:p>
      <w:pPr>
        <w:ind w:right="80" w:firstLine="139"/>
        <w:spacing w:after="0" w:line="268" w:lineRule="auto"/>
        <w:tabs>
          <w:tab w:leader="none" w:pos="344"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the average compensation actually paid to our remaining named executive officers for the relevant fiscal year, as determined under SEC rules (and described below), which includes the individuals indicated in the table below for each fiscal year.</w:t>
      </w:r>
    </w:p>
    <w:p>
      <w:pPr>
        <w:spacing w:after="0" w:line="139" w:lineRule="exact"/>
        <w:rPr>
          <w:sz w:val="20"/>
          <w:szCs w:val="20"/>
          <w:color w:val="auto"/>
        </w:rPr>
      </w:pPr>
    </w:p>
    <w:p>
      <w:pPr>
        <w:ind w:left="1260"/>
        <w:spacing w:after="0"/>
        <w:tabs>
          <w:tab w:leader="none" w:pos="5380" w:val="left"/>
        </w:tabs>
        <w:rPr>
          <w:sz w:val="20"/>
          <w:szCs w:val="20"/>
          <w:color w:val="auto"/>
        </w:rPr>
      </w:pPr>
      <w:r>
        <w:rPr>
          <w:rFonts w:ascii="Times New Roman" w:cs="Times New Roman" w:eastAsia="Times New Roman" w:hAnsi="Times New Roman"/>
          <w:sz w:val="15"/>
          <w:szCs w:val="15"/>
          <w:b w:val="1"/>
          <w:bCs w:val="1"/>
          <w:color w:val="auto"/>
        </w:rPr>
        <w:t>Year</w:t>
      </w:r>
      <w:r>
        <w:rPr>
          <w:sz w:val="20"/>
          <w:szCs w:val="20"/>
          <w:color w:val="auto"/>
        </w:rPr>
        <w:tab/>
      </w:r>
      <w:r>
        <w:rPr>
          <w:rFonts w:ascii="Times New Roman" w:cs="Times New Roman" w:eastAsia="Times New Roman" w:hAnsi="Times New Roman"/>
          <w:sz w:val="15"/>
          <w:szCs w:val="15"/>
          <w:b w:val="1"/>
          <w:bCs w:val="1"/>
          <w:color w:val="auto"/>
        </w:rPr>
        <w:t>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12065</wp:posOffset>
            </wp:positionV>
            <wp:extent cx="572516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25160" cy="6985"/>
                    </a:xfrm>
                    <a:prstGeom prst="rect">
                      <a:avLst/>
                    </a:prstGeom>
                    <a:noFill/>
                  </pic:spPr>
                </pic:pic>
              </a:graphicData>
            </a:graphic>
          </wp:anchor>
        </w:drawing>
      </w:r>
    </w:p>
    <w:p>
      <w:pPr>
        <w:ind w:left="1260"/>
        <w:spacing w:after="0"/>
        <w:tabs>
          <w:tab w:leader="none" w:pos="1660" w:val="left"/>
        </w:tabs>
        <w:rPr>
          <w:sz w:val="20"/>
          <w:szCs w:val="20"/>
          <w:color w:val="auto"/>
        </w:rPr>
      </w:pPr>
      <w:r>
        <w:rPr>
          <w:rFonts w:ascii="Times New Roman" w:cs="Times New Roman" w:eastAsia="Times New Roman" w:hAnsi="Times New Roman"/>
          <w:sz w:val="15"/>
          <w:szCs w:val="15"/>
          <w:color w:val="auto"/>
        </w:rPr>
        <w:t>2023</w:t>
      </w:r>
      <w:r>
        <w:rPr>
          <w:sz w:val="20"/>
          <w:szCs w:val="20"/>
          <w:color w:val="auto"/>
        </w:rPr>
        <w:tab/>
      </w:r>
      <w:r>
        <w:rPr>
          <w:rFonts w:ascii="Times New Roman" w:cs="Times New Roman" w:eastAsia="Times New Roman" w:hAnsi="Times New Roman"/>
          <w:sz w:val="14"/>
          <w:szCs w:val="14"/>
          <w:color w:val="auto"/>
        </w:rPr>
        <w:t>R. LaDuane Clifton, MBA, CPA and Joshua Schafer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-102235</wp:posOffset>
            </wp:positionV>
            <wp:extent cx="5725160" cy="1111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25160" cy="111125"/>
                    </a:xfrm>
                    <a:prstGeom prst="rect">
                      <a:avLst/>
                    </a:prstGeom>
                    <a:noFill/>
                  </pic:spPr>
                </pic:pic>
              </a:graphicData>
            </a:graphic>
          </wp:anchor>
        </w:drawing>
      </w:r>
    </w:p>
    <w:p>
      <w:pPr>
        <w:ind w:left="1260"/>
        <w:spacing w:after="0"/>
        <w:tabs>
          <w:tab w:leader="none" w:pos="1660" w:val="left"/>
        </w:tabs>
        <w:rPr>
          <w:sz w:val="20"/>
          <w:szCs w:val="20"/>
          <w:color w:val="auto"/>
        </w:rPr>
      </w:pPr>
      <w:r>
        <w:rPr>
          <w:rFonts w:ascii="Times New Roman" w:cs="Times New Roman" w:eastAsia="Times New Roman" w:hAnsi="Times New Roman"/>
          <w:sz w:val="15"/>
          <w:szCs w:val="15"/>
          <w:color w:val="auto"/>
        </w:rPr>
        <w:t>2022</w:t>
      </w:r>
      <w:r>
        <w:rPr>
          <w:sz w:val="20"/>
          <w:szCs w:val="20"/>
          <w:color w:val="auto"/>
        </w:rPr>
        <w:tab/>
      </w:r>
      <w:r>
        <w:rPr>
          <w:rFonts w:ascii="Times New Roman" w:cs="Times New Roman" w:eastAsia="Times New Roman" w:hAnsi="Times New Roman"/>
          <w:sz w:val="14"/>
          <w:szCs w:val="14"/>
          <w:color w:val="auto"/>
        </w:rPr>
        <w:t>Richard W. Pascoe and R. LaDuane Clifton, MBA,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1905</wp:posOffset>
            </wp:positionV>
            <wp:extent cx="5725160" cy="1111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25160" cy="111125"/>
                    </a:xfrm>
                    <a:prstGeom prst="rect">
                      <a:avLst/>
                    </a:prstGeom>
                    <a:noFill/>
                  </pic:spPr>
                </pic:pic>
              </a:graphicData>
            </a:graphic>
          </wp:anchor>
        </w:drawing>
      </w:r>
    </w:p>
    <w:p>
      <w:pPr>
        <w:ind w:left="1260"/>
        <w:spacing w:after="0"/>
        <w:tabs>
          <w:tab w:leader="none" w:pos="1660" w:val="left"/>
        </w:tabs>
        <w:rPr>
          <w:sz w:val="20"/>
          <w:szCs w:val="20"/>
          <w:color w:val="auto"/>
        </w:rPr>
      </w:pPr>
      <w:r>
        <w:rPr>
          <w:rFonts w:ascii="Times New Roman" w:cs="Times New Roman" w:eastAsia="Times New Roman" w:hAnsi="Times New Roman"/>
          <w:sz w:val="15"/>
          <w:szCs w:val="15"/>
          <w:color w:val="auto"/>
        </w:rPr>
        <w:t>2021</w:t>
      </w:r>
      <w:r>
        <w:rPr>
          <w:sz w:val="20"/>
          <w:szCs w:val="20"/>
          <w:color w:val="auto"/>
        </w:rPr>
        <w:tab/>
      </w:r>
      <w:r>
        <w:rPr>
          <w:rFonts w:ascii="Times New Roman" w:cs="Times New Roman" w:eastAsia="Times New Roman" w:hAnsi="Times New Roman"/>
          <w:sz w:val="14"/>
          <w:szCs w:val="14"/>
          <w:color w:val="auto"/>
        </w:rPr>
        <w:t>Richard W. Pascoe, Sven Guenther, Ph.D. and R. LaDuane Clifton, MBA, CPA</w:t>
      </w: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84"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3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3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3"/>
              </w:rPr>
              <w:t>Average</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40" w:type="dxa"/>
            <w:vAlign w:val="bottom"/>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Travis C. Mickle,</w:t>
            </w:r>
          </w:p>
        </w:tc>
        <w:tc>
          <w:tcPr>
            <w:tcW w:w="1460" w:type="dxa"/>
            <w:vAlign w:val="bottom"/>
          </w:tcPr>
          <w:p>
            <w:pPr>
              <w:spacing w:after="0"/>
              <w:rPr>
                <w:sz w:val="15"/>
                <w:szCs w:val="15"/>
                <w:color w:val="auto"/>
              </w:rPr>
            </w:pPr>
          </w:p>
        </w:tc>
        <w:tc>
          <w:tcPr>
            <w:tcW w:w="1520" w:type="dxa"/>
            <w:vAlign w:val="bottom"/>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Christal M.M.</w:t>
            </w:r>
          </w:p>
        </w:tc>
        <w:tc>
          <w:tcPr>
            <w:tcW w:w="126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9"/>
              </w:rPr>
              <w:t>Non-PEO</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26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Current PEO</w:t>
            </w:r>
          </w:p>
        </w:tc>
        <w:tc>
          <w:tcPr>
            <w:tcW w:w="13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Ph.D.</w:t>
            </w:r>
          </w:p>
        </w:tc>
        <w:tc>
          <w:tcPr>
            <w:tcW w:w="14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Richard W. Pascoe</w:t>
            </w:r>
          </w:p>
        </w:tc>
        <w:tc>
          <w:tcPr>
            <w:tcW w:w="152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5"/>
                <w:szCs w:val="15"/>
                <w:b w:val="1"/>
                <w:bCs w:val="1"/>
                <w:color w:val="auto"/>
              </w:rPr>
              <w:t>Mickle</w:t>
            </w:r>
          </w:p>
        </w:tc>
        <w:tc>
          <w:tcPr>
            <w:tcW w:w="12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8"/>
              </w:rPr>
              <w:t>NEOs</w:t>
            </w:r>
          </w:p>
        </w:tc>
        <w:tc>
          <w:tcPr>
            <w:tcW w:w="0" w:type="dxa"/>
            <w:vAlign w:val="bottom"/>
          </w:tcPr>
          <w:p>
            <w:pPr>
              <w:spacing w:after="0"/>
              <w:rPr>
                <w:sz w:val="1"/>
                <w:szCs w:val="1"/>
                <w:color w:val="auto"/>
              </w:rPr>
            </w:pPr>
          </w:p>
        </w:tc>
      </w:tr>
      <w:tr>
        <w:trPr>
          <w:trHeight w:val="150"/>
        </w:trPr>
        <w:tc>
          <w:tcPr>
            <w:tcW w:w="332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Deduction for Amounts Reported under the</w:t>
            </w:r>
          </w:p>
        </w:tc>
        <w:tc>
          <w:tcPr>
            <w:tcW w:w="1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Stock Awards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Option Awards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Columns in</w:t>
            </w:r>
          </w:p>
        </w:tc>
        <w:tc>
          <w:tcPr>
            <w:tcW w:w="1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the Summary Compensation Table for Applicable</w:t>
            </w:r>
          </w:p>
        </w:tc>
        <w:tc>
          <w:tcPr>
            <w:tcW w:w="126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(2,941,461)</w:t>
            </w:r>
          </w:p>
        </w:tc>
        <w:tc>
          <w:tcPr>
            <w:tcW w:w="134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(2,558,873)</w:t>
            </w:r>
          </w:p>
        </w:tc>
        <w:tc>
          <w:tcPr>
            <w:tcW w:w="14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(3,469,457)</w:t>
            </w:r>
          </w:p>
        </w:tc>
        <w:tc>
          <w:tcPr>
            <w:tcW w:w="1520" w:type="dxa"/>
            <w:vAlign w:val="bottom"/>
            <w:vMerge w:val="restart"/>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(1,047,596)</w:t>
            </w:r>
          </w:p>
        </w:tc>
        <w:tc>
          <w:tcPr>
            <w:tcW w:w="126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(1,327,110)</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FY</w:t>
            </w: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152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Increase based on ASC 718 Fair Value of Awards</w:t>
            </w: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Granted during Applicable FY that Remain</w:t>
            </w: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Unvested as of Applicable FY End, determined as</w:t>
            </w: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of Applicable FY End</w:t>
            </w:r>
          </w:p>
        </w:tc>
        <w:tc>
          <w:tcPr>
            <w:tcW w:w="1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4,472,000</w:t>
            </w:r>
          </w:p>
        </w:tc>
        <w:tc>
          <w:tcPr>
            <w:tcW w:w="13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3,589,040</w:t>
            </w:r>
          </w:p>
        </w:tc>
        <w:tc>
          <w:tcPr>
            <w:tcW w:w="146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rPr>
              <w:t>1,590,000</w:t>
            </w:r>
          </w:p>
        </w:tc>
        <w:tc>
          <w:tcPr>
            <w:tcW w:w="12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2,013,274</w:t>
            </w:r>
          </w:p>
        </w:tc>
        <w:tc>
          <w:tcPr>
            <w:tcW w:w="0" w:type="dxa"/>
            <w:vAlign w:val="bottom"/>
          </w:tcPr>
          <w:p>
            <w:pPr>
              <w:spacing w:after="0"/>
              <w:rPr>
                <w:sz w:val="1"/>
                <w:szCs w:val="1"/>
                <w:color w:val="auto"/>
              </w:rPr>
            </w:pPr>
          </w:p>
        </w:tc>
      </w:tr>
      <w:tr>
        <w:trPr>
          <w:trHeight w:val="150"/>
        </w:trPr>
        <w:tc>
          <w:tcPr>
            <w:tcW w:w="332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Increase based on ASC 718 Fair Value of Awards</w:t>
            </w:r>
          </w:p>
        </w:tc>
        <w:tc>
          <w:tcPr>
            <w:tcW w:w="1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Granted during Applicable FY that Vested during</w:t>
            </w:r>
          </w:p>
        </w:tc>
        <w:tc>
          <w:tcPr>
            <w:tcW w:w="1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Applicable FY, determined as of Vesting Date</w:t>
            </w:r>
          </w:p>
        </w:tc>
        <w:tc>
          <w:tcPr>
            <w:tcW w:w="12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rPr>
              <w:t>2,814,000</w:t>
            </w:r>
          </w:p>
        </w:tc>
        <w:tc>
          <w:tcPr>
            <w:tcW w:w="1520" w:type="dxa"/>
            <w:vAlign w:val="bottom"/>
            <w:tcBorders>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Increase/deduction for Awards Granted during</w:t>
            </w: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Prior FY that were Outstanding and Unvested as</w:t>
            </w: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of Applicable FY End, determined based on</w:t>
            </w: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change in ASC 718 Fair Value from Prior FY End</w:t>
            </w: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 Applicable FY End</w:t>
            </w:r>
          </w:p>
        </w:tc>
        <w:tc>
          <w:tcPr>
            <w:tcW w:w="1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rPr>
              <w:t>13,320</w:t>
            </w:r>
          </w:p>
        </w:tc>
        <w:tc>
          <w:tcPr>
            <w:tcW w:w="12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11,795</w:t>
            </w:r>
          </w:p>
        </w:tc>
        <w:tc>
          <w:tcPr>
            <w:tcW w:w="0" w:type="dxa"/>
            <w:vAlign w:val="bottom"/>
          </w:tcPr>
          <w:p>
            <w:pPr>
              <w:spacing w:after="0"/>
              <w:rPr>
                <w:sz w:val="1"/>
                <w:szCs w:val="1"/>
                <w:color w:val="auto"/>
              </w:rPr>
            </w:pPr>
          </w:p>
        </w:tc>
      </w:tr>
      <w:tr>
        <w:trPr>
          <w:trHeight w:val="150"/>
        </w:trPr>
        <w:tc>
          <w:tcPr>
            <w:tcW w:w="332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Increase/deduction for Awards Granted during</w:t>
            </w:r>
          </w:p>
        </w:tc>
        <w:tc>
          <w:tcPr>
            <w:tcW w:w="1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Prior FY that Vested During Applicable FY,</w:t>
            </w:r>
          </w:p>
        </w:tc>
        <w:tc>
          <w:tcPr>
            <w:tcW w:w="1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determined based on change in ASC 718 Fair</w:t>
            </w:r>
          </w:p>
        </w:tc>
        <w:tc>
          <w:tcPr>
            <w:tcW w:w="12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(237,607)</w:t>
            </w:r>
          </w:p>
        </w:tc>
        <w:tc>
          <w:tcPr>
            <w:tcW w:w="14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(158,512)</w:t>
            </w:r>
          </w:p>
        </w:tc>
        <w:tc>
          <w:tcPr>
            <w:tcW w:w="1520" w:type="dxa"/>
            <w:vAlign w:val="bottom"/>
            <w:vMerge w:val="restart"/>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(14,553)</w:t>
            </w:r>
          </w:p>
        </w:tc>
        <w:tc>
          <w:tcPr>
            <w:tcW w:w="126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(11,821)</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Value from Prior FY End to Vesting Date</w:t>
            </w:r>
          </w:p>
        </w:tc>
        <w:tc>
          <w:tcPr>
            <w:tcW w:w="12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152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Deduction of ASC 718 Fair Value of Awards</w:t>
            </w: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Granted during Prior FY that were Forfeited</w:t>
            </w: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during Applicable FY, determined as of Prior FY</w:t>
            </w:r>
          </w:p>
        </w:tc>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End</w:t>
            </w:r>
          </w:p>
        </w:tc>
        <w:tc>
          <w:tcPr>
            <w:tcW w:w="1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0"/>
        </w:trPr>
        <w:tc>
          <w:tcPr>
            <w:tcW w:w="332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Increase based on Dividends or Other Earnings</w:t>
            </w:r>
          </w:p>
        </w:tc>
        <w:tc>
          <w:tcPr>
            <w:tcW w:w="1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Paid during Applicable FY prior to Vesting Date</w:t>
            </w:r>
          </w:p>
        </w:tc>
        <w:tc>
          <w:tcPr>
            <w:tcW w:w="12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Increase based on Incremental Fair Value of</w:t>
            </w: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Options/SARs Modified during Applicable FY</w:t>
            </w:r>
          </w:p>
        </w:tc>
        <w:tc>
          <w:tcPr>
            <w:tcW w:w="1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7"/>
        </w:trPr>
        <w:tc>
          <w:tcPr>
            <w:tcW w:w="33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5"/>
                <w:szCs w:val="15"/>
                <w:b w:val="1"/>
                <w:bCs w:val="1"/>
                <w:color w:val="auto"/>
              </w:rPr>
              <w:t>TOTAL ADJUSTMENTS</w:t>
            </w:r>
          </w:p>
        </w:tc>
        <w:tc>
          <w:tcPr>
            <w:tcW w:w="12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1,530,539</w:t>
            </w:r>
          </w:p>
        </w:tc>
        <w:tc>
          <w:tcPr>
            <w:tcW w:w="13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792,560</w:t>
            </w:r>
          </w:p>
        </w:tc>
        <w:tc>
          <w:tcPr>
            <w:tcW w:w="14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(813,969)</w:t>
            </w:r>
          </w:p>
        </w:tc>
        <w:tc>
          <w:tcPr>
            <w:tcW w:w="1520" w:type="dxa"/>
            <w:vAlign w:val="bottom"/>
            <w:tcBorders>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541,171</w:t>
            </w: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686,138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i w:val="1"/>
          <w:iCs w:val="1"/>
          <w:color w:val="auto"/>
        </w:rPr>
        <w:t>Relationship Between Financial Performance Measures</w:t>
      </w:r>
    </w:p>
    <w:p>
      <w:pPr>
        <w:spacing w:after="0" w:line="182" w:lineRule="exact"/>
        <w:rPr>
          <w:sz w:val="20"/>
          <w:szCs w:val="20"/>
          <w:color w:val="auto"/>
        </w:rPr>
      </w:pPr>
    </w:p>
    <w:p>
      <w:pPr>
        <w:ind w:firstLine="132"/>
        <w:spacing w:after="0" w:line="304" w:lineRule="auto"/>
        <w:rPr>
          <w:sz w:val="20"/>
          <w:szCs w:val="20"/>
          <w:color w:val="auto"/>
        </w:rPr>
      </w:pPr>
      <w:r>
        <w:rPr>
          <w:rFonts w:ascii="Times New Roman" w:cs="Times New Roman" w:eastAsia="Times New Roman" w:hAnsi="Times New Roman"/>
          <w:sz w:val="14"/>
          <w:szCs w:val="14"/>
          <w:color w:val="auto"/>
        </w:rPr>
        <w:t>The graphs below compare the compensation actually paid to our PEOs and the average of the compensation actually paid to our remaining named executive officers, with (i) our cumulative TSR, and (ii) our net income, in each case, for the fiscal years ended December 31, 2023, 2022 and 2021. TSR amounts reported in the graph assume an initial fixed investment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84455</wp:posOffset>
            </wp:positionV>
            <wp:extent cx="6956425" cy="2838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5642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247650</wp:posOffset>
            </wp:positionV>
            <wp:extent cx="6956425" cy="27406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56425" cy="274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Our Compensation Committee has adopted a non-employee director compensation policy, which provides for cash stipends to be paid to each of our nonemployee directors for service on the Board and for service on the Audit Committee, the Compensation Committee and the Nominating and Corporate Governance Committee. These stipends are payable in four equal quarterly installments on the last day of each quarter. The cash stipends payable under this policy were initially as follows for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Chairman</w:t>
            </w:r>
          </w:p>
        </w:tc>
      </w:tr>
      <w:tr>
        <w:trPr>
          <w:trHeight w:val="175"/>
        </w:trPr>
        <w:tc>
          <w:tcPr>
            <w:tcW w:w="80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Member Annual</w:t>
            </w:r>
          </w:p>
        </w:tc>
        <w:tc>
          <w:tcPr>
            <w:tcW w:w="2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Additional Annual</w:t>
            </w:r>
          </w:p>
        </w:tc>
      </w:tr>
      <w:tr>
        <w:trPr>
          <w:trHeight w:val="175"/>
        </w:trPr>
        <w:tc>
          <w:tcPr>
            <w:tcW w:w="80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Service Stipend</w:t>
            </w:r>
          </w:p>
        </w:tc>
        <w:tc>
          <w:tcPr>
            <w:tcW w:w="2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Service Stipend</w:t>
            </w:r>
          </w:p>
        </w:tc>
      </w:tr>
      <w:tr>
        <w:trPr>
          <w:trHeight w:val="192"/>
        </w:trPr>
        <w:tc>
          <w:tcPr>
            <w:tcW w:w="80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100" w:type="dxa"/>
            <w:vAlign w:val="bottom"/>
          </w:tcPr>
          <w:p>
            <w:pPr>
              <w:spacing w:after="0"/>
              <w:rPr>
                <w:sz w:val="16"/>
                <w:szCs w:val="16"/>
                <w:color w:val="auto"/>
              </w:rPr>
            </w:pPr>
          </w:p>
        </w:tc>
      </w:tr>
      <w:tr>
        <w:trPr>
          <w:trHeight w:val="166"/>
        </w:trPr>
        <w:tc>
          <w:tcPr>
            <w:tcW w:w="8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Board of Directors</w:t>
            </w:r>
          </w:p>
        </w:tc>
        <w:tc>
          <w:tcPr>
            <w:tcW w:w="1480" w:type="dxa"/>
            <w:vAlign w:val="bottom"/>
            <w:shd w:val="clear" w:color="auto" w:fill="CCEEFF"/>
          </w:tcPr>
          <w:p>
            <w:pPr>
              <w:jc w:val="center"/>
              <w:ind w:left="47"/>
              <w:spacing w:after="0" w:line="167" w:lineRule="exact"/>
              <w:rPr>
                <w:sz w:val="20"/>
                <w:szCs w:val="20"/>
                <w:color w:val="auto"/>
              </w:rPr>
            </w:pPr>
            <w:r>
              <w:rPr>
                <w:rFonts w:ascii="Times New Roman" w:cs="Times New Roman" w:eastAsia="Times New Roman" w:hAnsi="Times New Roman"/>
                <w:sz w:val="15"/>
                <w:szCs w:val="15"/>
                <w:color w:val="auto"/>
                <w:w w:val="96"/>
              </w:rPr>
              <w:t>40,000</w:t>
            </w:r>
          </w:p>
        </w:tc>
        <w:tc>
          <w:tcPr>
            <w:tcW w:w="1680" w:type="dxa"/>
            <w:vAlign w:val="bottom"/>
            <w:gridSpan w:val="2"/>
            <w:shd w:val="clear" w:color="auto" w:fill="CCEEFF"/>
          </w:tcPr>
          <w:p>
            <w:pPr>
              <w:jc w:val="center"/>
              <w:ind w:left="247"/>
              <w:spacing w:after="0" w:line="167" w:lineRule="exact"/>
              <w:rPr>
                <w:sz w:val="20"/>
                <w:szCs w:val="20"/>
                <w:color w:val="auto"/>
              </w:rPr>
            </w:pPr>
            <w:r>
              <w:rPr>
                <w:rFonts w:ascii="Times New Roman" w:cs="Times New Roman" w:eastAsia="Times New Roman" w:hAnsi="Times New Roman"/>
                <w:sz w:val="15"/>
                <w:szCs w:val="15"/>
                <w:color w:val="auto"/>
                <w:w w:val="96"/>
              </w:rPr>
              <w:t>15,000</w:t>
            </w:r>
          </w:p>
        </w:tc>
        <w:tc>
          <w:tcPr>
            <w:tcW w:w="100" w:type="dxa"/>
            <w:vAlign w:val="bottom"/>
            <w:shd w:val="clear" w:color="auto" w:fill="CCEEFF"/>
          </w:tcPr>
          <w:p>
            <w:pPr>
              <w:spacing w:after="0"/>
              <w:rPr>
                <w:sz w:val="14"/>
                <w:szCs w:val="14"/>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Audit Committee</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4"/>
              </w:rPr>
              <w:t>7,500</w:t>
            </w:r>
          </w:p>
        </w:tc>
        <w:tc>
          <w:tcPr>
            <w:tcW w:w="168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w w:val="96"/>
              </w:rPr>
              <w:t>15,000</w:t>
            </w:r>
          </w:p>
        </w:tc>
        <w:tc>
          <w:tcPr>
            <w:tcW w:w="100" w:type="dxa"/>
            <w:vAlign w:val="bottom"/>
          </w:tcPr>
          <w:p>
            <w:pPr>
              <w:spacing w:after="0"/>
              <w:rPr>
                <w:sz w:val="15"/>
                <w:szCs w:val="15"/>
                <w:color w:val="auto"/>
              </w:rPr>
            </w:pPr>
          </w:p>
        </w:tc>
      </w:tr>
      <w:tr>
        <w:trPr>
          <w:trHeight w:val="17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Committee</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4"/>
              </w:rPr>
              <w:t>5,000</w:t>
            </w:r>
          </w:p>
        </w:tc>
        <w:tc>
          <w:tcPr>
            <w:tcW w:w="168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w w:val="96"/>
              </w:rPr>
              <w:t>10,000</w:t>
            </w:r>
          </w:p>
        </w:tc>
        <w:tc>
          <w:tcPr>
            <w:tcW w:w="100" w:type="dxa"/>
            <w:vAlign w:val="bottom"/>
            <w:shd w:val="clear" w:color="auto" w:fill="CCEEFF"/>
          </w:tcPr>
          <w:p>
            <w:pPr>
              <w:spacing w:after="0"/>
              <w:rPr>
                <w:sz w:val="15"/>
                <w:szCs w:val="15"/>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Nominating and Corporate Governance Committee</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4"/>
              </w:rPr>
              <w:t>5,000</w:t>
            </w:r>
          </w:p>
        </w:tc>
        <w:tc>
          <w:tcPr>
            <w:tcW w:w="168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w w:val="94"/>
              </w:rPr>
              <w:t>7,500</w:t>
            </w:r>
          </w:p>
        </w:tc>
        <w:tc>
          <w:tcPr>
            <w:tcW w:w="100" w:type="dxa"/>
            <w:vAlign w:val="bottom"/>
          </w:tcPr>
          <w:p>
            <w:pPr>
              <w:spacing w:after="0"/>
              <w:rPr>
                <w:sz w:val="15"/>
                <w:szCs w:val="15"/>
                <w:color w:val="auto"/>
              </w:rPr>
            </w:pPr>
          </w:p>
        </w:tc>
      </w:tr>
      <w:tr>
        <w:trPr>
          <w:trHeight w:val="17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Lead independent director*</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15,000</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spacing w:after="0" w:line="161"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Additionally, under this policy, each non-employee director who continues to serve as a non-employee member of our Board, following the annual meeting of our stockholders is eligible to receive an option to purchase 15,000 shares of our common stock at an exercise price equal to the last reported sale price of our common stock on The Nasdaq Stock Market on the date of grant. These stock options will vest and become exercisable in full on the earliest of (i) the first anniversary of the grant date, (ii) the day before the first annual stockholders meeting occurring after the grant date or (iii) immediately prior to a change in control of the Company, subject in each case to the director’s continued service on such vesting date.</w:t>
      </w:r>
    </w:p>
    <w:p>
      <w:pPr>
        <w:spacing w:after="0" w:line="152"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Following the annual non-employee director compensation policy reviews undertaken by the Board, and based upon the recommendation of the Compensation Committee after consultation with Mercer, the Board elected to revise the policy, effective February 15, 2023. The table below summarizes cash compensation to be paid under the policy as amended effective February 15, 2023. Additionally, the Board revised the policy to increase the number of shares subject to the option to be granted annually under the policy from 15,000 to 39,200 (or, for the Chairman of the Board, 49,200).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Chairman</w:t>
            </w:r>
          </w:p>
        </w:tc>
      </w:tr>
      <w:tr>
        <w:trPr>
          <w:trHeight w:val="175"/>
        </w:trPr>
        <w:tc>
          <w:tcPr>
            <w:tcW w:w="80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Member Annual</w:t>
            </w:r>
          </w:p>
        </w:tc>
        <w:tc>
          <w:tcPr>
            <w:tcW w:w="2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Additional Annual</w:t>
            </w:r>
          </w:p>
        </w:tc>
      </w:tr>
      <w:tr>
        <w:trPr>
          <w:trHeight w:val="175"/>
        </w:trPr>
        <w:tc>
          <w:tcPr>
            <w:tcW w:w="80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Service Stipend</w:t>
            </w:r>
          </w:p>
        </w:tc>
        <w:tc>
          <w:tcPr>
            <w:tcW w:w="2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Service Stipend</w:t>
            </w:r>
          </w:p>
        </w:tc>
      </w:tr>
      <w:tr>
        <w:trPr>
          <w:trHeight w:val="192"/>
        </w:trPr>
        <w:tc>
          <w:tcPr>
            <w:tcW w:w="80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100" w:type="dxa"/>
            <w:vAlign w:val="bottom"/>
          </w:tcPr>
          <w:p>
            <w:pPr>
              <w:spacing w:after="0"/>
              <w:rPr>
                <w:sz w:val="16"/>
                <w:szCs w:val="16"/>
                <w:color w:val="auto"/>
              </w:rPr>
            </w:pPr>
          </w:p>
        </w:tc>
      </w:tr>
      <w:tr>
        <w:trPr>
          <w:trHeight w:val="166"/>
        </w:trPr>
        <w:tc>
          <w:tcPr>
            <w:tcW w:w="8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Board of Directors</w:t>
            </w:r>
          </w:p>
        </w:tc>
        <w:tc>
          <w:tcPr>
            <w:tcW w:w="1480" w:type="dxa"/>
            <w:vAlign w:val="bottom"/>
            <w:shd w:val="clear" w:color="auto" w:fill="CCEEFF"/>
          </w:tcPr>
          <w:p>
            <w:pPr>
              <w:jc w:val="center"/>
              <w:ind w:left="47"/>
              <w:spacing w:after="0" w:line="167" w:lineRule="exact"/>
              <w:rPr>
                <w:sz w:val="20"/>
                <w:szCs w:val="20"/>
                <w:color w:val="auto"/>
              </w:rPr>
            </w:pPr>
            <w:r>
              <w:rPr>
                <w:rFonts w:ascii="Times New Roman" w:cs="Times New Roman" w:eastAsia="Times New Roman" w:hAnsi="Times New Roman"/>
                <w:sz w:val="15"/>
                <w:szCs w:val="15"/>
                <w:color w:val="auto"/>
                <w:w w:val="96"/>
              </w:rPr>
              <w:t>40,000</w:t>
            </w:r>
          </w:p>
        </w:tc>
        <w:tc>
          <w:tcPr>
            <w:tcW w:w="1680" w:type="dxa"/>
            <w:vAlign w:val="bottom"/>
            <w:gridSpan w:val="2"/>
            <w:shd w:val="clear" w:color="auto" w:fill="CCEEFF"/>
          </w:tcPr>
          <w:p>
            <w:pPr>
              <w:jc w:val="center"/>
              <w:ind w:left="247"/>
              <w:spacing w:after="0" w:line="167" w:lineRule="exact"/>
              <w:rPr>
                <w:sz w:val="20"/>
                <w:szCs w:val="20"/>
                <w:color w:val="auto"/>
              </w:rPr>
            </w:pPr>
            <w:r>
              <w:rPr>
                <w:rFonts w:ascii="Times New Roman" w:cs="Times New Roman" w:eastAsia="Times New Roman" w:hAnsi="Times New Roman"/>
                <w:sz w:val="15"/>
                <w:szCs w:val="15"/>
                <w:color w:val="auto"/>
                <w:w w:val="96"/>
              </w:rPr>
              <w:t>75,000</w:t>
            </w:r>
          </w:p>
        </w:tc>
        <w:tc>
          <w:tcPr>
            <w:tcW w:w="100" w:type="dxa"/>
            <w:vAlign w:val="bottom"/>
            <w:shd w:val="clear" w:color="auto" w:fill="CCEEFF"/>
          </w:tcPr>
          <w:p>
            <w:pPr>
              <w:spacing w:after="0"/>
              <w:rPr>
                <w:sz w:val="14"/>
                <w:szCs w:val="14"/>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Audit Committee</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4"/>
              </w:rPr>
              <w:t>9,000</w:t>
            </w:r>
          </w:p>
        </w:tc>
        <w:tc>
          <w:tcPr>
            <w:tcW w:w="168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w w:val="96"/>
              </w:rPr>
              <w:t>22,500</w:t>
            </w:r>
          </w:p>
        </w:tc>
        <w:tc>
          <w:tcPr>
            <w:tcW w:w="100" w:type="dxa"/>
            <w:vAlign w:val="bottom"/>
          </w:tcPr>
          <w:p>
            <w:pPr>
              <w:spacing w:after="0"/>
              <w:rPr>
                <w:sz w:val="15"/>
                <w:szCs w:val="15"/>
                <w:color w:val="auto"/>
              </w:rPr>
            </w:pPr>
          </w:p>
        </w:tc>
      </w:tr>
      <w:tr>
        <w:trPr>
          <w:trHeight w:val="17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Committee</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4"/>
              </w:rPr>
              <w:t>7,000</w:t>
            </w:r>
          </w:p>
        </w:tc>
        <w:tc>
          <w:tcPr>
            <w:tcW w:w="1680" w:type="dxa"/>
            <w:vAlign w:val="bottom"/>
            <w:gridSpan w:val="2"/>
            <w:shd w:val="clear" w:color="auto" w:fill="CCEEFF"/>
          </w:tcPr>
          <w:p>
            <w:pPr>
              <w:jc w:val="center"/>
              <w:ind w:left="247"/>
              <w:spacing w:after="0"/>
              <w:rPr>
                <w:sz w:val="20"/>
                <w:szCs w:val="20"/>
                <w:color w:val="auto"/>
              </w:rPr>
            </w:pPr>
            <w:r>
              <w:rPr>
                <w:rFonts w:ascii="Times New Roman" w:cs="Times New Roman" w:eastAsia="Times New Roman" w:hAnsi="Times New Roman"/>
                <w:sz w:val="15"/>
                <w:szCs w:val="15"/>
                <w:color w:val="auto"/>
                <w:w w:val="96"/>
              </w:rPr>
              <w:t>15,000</w:t>
            </w:r>
          </w:p>
        </w:tc>
        <w:tc>
          <w:tcPr>
            <w:tcW w:w="100" w:type="dxa"/>
            <w:vAlign w:val="bottom"/>
            <w:shd w:val="clear" w:color="auto" w:fill="CCEEFF"/>
          </w:tcPr>
          <w:p>
            <w:pPr>
              <w:spacing w:after="0"/>
              <w:rPr>
                <w:sz w:val="15"/>
                <w:szCs w:val="15"/>
                <w:color w:val="auto"/>
              </w:rPr>
            </w:pPr>
          </w:p>
        </w:tc>
      </w:tr>
      <w:tr>
        <w:trPr>
          <w:trHeight w:val="175"/>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Nominating and Corporate Governance Committee</w:t>
            </w:r>
          </w:p>
        </w:tc>
        <w:tc>
          <w:tcPr>
            <w:tcW w:w="1480" w:type="dxa"/>
            <w:vAlign w:val="bottom"/>
          </w:tcPr>
          <w:p>
            <w:pPr>
              <w:jc w:val="center"/>
              <w:ind w:left="47"/>
              <w:spacing w:after="0"/>
              <w:rPr>
                <w:sz w:val="20"/>
                <w:szCs w:val="20"/>
                <w:color w:val="auto"/>
              </w:rPr>
            </w:pPr>
            <w:r>
              <w:rPr>
                <w:rFonts w:ascii="Times New Roman" w:cs="Times New Roman" w:eastAsia="Times New Roman" w:hAnsi="Times New Roman"/>
                <w:sz w:val="15"/>
                <w:szCs w:val="15"/>
                <w:color w:val="auto"/>
                <w:w w:val="94"/>
              </w:rPr>
              <w:t>5,000</w:t>
            </w:r>
          </w:p>
        </w:tc>
        <w:tc>
          <w:tcPr>
            <w:tcW w:w="1680" w:type="dxa"/>
            <w:vAlign w:val="bottom"/>
            <w:gridSpan w:val="2"/>
          </w:tcPr>
          <w:p>
            <w:pPr>
              <w:jc w:val="center"/>
              <w:ind w:left="247"/>
              <w:spacing w:after="0"/>
              <w:rPr>
                <w:sz w:val="20"/>
                <w:szCs w:val="20"/>
                <w:color w:val="auto"/>
              </w:rPr>
            </w:pPr>
            <w:r>
              <w:rPr>
                <w:rFonts w:ascii="Times New Roman" w:cs="Times New Roman" w:eastAsia="Times New Roman" w:hAnsi="Times New Roman"/>
                <w:sz w:val="15"/>
                <w:szCs w:val="15"/>
                <w:color w:val="auto"/>
                <w:w w:val="96"/>
              </w:rPr>
              <w:t>12,500</w:t>
            </w:r>
          </w:p>
        </w:tc>
        <w:tc>
          <w:tcPr>
            <w:tcW w:w="100" w:type="dxa"/>
            <w:vAlign w:val="bottom"/>
          </w:tcPr>
          <w:p>
            <w:pPr>
              <w:spacing w:after="0"/>
              <w:rPr>
                <w:sz w:val="15"/>
                <w:szCs w:val="15"/>
                <w:color w:val="auto"/>
              </w:rPr>
            </w:pPr>
          </w:p>
        </w:tc>
      </w:tr>
      <w:tr>
        <w:trPr>
          <w:trHeight w:val="17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Lead independent director*</w:t>
            </w:r>
          </w:p>
        </w:tc>
        <w:tc>
          <w:tcPr>
            <w:tcW w:w="1480" w:type="dxa"/>
            <w:vAlign w:val="bottom"/>
            <w:shd w:val="clear" w:color="auto" w:fill="CCEEFF"/>
          </w:tcPr>
          <w:p>
            <w:pPr>
              <w:jc w:val="center"/>
              <w:ind w:left="47"/>
              <w:spacing w:after="0"/>
              <w:rPr>
                <w:sz w:val="20"/>
                <w:szCs w:val="20"/>
                <w:color w:val="auto"/>
              </w:rPr>
            </w:pPr>
            <w:r>
              <w:rPr>
                <w:rFonts w:ascii="Times New Roman" w:cs="Times New Roman" w:eastAsia="Times New Roman" w:hAnsi="Times New Roman"/>
                <w:sz w:val="15"/>
                <w:szCs w:val="15"/>
                <w:color w:val="auto"/>
                <w:w w:val="96"/>
              </w:rPr>
              <w:t>15,000</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If one is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58355" cy="111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111125"/>
                    </a:xfrm>
                    <a:prstGeom prst="rect">
                      <a:avLst/>
                    </a:prstGeom>
                    <a:noFill/>
                  </pic:spPr>
                </pic:pic>
              </a:graphicData>
            </a:graphic>
          </wp:anchor>
        </w:drawing>
      </w:r>
    </w:p>
    <w:p>
      <w:pPr>
        <w:spacing w:after="0" w:line="158" w:lineRule="exact"/>
        <w:rPr>
          <w:sz w:val="20"/>
          <w:szCs w:val="20"/>
          <w:color w:val="auto"/>
        </w:rPr>
      </w:pPr>
    </w:p>
    <w:p>
      <w:pPr>
        <w:jc w:val="both"/>
        <w:ind w:firstLine="132"/>
        <w:spacing w:after="0" w:line="252" w:lineRule="auto"/>
        <w:rPr>
          <w:sz w:val="20"/>
          <w:szCs w:val="20"/>
          <w:color w:val="auto"/>
        </w:rPr>
      </w:pPr>
      <w:r>
        <w:rPr>
          <w:rFonts w:ascii="Times New Roman" w:cs="Times New Roman" w:eastAsia="Times New Roman" w:hAnsi="Times New Roman"/>
          <w:sz w:val="15"/>
          <w:szCs w:val="15"/>
          <w:color w:val="auto"/>
        </w:rPr>
        <w:t>Effective May 3, 2023, the Board further amended the non-employee director compensation policy. In addition to the above, upon the commencement of a non-employee director’s initial term of service to the Board, such individual will automatically be granted a stock option covering 1.5x the number of shares covering the annual grants to non-employee directors. The initial grants will vest and become exercisable in three equal installments on the date that is one day prior to the date of the first three annual meeting of stockholders following the date of grant, subject accelerated vesting upon a change in control of the Company (and in each case, subject to continued service on the Board).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2023 Director Compensation Table</w:t>
      </w:r>
    </w:p>
    <w:p>
      <w:pPr>
        <w:spacing w:after="0" w:line="180"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The following table sets forth information regarding compensation earned for service on our Board during 2023 by our non-employee directors. Mr. McFarlane, our President and Chief Executive Officer, was also a director during 2023 but did not receive any additional compensation for his service as a director. Mr. McFarlane’s compensation as an executive officer is set forth above under “Executive Compensation—Summary Compensation Table.” Mr. Pascoe, our former Executive Chairman and Chief Executive Officer, and Dr. Travis Mickle, our former President and Chief Executive Officer, were also directors during 2023 but did not receive any additional compensation for their services on our Board. Mr. Pascoe and Dr. Travis Mickle's compensation as executive officers is set forth above under “Executive Compensation—Summary Compensation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5"/>
              </w:rPr>
              <w:t>Fees Earned</w:t>
            </w: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Option</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or Paid in Cash</w:t>
            </w: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Awards (1)</w:t>
            </w:r>
          </w:p>
        </w:tc>
        <w:tc>
          <w:tcPr>
            <w:tcW w:w="220" w:type="dxa"/>
            <w:vAlign w:val="bottom"/>
          </w:tcPr>
          <w:p>
            <w:pPr>
              <w:spacing w:after="0"/>
              <w:rPr>
                <w:sz w:val="15"/>
                <w:szCs w:val="15"/>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92"/>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600" w:type="dxa"/>
            <w:vAlign w:val="bottom"/>
            <w:gridSpan w:val="2"/>
          </w:tcPr>
          <w:p>
            <w:pPr>
              <w:jc w:val="center"/>
              <w:ind w:left="47"/>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3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680" w:type="dxa"/>
            <w:vAlign w:val="bottom"/>
            <w:gridSpan w:val="2"/>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60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Matthew R. Plooster</w:t>
            </w:r>
          </w:p>
        </w:tc>
        <w:tc>
          <w:tcPr>
            <w:tcW w:w="12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53,768</w:t>
            </w:r>
          </w:p>
        </w:tc>
        <w:tc>
          <w:tcPr>
            <w:tcW w:w="340" w:type="dxa"/>
            <w:vAlign w:val="bottom"/>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center"/>
              <w:ind w:left="27"/>
              <w:spacing w:after="0" w:line="167" w:lineRule="exact"/>
              <w:rPr>
                <w:sz w:val="20"/>
                <w:szCs w:val="20"/>
                <w:color w:val="auto"/>
              </w:rPr>
            </w:pPr>
            <w:r>
              <w:rPr>
                <w:rFonts w:ascii="Times New Roman" w:cs="Times New Roman" w:eastAsia="Times New Roman" w:hAnsi="Times New Roman"/>
                <w:sz w:val="15"/>
                <w:szCs w:val="15"/>
                <w:color w:val="auto"/>
                <w:w w:val="98"/>
              </w:rPr>
              <w:t>206,419</w:t>
            </w:r>
          </w:p>
        </w:tc>
        <w:tc>
          <w:tcPr>
            <w:tcW w:w="220" w:type="dxa"/>
            <w:vAlign w:val="bottom"/>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260,187</w:t>
            </w:r>
          </w:p>
        </w:tc>
        <w:tc>
          <w:tcPr>
            <w:tcW w:w="100" w:type="dxa"/>
            <w:vAlign w:val="bottom"/>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5"/>
                <w:szCs w:val="15"/>
                <w:color w:val="auto"/>
              </w:rPr>
              <w:t>Christopher A. Posner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17,846</w:t>
            </w:r>
          </w:p>
        </w:tc>
        <w:tc>
          <w:tcPr>
            <w:tcW w:w="146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17,846</w:t>
            </w:r>
          </w:p>
        </w:tc>
      </w:tr>
      <w:tr>
        <w:trPr>
          <w:trHeight w:val="175"/>
        </w:trPr>
        <w:tc>
          <w:tcPr>
            <w:tcW w:w="20" w:type="dxa"/>
            <w:vAlign w:val="bottom"/>
          </w:tcPr>
          <w:p>
            <w:pPr>
              <w:spacing w:after="0"/>
              <w:rPr>
                <w:sz w:val="15"/>
                <w:szCs w:val="15"/>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Joseph B. Saluri</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44,522</w:t>
            </w:r>
          </w:p>
        </w:tc>
        <w:tc>
          <w:tcPr>
            <w:tcW w:w="146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8"/>
              </w:rPr>
              <w:t>164,464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208,986</w:t>
            </w:r>
          </w:p>
        </w:tc>
        <w:tc>
          <w:tcPr>
            <w:tcW w:w="10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5"/>
                <w:szCs w:val="15"/>
                <w:color w:val="auto"/>
              </w:rPr>
              <w:t>David S. Tierney, M.D.</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16,571</w:t>
            </w:r>
          </w:p>
        </w:tc>
        <w:tc>
          <w:tcPr>
            <w:tcW w:w="146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16,571</w:t>
            </w:r>
          </w:p>
        </w:tc>
      </w:tr>
      <w:tr>
        <w:trPr>
          <w:trHeight w:val="175"/>
        </w:trPr>
        <w:tc>
          <w:tcPr>
            <w:tcW w:w="20" w:type="dxa"/>
            <w:vAlign w:val="bottom"/>
          </w:tcPr>
          <w:p>
            <w:pPr>
              <w:spacing w:after="0"/>
              <w:rPr>
                <w:sz w:val="15"/>
                <w:szCs w:val="15"/>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Thomas D. Anderson</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23,791</w:t>
            </w:r>
          </w:p>
        </w:tc>
        <w:tc>
          <w:tcPr>
            <w:tcW w:w="146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8"/>
              </w:rPr>
              <w:t>219,244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243,035</w:t>
            </w:r>
          </w:p>
        </w:tc>
        <w:tc>
          <w:tcPr>
            <w:tcW w:w="10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5"/>
                <w:szCs w:val="15"/>
                <w:color w:val="auto"/>
              </w:rPr>
              <w:t>John B. Bode</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41,598</w:t>
            </w:r>
          </w:p>
        </w:tc>
        <w:tc>
          <w:tcPr>
            <w:tcW w:w="146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8"/>
              </w:rPr>
              <w:t>222,710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264,308</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Douglas W. Calder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35,308</w:t>
            </w:r>
          </w:p>
        </w:tc>
        <w:tc>
          <w:tcPr>
            <w:tcW w:w="146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8"/>
              </w:rPr>
              <w:t>222,710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258,018</w:t>
            </w:r>
          </w:p>
        </w:tc>
        <w:tc>
          <w:tcPr>
            <w:tcW w:w="10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5"/>
                <w:szCs w:val="15"/>
                <w:color w:val="auto"/>
              </w:rPr>
              <w:t>Wendy Dixon, Ph.D.</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40,604</w:t>
            </w:r>
          </w:p>
        </w:tc>
        <w:tc>
          <w:tcPr>
            <w:tcW w:w="146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8"/>
              </w:rPr>
              <w:t>233,396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274,000</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Tamara A. Favorito</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121,882</w:t>
            </w:r>
          </w:p>
        </w:tc>
        <w:tc>
          <w:tcPr>
            <w:tcW w:w="146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w w:val="98"/>
              </w:rPr>
              <w:t>202,507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324,389</w:t>
            </w:r>
          </w:p>
        </w:tc>
        <w:tc>
          <w:tcPr>
            <w:tcW w:w="100" w:type="dxa"/>
            <w:vAlign w:val="bottom"/>
            <w:shd w:val="clear" w:color="auto" w:fill="CCEEF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5"/>
                <w:szCs w:val="15"/>
                <w:color w:val="auto"/>
              </w:rPr>
              <w:t>Corey Watton</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37,956</w:t>
            </w:r>
          </w:p>
        </w:tc>
        <w:tc>
          <w:tcPr>
            <w:tcW w:w="146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8"/>
              </w:rPr>
              <w:t>222,710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260,666</w:t>
            </w:r>
          </w:p>
        </w:tc>
        <w:tc>
          <w:tcPr>
            <w:tcW w:w="100" w:type="dxa"/>
            <w:vAlign w:val="bottom"/>
          </w:tcPr>
          <w:p>
            <w:pPr>
              <w:spacing w:after="0"/>
              <w:rPr>
                <w:sz w:val="16"/>
                <w:szCs w:val="16"/>
                <w:color w:val="auto"/>
              </w:rPr>
            </w:pPr>
          </w:p>
        </w:tc>
      </w:tr>
    </w:tbl>
    <w:p>
      <w:pPr>
        <w:spacing w:after="0" w:line="146" w:lineRule="exact"/>
        <w:rPr>
          <w:sz w:val="20"/>
          <w:szCs w:val="20"/>
          <w:color w:val="auto"/>
        </w:rPr>
      </w:pPr>
    </w:p>
    <w:p>
      <w:pPr>
        <w:jc w:val="both"/>
        <w:ind w:left="280" w:hanging="272"/>
        <w:spacing w:after="0" w:line="252" w:lineRule="auto"/>
        <w:tabs>
          <w:tab w:leader="none" w:pos="2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column reflects the full grant date fair value for options granted during the year as measured pursuant to ASC Topic 718 as stock-based compensation in our financial statements. Unlike the calculations contained in our financial statements, this calculation does not give effect to any estimate of forfeitures related to service-based vesting but assumes that the director will perform the requisite service for the award to vest in full. The assumptions we used in valuing options are described in Note K to our audited financial statements included in our Annual Report on Form 10-K for the fiscal year ended December 31, 2023. See the table below for the number of option awards outstanding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58355" cy="4451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4513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2"/>
        </w:trPr>
        <w:tc>
          <w:tcPr>
            <w:tcW w:w="960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9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The table below shows the aggregate number of option awards outstanding for each of our non-employee directors as of December 31, 2023:</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Aggregate Option</w:t>
            </w:r>
          </w:p>
        </w:tc>
      </w:tr>
      <w:tr>
        <w:trPr>
          <w:trHeight w:val="175"/>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Awards Outstanding</w:t>
            </w:r>
          </w:p>
        </w:tc>
      </w:tr>
      <w:tr>
        <w:trPr>
          <w:trHeight w:val="192"/>
        </w:trPr>
        <w:tc>
          <w:tcPr>
            <w:tcW w:w="96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580" w:type="dxa"/>
            <w:vAlign w:val="bottom"/>
            <w:gridSpan w:val="2"/>
          </w:tcPr>
          <w:p>
            <w:pPr>
              <w:jc w:val="center"/>
              <w:ind w:left="27"/>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100" w:type="dxa"/>
            <w:vAlign w:val="bottom"/>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9580" w:type="dxa"/>
            <w:vAlign w:val="bottom"/>
            <w:tcBorders>
              <w:top w:val="single" w:sz="8" w:color="auto"/>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Matthew R. Plooster</w:t>
            </w:r>
          </w:p>
        </w:tc>
        <w:tc>
          <w:tcPr>
            <w:tcW w:w="120" w:type="dxa"/>
            <w:vAlign w:val="bottom"/>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center"/>
              <w:ind w:left="27"/>
              <w:spacing w:after="0" w:line="167" w:lineRule="exact"/>
              <w:rPr>
                <w:sz w:val="20"/>
                <w:szCs w:val="20"/>
                <w:color w:val="auto"/>
              </w:rPr>
            </w:pPr>
            <w:r>
              <w:rPr>
                <w:rFonts w:ascii="Times New Roman" w:cs="Times New Roman" w:eastAsia="Times New Roman" w:hAnsi="Times New Roman"/>
                <w:sz w:val="15"/>
                <w:szCs w:val="15"/>
                <w:color w:val="auto"/>
                <w:w w:val="95"/>
              </w:rPr>
              <w:t>86,512(1)</w:t>
            </w:r>
          </w:p>
        </w:tc>
        <w:tc>
          <w:tcPr>
            <w:tcW w:w="100" w:type="dxa"/>
            <w:vAlign w:val="bottom"/>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Christopher A. Posner</w:t>
            </w:r>
          </w:p>
        </w:tc>
        <w:tc>
          <w:tcPr>
            <w:tcW w:w="12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20" w:type="dxa"/>
            <w:vAlign w:val="bottom"/>
          </w:tcPr>
          <w:p>
            <w:pPr>
              <w:spacing w:after="0"/>
              <w:rPr>
                <w:sz w:val="15"/>
                <w:szCs w:val="15"/>
                <w:color w:val="auto"/>
              </w:rPr>
            </w:pPr>
          </w:p>
        </w:tc>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Joseph B. Saluri</w:t>
            </w:r>
          </w:p>
        </w:tc>
        <w:tc>
          <w:tcPr>
            <w:tcW w:w="1580" w:type="dxa"/>
            <w:vAlign w:val="bottom"/>
            <w:gridSpan w:val="2"/>
            <w:shd w:val="clear" w:color="auto" w:fill="CCEEFF"/>
          </w:tcPr>
          <w:p>
            <w:pPr>
              <w:jc w:val="center"/>
              <w:ind w:left="147"/>
              <w:spacing w:after="0"/>
              <w:rPr>
                <w:sz w:val="20"/>
                <w:szCs w:val="20"/>
                <w:color w:val="auto"/>
              </w:rPr>
            </w:pPr>
            <w:r>
              <w:rPr>
                <w:rFonts w:ascii="Times New Roman" w:cs="Times New Roman" w:eastAsia="Times New Roman" w:hAnsi="Times New Roman"/>
                <w:sz w:val="15"/>
                <w:szCs w:val="15"/>
                <w:color w:val="auto"/>
                <w:w w:val="95"/>
              </w:rPr>
              <w:t>75,762(1)</w:t>
            </w:r>
          </w:p>
        </w:tc>
        <w:tc>
          <w:tcPr>
            <w:tcW w:w="10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S. Tierney, M.D.</w:t>
            </w:r>
          </w:p>
        </w:tc>
        <w:tc>
          <w:tcPr>
            <w:tcW w:w="1580" w:type="dxa"/>
            <w:vAlign w:val="bottom"/>
            <w:gridSpan w:val="2"/>
          </w:tcPr>
          <w:p>
            <w:pPr>
              <w:jc w:val="center"/>
              <w:ind w:left="147"/>
              <w:spacing w:after="0"/>
              <w:rPr>
                <w:sz w:val="20"/>
                <w:szCs w:val="20"/>
                <w:color w:val="auto"/>
              </w:rPr>
            </w:pPr>
            <w:r>
              <w:rPr>
                <w:rFonts w:ascii="Times New Roman" w:cs="Times New Roman" w:eastAsia="Times New Roman" w:hAnsi="Times New Roman"/>
                <w:sz w:val="15"/>
                <w:szCs w:val="15"/>
                <w:color w:val="auto"/>
                <w:w w:val="95"/>
              </w:rPr>
              <w:t>37,020(1)</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Thomas D. Anderson</w:t>
            </w:r>
          </w:p>
        </w:tc>
        <w:tc>
          <w:tcPr>
            <w:tcW w:w="1580" w:type="dxa"/>
            <w:vAlign w:val="bottom"/>
            <w:gridSpan w:val="2"/>
            <w:shd w:val="clear" w:color="auto" w:fill="CCEEFF"/>
          </w:tcPr>
          <w:p>
            <w:pPr>
              <w:jc w:val="center"/>
              <w:ind w:left="147"/>
              <w:spacing w:after="0"/>
              <w:rPr>
                <w:sz w:val="20"/>
                <w:szCs w:val="20"/>
                <w:color w:val="auto"/>
              </w:rPr>
            </w:pPr>
            <w:r>
              <w:rPr>
                <w:rFonts w:ascii="Times New Roman" w:cs="Times New Roman" w:eastAsia="Times New Roman" w:hAnsi="Times New Roman"/>
                <w:sz w:val="15"/>
                <w:szCs w:val="15"/>
                <w:color w:val="auto"/>
                <w:w w:val="95"/>
              </w:rPr>
              <w:t>58,800(2)</w:t>
            </w:r>
          </w:p>
        </w:tc>
        <w:tc>
          <w:tcPr>
            <w:tcW w:w="10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John B. Bode</w:t>
            </w:r>
          </w:p>
        </w:tc>
        <w:tc>
          <w:tcPr>
            <w:tcW w:w="1580" w:type="dxa"/>
            <w:vAlign w:val="bottom"/>
            <w:gridSpan w:val="2"/>
          </w:tcPr>
          <w:p>
            <w:pPr>
              <w:jc w:val="center"/>
              <w:ind w:left="147"/>
              <w:spacing w:after="0"/>
              <w:rPr>
                <w:sz w:val="20"/>
                <w:szCs w:val="20"/>
                <w:color w:val="auto"/>
              </w:rPr>
            </w:pPr>
            <w:r>
              <w:rPr>
                <w:rFonts w:ascii="Times New Roman" w:cs="Times New Roman" w:eastAsia="Times New Roman" w:hAnsi="Times New Roman"/>
                <w:sz w:val="15"/>
                <w:szCs w:val="15"/>
                <w:color w:val="auto"/>
                <w:w w:val="95"/>
              </w:rPr>
              <w:t>58,800(2)</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Douglas W. Calder</w:t>
            </w:r>
          </w:p>
        </w:tc>
        <w:tc>
          <w:tcPr>
            <w:tcW w:w="1580" w:type="dxa"/>
            <w:vAlign w:val="bottom"/>
            <w:gridSpan w:val="2"/>
            <w:shd w:val="clear" w:color="auto" w:fill="CCEEFF"/>
          </w:tcPr>
          <w:p>
            <w:pPr>
              <w:jc w:val="center"/>
              <w:ind w:left="147"/>
              <w:spacing w:after="0"/>
              <w:rPr>
                <w:sz w:val="20"/>
                <w:szCs w:val="20"/>
                <w:color w:val="auto"/>
              </w:rPr>
            </w:pPr>
            <w:r>
              <w:rPr>
                <w:rFonts w:ascii="Times New Roman" w:cs="Times New Roman" w:eastAsia="Times New Roman" w:hAnsi="Times New Roman"/>
                <w:sz w:val="15"/>
                <w:szCs w:val="15"/>
                <w:color w:val="auto"/>
                <w:w w:val="95"/>
              </w:rPr>
              <w:t>58,800(2)</w:t>
            </w:r>
          </w:p>
        </w:tc>
        <w:tc>
          <w:tcPr>
            <w:tcW w:w="10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Wendy Dixon, Ph.D.</w:t>
            </w:r>
          </w:p>
        </w:tc>
        <w:tc>
          <w:tcPr>
            <w:tcW w:w="1580" w:type="dxa"/>
            <w:vAlign w:val="bottom"/>
            <w:gridSpan w:val="2"/>
          </w:tcPr>
          <w:p>
            <w:pPr>
              <w:jc w:val="center"/>
              <w:ind w:left="147"/>
              <w:spacing w:after="0"/>
              <w:rPr>
                <w:sz w:val="20"/>
                <w:szCs w:val="20"/>
                <w:color w:val="auto"/>
              </w:rPr>
            </w:pPr>
            <w:r>
              <w:rPr>
                <w:rFonts w:ascii="Times New Roman" w:cs="Times New Roman" w:eastAsia="Times New Roman" w:hAnsi="Times New Roman"/>
                <w:sz w:val="15"/>
                <w:szCs w:val="15"/>
                <w:color w:val="auto"/>
                <w:w w:val="95"/>
              </w:rPr>
              <w:t>58,800(2)</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Tamara A. Favorito</w:t>
            </w:r>
          </w:p>
        </w:tc>
        <w:tc>
          <w:tcPr>
            <w:tcW w:w="1580" w:type="dxa"/>
            <w:vAlign w:val="bottom"/>
            <w:gridSpan w:val="2"/>
            <w:shd w:val="clear" w:color="auto" w:fill="CCEEFF"/>
          </w:tcPr>
          <w:p>
            <w:pPr>
              <w:jc w:val="center"/>
              <w:ind w:left="147"/>
              <w:spacing w:after="0"/>
              <w:rPr>
                <w:sz w:val="20"/>
                <w:szCs w:val="20"/>
                <w:color w:val="auto"/>
              </w:rPr>
            </w:pPr>
            <w:r>
              <w:rPr>
                <w:rFonts w:ascii="Times New Roman" w:cs="Times New Roman" w:eastAsia="Times New Roman" w:hAnsi="Times New Roman"/>
                <w:sz w:val="15"/>
                <w:szCs w:val="15"/>
                <w:color w:val="auto"/>
                <w:w w:val="95"/>
              </w:rPr>
              <w:t>86,700(3)</w:t>
            </w:r>
          </w:p>
        </w:tc>
        <w:tc>
          <w:tcPr>
            <w:tcW w:w="100" w:type="dxa"/>
            <w:vAlign w:val="bottom"/>
            <w:shd w:val="clear" w:color="auto" w:fill="CCEEF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Corey Watton</w:t>
            </w:r>
          </w:p>
        </w:tc>
        <w:tc>
          <w:tcPr>
            <w:tcW w:w="1580" w:type="dxa"/>
            <w:vAlign w:val="bottom"/>
            <w:gridSpan w:val="2"/>
          </w:tcPr>
          <w:p>
            <w:pPr>
              <w:jc w:val="center"/>
              <w:ind w:left="147"/>
              <w:spacing w:after="0"/>
              <w:rPr>
                <w:sz w:val="20"/>
                <w:szCs w:val="20"/>
                <w:color w:val="auto"/>
              </w:rPr>
            </w:pPr>
            <w:r>
              <w:rPr>
                <w:rFonts w:ascii="Times New Roman" w:cs="Times New Roman" w:eastAsia="Times New Roman" w:hAnsi="Times New Roman"/>
                <w:sz w:val="15"/>
                <w:szCs w:val="15"/>
                <w:color w:val="auto"/>
                <w:w w:val="95"/>
              </w:rPr>
              <w:t>58,800(2)</w:t>
            </w:r>
          </w:p>
        </w:tc>
        <w:tc>
          <w:tcPr>
            <w:tcW w:w="100" w:type="dxa"/>
            <w:vAlign w:val="bottom"/>
          </w:tcPr>
          <w:p>
            <w:pPr>
              <w:spacing w:after="0"/>
              <w:rPr>
                <w:sz w:val="16"/>
                <w:szCs w:val="16"/>
                <w:color w:val="auto"/>
              </w:rPr>
            </w:pPr>
          </w:p>
        </w:tc>
      </w:tr>
    </w:tbl>
    <w:p>
      <w:pPr>
        <w:spacing w:after="0" w:line="138" w:lineRule="exact"/>
        <w:rPr>
          <w:sz w:val="20"/>
          <w:szCs w:val="20"/>
          <w:color w:val="auto"/>
        </w:rPr>
      </w:pPr>
    </w:p>
    <w:p>
      <w:pPr>
        <w:ind w:left="280" w:hanging="272"/>
        <w:spacing w:after="0"/>
        <w:tabs>
          <w:tab w:leader="none" w:pos="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all shares underlying these options were vested.</w:t>
      </w:r>
    </w:p>
    <w:p>
      <w:pPr>
        <w:spacing w:after="0" w:line="1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underlying these options will vest in equal annual installments over a period of three years beginning one day prior to the date of the first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58355" cy="3340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334010"/>
                    </a:xfrm>
                    <a:prstGeom prst="rect">
                      <a:avLst/>
                    </a:prstGeom>
                    <a:noFill/>
                  </pic:spPr>
                </pic:pic>
              </a:graphicData>
            </a:graphic>
          </wp:anchor>
        </w:drawing>
      </w:r>
    </w:p>
    <w:p>
      <w:pPr>
        <w:ind w:left="280"/>
        <w:spacing w:after="0" w:line="243" w:lineRule="auto"/>
        <w:rPr>
          <w:sz w:val="20"/>
          <w:szCs w:val="20"/>
          <w:color w:val="auto"/>
        </w:rPr>
      </w:pPr>
      <w:r>
        <w:rPr>
          <w:rFonts w:ascii="Times New Roman" w:cs="Times New Roman" w:eastAsia="Times New Roman" w:hAnsi="Times New Roman"/>
          <w:sz w:val="15"/>
          <w:szCs w:val="15"/>
          <w:color w:val="auto"/>
        </w:rPr>
        <w:t>following the day of grant and continuing for the next two annual meeting of stockholders, such that the option will be fully vested one day prior to the date of the third annual meeting of the stockholders following the day of the grant, subject to continued service.</w:t>
      </w:r>
    </w:p>
    <w:p>
      <w:pPr>
        <w:spacing w:after="0" w:line="1" w:lineRule="exact"/>
        <w:rPr>
          <w:sz w:val="20"/>
          <w:szCs w:val="20"/>
          <w:color w:val="auto"/>
        </w:rPr>
      </w:pPr>
    </w:p>
    <w:p>
      <w:pPr>
        <w:jc w:val="both"/>
        <w:ind w:left="280" w:hanging="272"/>
        <w:spacing w:after="0" w:line="245" w:lineRule="auto"/>
        <w:tabs>
          <w:tab w:leader="none" w:pos="2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30,000 shares underlying these options were vested. Of the remaining shares underlying these options, (a) 7,500 will best on August 18, 2024, (b) 39,200 will vest on the earlier of (i) April 25, 2024, or (ii) one day prior to the date of the Annual Meeting, and (c) 10,000 shares underlying these options will vest on the earlier of (i) May 30, 2024, or (ii) one day prior to the Annual Meeting, subject to continued service.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09"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SECURITIES AUTHORIZED FOR ISSUANCE UNDER THE EQUITY COMPENSATION PLANS</w:t>
      </w:r>
    </w:p>
    <w:p>
      <w:pPr>
        <w:spacing w:after="0" w:line="180" w:lineRule="exact"/>
        <w:rPr>
          <w:sz w:val="20"/>
          <w:szCs w:val="20"/>
          <w:color w:val="auto"/>
        </w:rPr>
      </w:pPr>
    </w:p>
    <w:p>
      <w:pPr>
        <w:ind w:firstLine="132"/>
        <w:spacing w:after="0" w:line="268" w:lineRule="auto"/>
        <w:rPr>
          <w:sz w:val="20"/>
          <w:szCs w:val="20"/>
          <w:color w:val="auto"/>
        </w:rPr>
      </w:pPr>
      <w:r>
        <w:rPr>
          <w:rFonts w:ascii="Times New Roman" w:cs="Times New Roman" w:eastAsia="Times New Roman" w:hAnsi="Times New Roman"/>
          <w:sz w:val="15"/>
          <w:szCs w:val="15"/>
          <w:color w:val="auto"/>
        </w:rPr>
        <w:t>The following table provides information with respect to all of our equity compensation plans in effect as of December 31, 2023. Information is included for the 2007 Plan, the 2014 Plan, the 2023 Plan and the 2021 Employee Stock Purchase Plan (the “2021 ESPP”).</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080" w:type="dxa"/>
            <w:vAlign w:val="bottom"/>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EQUITY COMPENSATION PLAN INFORMATION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Number of securities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6"/>
              </w:rPr>
              <w:t>available for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Number of securities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6"/>
              </w:rPr>
              <w:t>future issuance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to be issued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5"/>
              </w:rPr>
              <w:t>Weighted-average</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under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upon exercise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exercise price of</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compensation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outstanding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outstanding</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plans (excluding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options, warrants and</w:t>
            </w:r>
          </w:p>
        </w:tc>
        <w:tc>
          <w:tcPr>
            <w:tcW w:w="80" w:type="dxa"/>
            <w:vAlign w:val="bottom"/>
          </w:tcPr>
          <w:p>
            <w:pPr>
              <w:spacing w:after="0"/>
              <w:rPr>
                <w:sz w:val="15"/>
                <w:szCs w:val="15"/>
                <w:color w:val="auto"/>
              </w:rPr>
            </w:pP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options, warrants and</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securities reflected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rights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5"/>
              </w:rPr>
              <w:t>rights</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in column (a))</w:t>
            </w:r>
          </w:p>
        </w:tc>
        <w:tc>
          <w:tcPr>
            <w:tcW w:w="0" w:type="dxa"/>
            <w:vAlign w:val="bottom"/>
          </w:tcPr>
          <w:p>
            <w:pPr>
              <w:spacing w:after="0"/>
              <w:rPr>
                <w:sz w:val="1"/>
                <w:szCs w:val="1"/>
                <w:color w:val="auto"/>
              </w:rPr>
            </w:pPr>
          </w:p>
        </w:tc>
      </w:tr>
      <w:tr>
        <w:trPr>
          <w:trHeight w:val="192"/>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Plan Category</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5"/>
              </w:rPr>
              <w:t>($) (b)</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4"/>
              </w:rPr>
              <w:t>(#) (c)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8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Equity compensation plans approved by security holders</w:t>
            </w: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ind w:left="880"/>
              <w:spacing w:after="0" w:line="167" w:lineRule="exact"/>
              <w:rPr>
                <w:sz w:val="20"/>
                <w:szCs w:val="20"/>
                <w:color w:val="auto"/>
              </w:rPr>
            </w:pPr>
            <w:r>
              <w:rPr>
                <w:rFonts w:ascii="Times New Roman" w:cs="Times New Roman" w:eastAsia="Times New Roman" w:hAnsi="Times New Roman"/>
                <w:sz w:val="15"/>
                <w:szCs w:val="15"/>
                <w:color w:val="auto"/>
              </w:rPr>
              <w:t>6,903,142(1)</w:t>
            </w:r>
          </w:p>
        </w:tc>
        <w:tc>
          <w:tcPr>
            <w:tcW w:w="20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9.00</w:t>
            </w:r>
          </w:p>
        </w:tc>
        <w:tc>
          <w:tcPr>
            <w:tcW w:w="16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2,689,057(2)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5"/>
                <w:szCs w:val="15"/>
                <w:color w:val="auto"/>
                <w:w w:val="99"/>
              </w:rPr>
              <w:t>Equity compensation plans not approved by security holders(3)</w:t>
            </w:r>
          </w:p>
        </w:tc>
        <w:tc>
          <w:tcPr>
            <w:tcW w:w="2380" w:type="dxa"/>
            <w:vAlign w:val="bottom"/>
            <w:gridSpan w:val="2"/>
          </w:tcPr>
          <w:p>
            <w:pPr>
              <w:spacing w:after="0"/>
              <w:rPr>
                <w:sz w:val="15"/>
                <w:szCs w:val="15"/>
                <w:color w:val="auto"/>
              </w:rPr>
            </w:pPr>
          </w:p>
        </w:tc>
        <w:tc>
          <w:tcPr>
            <w:tcW w:w="1460" w:type="dxa"/>
            <w:vAlign w:val="bottom"/>
          </w:tcPr>
          <w:p>
            <w:pPr>
              <w:ind w:left="880"/>
              <w:spacing w:after="0"/>
              <w:rPr>
                <w:sz w:val="20"/>
                <w:szCs w:val="20"/>
                <w:color w:val="auto"/>
              </w:rPr>
            </w:pPr>
            <w:r>
              <w:rPr>
                <w:rFonts w:ascii="Times New Roman" w:cs="Times New Roman" w:eastAsia="Times New Roman" w:hAnsi="Times New Roman"/>
                <w:sz w:val="15"/>
                <w:szCs w:val="15"/>
                <w:color w:val="auto"/>
                <w:w w:val="93"/>
              </w:rPr>
              <w:t>1,120,000</w:t>
            </w:r>
          </w:p>
        </w:tc>
        <w:tc>
          <w:tcPr>
            <w:tcW w:w="2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4.68</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380,000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w:t>
            </w:r>
          </w:p>
        </w:tc>
        <w:tc>
          <w:tcPr>
            <w:tcW w:w="2380" w:type="dxa"/>
            <w:vAlign w:val="bottom"/>
            <w:tcBorders>
              <w:bottom w:val="single" w:sz="8" w:color="CCEEFF"/>
            </w:tcBorders>
            <w:gridSpan w:val="2"/>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ind w:left="880"/>
              <w:spacing w:after="0" w:line="167" w:lineRule="exact"/>
              <w:rPr>
                <w:sz w:val="20"/>
                <w:szCs w:val="20"/>
                <w:color w:val="auto"/>
              </w:rPr>
            </w:pPr>
            <w:r>
              <w:rPr>
                <w:rFonts w:ascii="Times New Roman" w:cs="Times New Roman" w:eastAsia="Times New Roman" w:hAnsi="Times New Roman"/>
                <w:sz w:val="15"/>
                <w:szCs w:val="15"/>
                <w:color w:val="auto"/>
                <w:w w:val="93"/>
              </w:rPr>
              <w:t>8,023,142</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3,069,057</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80" w:hanging="272"/>
        <w:spacing w:after="0" w:line="254" w:lineRule="auto"/>
        <w:tabs>
          <w:tab w:leader="none" w:pos="2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options to purchase a total of 5,182 shares of our common stock under the 2007 Plan and (ii) options to purchase a total of 6,897,960 shares of common stock under the 2014 Plan.</w:t>
      </w:r>
    </w:p>
    <w:p>
      <w:pPr>
        <w:jc w:val="both"/>
        <w:ind w:left="280" w:hanging="272"/>
        <w:spacing w:after="0" w:line="261" w:lineRule="auto"/>
        <w:tabs>
          <w:tab w:leader="none" w:pos="2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1,348,885 shares of common stock reserved for issuance under the 2014 Plan and 1,340,172 shares of common stock reserved for issuance under the 2021 ESPP. The number of shares of our common stock reserved for issuance under the 2014 Plan will automatically increase each year on January 1 from January 1, 2016, continuing through January 1, 2031, by (i) 4.0% of the total number of shares of our common stock outstanding on December 31 of the preceding calendar year, or (ii) a lesser number of shares determined by our Board. Pursuant to the terms of the 2014 Plan, an additional 1,661,386 shares of common stock were added to the number of shares reserved for issuance under the 2014 Plan, effective January 1, 2024.</w:t>
      </w:r>
    </w:p>
    <w:p>
      <w:pPr>
        <w:ind w:left="280" w:hanging="272"/>
        <w:spacing w:after="0" w:line="247" w:lineRule="auto"/>
        <w:tabs>
          <w:tab w:leader="none" w:pos="2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the 2023 Plan. For a summary of the 2023 Plan, see Note K to our audited consolidated financial statements included in our Annual Report on Form 10-K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-892810</wp:posOffset>
            </wp:positionV>
            <wp:extent cx="7158355"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58355"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22288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b w:val="1"/>
          <w:bCs w:val="1"/>
          <w:color w:val="auto"/>
        </w:rPr>
        <w:t>TRANSACTIONS WITH RELATED PERSONS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RELATED-PERSON TRANSACTIONS POLICY AND PROCEDURES</w:t>
      </w:r>
    </w:p>
    <w:p>
      <w:pPr>
        <w:spacing w:after="0" w:line="180" w:lineRule="exact"/>
        <w:rPr>
          <w:sz w:val="20"/>
          <w:szCs w:val="20"/>
          <w:color w:val="auto"/>
        </w:rPr>
      </w:pPr>
    </w:p>
    <w:p>
      <w:pPr>
        <w:jc w:val="both"/>
        <w:ind w:firstLine="132"/>
        <w:spacing w:after="0" w:line="250" w:lineRule="auto"/>
        <w:rPr>
          <w:sz w:val="20"/>
          <w:szCs w:val="20"/>
          <w:color w:val="auto"/>
        </w:rPr>
      </w:pPr>
      <w:r>
        <w:rPr>
          <w:rFonts w:ascii="Times New Roman" w:cs="Times New Roman" w:eastAsia="Times New Roman" w:hAnsi="Times New Roman"/>
          <w:sz w:val="15"/>
          <w:szCs w:val="15"/>
          <w:color w:val="auto"/>
        </w:rPr>
        <w:t>We have a related person transaction policy in writing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53"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will take into account the relevant available facts and circumstances including, but not limited to:</w:t>
      </w:r>
    </w:p>
    <w:p>
      <w:pPr>
        <w:spacing w:after="0" w:line="162" w:lineRule="exact"/>
        <w:rPr>
          <w:sz w:val="20"/>
          <w:szCs w:val="20"/>
          <w:color w:val="auto"/>
        </w:rPr>
      </w:pPr>
    </w:p>
    <w:p>
      <w:pPr>
        <w:ind w:left="280" w:hanging="141"/>
        <w:spacing w:after="0"/>
        <w:tabs>
          <w:tab w:leader="none" w:pos="2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costs and benefits to us;</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on a director’s independence in the event that the related person is a director, immediate family member of a director or an entity with which a director is affiliated;</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other sources for comparable services or products; and</w:t>
      </w:r>
    </w:p>
    <w:p>
      <w:pPr>
        <w:spacing w:after="0" w:line="199" w:lineRule="exact"/>
        <w:rPr>
          <w:rFonts w:ascii="Times New Roman" w:cs="Times New Roman" w:eastAsia="Times New Roman" w:hAnsi="Times New Roman"/>
          <w:sz w:val="15"/>
          <w:szCs w:val="15"/>
          <w:color w:val="auto"/>
        </w:rPr>
      </w:pPr>
    </w:p>
    <w:p>
      <w:pPr>
        <w:ind w:left="280" w:hanging="141"/>
        <w:spacing w:after="0"/>
        <w:tabs>
          <w:tab w:leader="none" w:pos="2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available to or from, as the case may be, unrelated third parties or to or from employees generally.</w:t>
      </w:r>
    </w:p>
    <w:p>
      <w:pPr>
        <w:spacing w:after="0" w:line="20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Transactions</w:t>
      </w:r>
    </w:p>
    <w:p>
      <w:pPr>
        <w:spacing w:after="0" w:line="180"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The following are certain transactions, arrangements and relationships with persons who are, or were during the period beginning January 1, 2022, our directors, executive officers or stockholders owning 5% or more of our outstanding common shares.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Indemnification Agreements</w:t>
      </w:r>
    </w:p>
    <w:p>
      <w:pPr>
        <w:spacing w:after="0" w:line="180" w:lineRule="exact"/>
        <w:rPr>
          <w:sz w:val="20"/>
          <w:szCs w:val="20"/>
          <w:color w:val="auto"/>
        </w:rPr>
      </w:pPr>
    </w:p>
    <w:p>
      <w:pPr>
        <w:jc w:val="both"/>
        <w:ind w:firstLine="132"/>
        <w:spacing w:after="0" w:line="256" w:lineRule="auto"/>
        <w:rPr>
          <w:sz w:val="20"/>
          <w:szCs w:val="20"/>
          <w:color w:val="auto"/>
        </w:rPr>
      </w:pPr>
      <w:r>
        <w:rPr>
          <w:rFonts w:ascii="Times New Roman" w:cs="Times New Roman" w:eastAsia="Times New Roman" w:hAnsi="Times New Roman"/>
          <w:sz w:val="15"/>
          <w:szCs w:val="15"/>
          <w:color w:val="auto"/>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the Board.</w:t>
      </w:r>
    </w:p>
    <w:p>
      <w:pPr>
        <w:spacing w:after="0" w:line="149" w:lineRule="exact"/>
        <w:rPr>
          <w:sz w:val="20"/>
          <w:szCs w:val="20"/>
          <w:color w:val="auto"/>
        </w:rPr>
      </w:pPr>
    </w:p>
    <w:p>
      <w:pPr>
        <w:jc w:val="both"/>
        <w:ind w:firstLine="132"/>
        <w:spacing w:after="0" w:line="268" w:lineRule="auto"/>
        <w:rPr>
          <w:sz w:val="20"/>
          <w:szCs w:val="20"/>
          <w:color w:val="auto"/>
        </w:rPr>
      </w:pPr>
      <w:r>
        <w:rPr>
          <w:rFonts w:ascii="Times New Roman" w:cs="Times New Roman" w:eastAsia="Times New Roman" w:hAnsi="Times New Roman"/>
          <w:sz w:val="15"/>
          <w:szCs w:val="15"/>
          <w:color w:val="auto"/>
        </w:rPr>
        <w:t>In addition, we have entered into indemnification agreements with our directors and executive officers. For more information regarding these agreements, see “Executive Compensation— Limitations on Liability and Indemnification Matters.”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HOUSEHOLDING OF PROXY MATERIALS</w:t>
      </w:r>
    </w:p>
    <w:p>
      <w:pPr>
        <w:spacing w:after="0" w:line="180" w:lineRule="exact"/>
        <w:rPr>
          <w:sz w:val="20"/>
          <w:szCs w:val="20"/>
          <w:color w:val="auto"/>
        </w:rPr>
      </w:pPr>
    </w:p>
    <w:p>
      <w:pPr>
        <w:jc w:val="both"/>
        <w:ind w:firstLine="132"/>
        <w:spacing w:after="0" w:line="283" w:lineRule="auto"/>
        <w:rPr>
          <w:sz w:val="20"/>
          <w:szCs w:val="20"/>
          <w:color w:val="auto"/>
        </w:rPr>
      </w:pPr>
      <w:r>
        <w:rPr>
          <w:rFonts w:ascii="Times New Roman" w:cs="Times New Roman" w:eastAsia="Times New Roman" w:hAnsi="Times New Roman"/>
          <w:sz w:val="14"/>
          <w:szCs w:val="14"/>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32" w:lineRule="exact"/>
        <w:rPr>
          <w:sz w:val="20"/>
          <w:szCs w:val="20"/>
          <w:color w:val="auto"/>
        </w:rPr>
      </w:pPr>
    </w:p>
    <w:p>
      <w:pPr>
        <w:jc w:val="both"/>
        <w:ind w:firstLine="132"/>
        <w:spacing w:after="0" w:line="246" w:lineRule="auto"/>
        <w:rPr>
          <w:sz w:val="20"/>
          <w:szCs w:val="20"/>
          <w:color w:val="auto"/>
        </w:rPr>
      </w:pPr>
      <w:r>
        <w:rPr>
          <w:rFonts w:ascii="Times New Roman" w:cs="Times New Roman" w:eastAsia="Times New Roman" w:hAnsi="Times New Roman"/>
          <w:sz w:val="15"/>
          <w:szCs w:val="15"/>
          <w:color w:val="auto"/>
        </w:rPr>
        <w:t>This year, we and a number of brokers with account holders who are our stockholders will be “householding” our proxy materials. A single Notice of Internet Availability of Proxy Materials, or other Annual Meeting materials, as applicable, will be delivered to multiple stockholders sharing an address unless contrary instructions have been received from one or more of the affected stockholders. Once you have received notice from us or your broker that we or they will be “householding” communications to your address, “householding” will continue until you are notified otherwise or until you revoke your consent. We agree to deliver promptly, upon written or oral request, a separate copy of the proxy materials, as requested, to any stockholder at the shared address to which a single copy of those documents was delivered. If, at any time, you no longer wish to participate in “householding” and would prefer to receive a separate Notice of Internet Availability of Proxy Materials or other Annual Meeting materials, please notify your broker or Zevra. Direct your written request to Zevra Therapeutics, Inc., 1180 Celebration Blvd. Suite 103, Celebration, FL 34747, Attn: Corporate Secretary or contact Timothy Sangiovanni, Senior Vice President, Corporate Controller, at (321) 939-3416. Stockholders who currently receive multiple copies of the Notices of Internet Availability of Proxy Materials or other Annual Meeting materials at their addresses and would like to request “householding” of their communications should contact their brokers.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OTHER MATTERS</w:t>
      </w:r>
    </w:p>
    <w:p>
      <w:pPr>
        <w:spacing w:after="0" w:line="180" w:lineRule="exact"/>
        <w:rPr>
          <w:sz w:val="20"/>
          <w:szCs w:val="20"/>
          <w:color w:val="auto"/>
        </w:rPr>
      </w:pPr>
    </w:p>
    <w:p>
      <w:pPr>
        <w:ind w:firstLine="132"/>
        <w:spacing w:after="0" w:line="268" w:lineRule="auto"/>
        <w:rPr>
          <w:sz w:val="20"/>
          <w:szCs w:val="20"/>
          <w:color w:val="auto"/>
        </w:rPr>
      </w:pPr>
      <w:r>
        <w:rPr>
          <w:rFonts w:ascii="Times New Roman" w:cs="Times New Roman" w:eastAsia="Times New Roman" w:hAnsi="Times New Roman"/>
          <w:sz w:val="15"/>
          <w:szCs w:val="15"/>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10795</wp:posOffset>
            </wp:positionV>
            <wp:extent cx="178752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7525" cy="698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5"/>
          <w:szCs w:val="15"/>
          <w:color w:val="auto"/>
        </w:rPr>
        <w:t>R. LaDuane Clifton, MBA, CPA</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Chief Financial Officer, Secretary and</w:t>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Treasurer</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April 3, 2024</w:t>
      </w:r>
    </w:p>
    <w:p>
      <w:pPr>
        <w:spacing w:after="0" w:line="176" w:lineRule="exact"/>
        <w:rPr>
          <w:sz w:val="20"/>
          <w:szCs w:val="20"/>
          <w:color w:val="auto"/>
        </w:rPr>
      </w:pPr>
    </w:p>
    <w:p>
      <w:pPr>
        <w:ind w:firstLine="132"/>
        <w:spacing w:after="0" w:line="271" w:lineRule="auto"/>
        <w:rPr>
          <w:sz w:val="20"/>
          <w:szCs w:val="20"/>
          <w:color w:val="auto"/>
        </w:rPr>
      </w:pPr>
      <w:r>
        <w:rPr>
          <w:rFonts w:ascii="Times New Roman" w:cs="Times New Roman" w:eastAsia="Times New Roman" w:hAnsi="Times New Roman"/>
          <w:sz w:val="15"/>
          <w:szCs w:val="15"/>
          <w:b w:val="1"/>
          <w:bCs w:val="1"/>
          <w:color w:val="auto"/>
        </w:rPr>
        <w:t>A copy of the Company</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 Annual Report on Form 10-K for the fiscal year ended December 31, 2023, is available without charge upon written request to Zevra Therapeutics, Inc., 1180 Celebration Blvd., Suite 103, Celebration, FL, 34747 Attn: Corporate Secretary.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58355"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ANNEX A</w:t>
      </w:r>
    </w:p>
    <w:p>
      <w:pPr>
        <w:spacing w:after="0" w:line="180"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5"/>
          <w:szCs w:val="15"/>
          <w:u w:val="single" w:color="auto"/>
          <w:color w:val="auto"/>
        </w:rPr>
        <w:t>AMENDED AND RESTATED 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5835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Z</w:t>
      </w:r>
      <w:r>
        <w:rPr>
          <w:rFonts w:ascii="Times New Roman" w:cs="Times New Roman" w:eastAsia="Times New Roman" w:hAnsi="Times New Roman"/>
          <w:sz w:val="9"/>
          <w:szCs w:val="9"/>
          <w:b w:val="1"/>
          <w:bCs w:val="1"/>
          <w:color w:val="auto"/>
        </w:rPr>
        <w:t>evra</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9"/>
          <w:szCs w:val="9"/>
          <w:b w:val="1"/>
          <w:bCs w:val="1"/>
          <w:color w:val="auto"/>
        </w:rPr>
        <w:t>herapeutics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9"/>
          <w:szCs w:val="9"/>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9"/>
          <w:szCs w:val="9"/>
          <w:b w:val="1"/>
          <w:bCs w:val="1"/>
          <w:color w:val="auto"/>
        </w:rPr>
        <w:t>estated</w:t>
      </w:r>
      <w:r>
        <w:rPr>
          <w:rFonts w:ascii="Times New Roman" w:cs="Times New Roman" w:eastAsia="Times New Roman" w:hAnsi="Times New Roman"/>
          <w:sz w:val="15"/>
          <w:szCs w:val="15"/>
          <w:b w:val="1"/>
          <w:bCs w:val="1"/>
          <w:color w:val="auto"/>
        </w:rPr>
        <w:t xml:space="preserve"> 2014 E</w:t>
      </w:r>
      <w:r>
        <w:rPr>
          <w:rFonts w:ascii="Times New Roman" w:cs="Times New Roman" w:eastAsia="Times New Roman" w:hAnsi="Times New Roman"/>
          <w:sz w:val="9"/>
          <w:szCs w:val="9"/>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9"/>
          <w:szCs w:val="9"/>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9"/>
          <w:szCs w:val="9"/>
          <w:b w:val="1"/>
          <w:bCs w:val="1"/>
          <w:color w:val="auto"/>
        </w:rPr>
        <w:t>lan</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9"/>
          <w:szCs w:val="9"/>
          <w:b w:val="1"/>
          <w:bCs w:val="1"/>
          <w:color w:val="auto"/>
        </w:rPr>
        <w:t>riginally</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9"/>
          <w:szCs w:val="9"/>
          <w:b w:val="1"/>
          <w:bCs w:val="1"/>
          <w:color w:val="auto"/>
        </w:rPr>
        <w:t>dopted by the</w:t>
      </w:r>
      <w:r>
        <w:rPr>
          <w:rFonts w:ascii="Times New Roman" w:cs="Times New Roman" w:eastAsia="Times New Roman" w:hAnsi="Times New Roman"/>
          <w:sz w:val="15"/>
          <w:szCs w:val="15"/>
          <w:b w:val="1"/>
          <w:bCs w:val="1"/>
          <w:color w:val="auto"/>
        </w:rPr>
        <w:t xml:space="preserve"> B</w:t>
      </w:r>
      <w:r>
        <w:rPr>
          <w:rFonts w:ascii="Times New Roman" w:cs="Times New Roman" w:eastAsia="Times New Roman" w:hAnsi="Times New Roman"/>
          <w:sz w:val="9"/>
          <w:szCs w:val="9"/>
          <w:b w:val="1"/>
          <w:bCs w:val="1"/>
          <w:color w:val="auto"/>
        </w:rPr>
        <w:t>oard of</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9"/>
          <w:szCs w:val="9"/>
          <w:b w:val="1"/>
          <w:bCs w:val="1"/>
          <w:color w:val="auto"/>
        </w:rPr>
        <w:t>irectors</w:t>
      </w:r>
      <w:r>
        <w:rPr>
          <w:rFonts w:ascii="Times New Roman" w:cs="Times New Roman" w:eastAsia="Times New Roman" w:hAnsi="Times New Roman"/>
          <w:sz w:val="15"/>
          <w:szCs w:val="15"/>
          <w:b w:val="1"/>
          <w:bCs w:val="1"/>
          <w:color w:val="auto"/>
        </w:rPr>
        <w:t>: N</w:t>
      </w:r>
      <w:r>
        <w:rPr>
          <w:rFonts w:ascii="Times New Roman" w:cs="Times New Roman" w:eastAsia="Times New Roman" w:hAnsi="Times New Roman"/>
          <w:sz w:val="9"/>
          <w:szCs w:val="9"/>
          <w:b w:val="1"/>
          <w:bCs w:val="1"/>
          <w:color w:val="auto"/>
        </w:rPr>
        <w:t>ovember</w:t>
      </w:r>
      <w:r>
        <w:rPr>
          <w:rFonts w:ascii="Times New Roman" w:cs="Times New Roman" w:eastAsia="Times New Roman" w:hAnsi="Times New Roman"/>
          <w:sz w:val="15"/>
          <w:szCs w:val="15"/>
          <w:b w:val="1"/>
          <w:bCs w:val="1"/>
          <w:color w:val="auto"/>
        </w:rPr>
        <w:t xml:space="preserve"> 7, 2014</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9"/>
          <w:szCs w:val="9"/>
          <w:b w:val="1"/>
          <w:bCs w:val="1"/>
          <w:color w:val="auto"/>
        </w:rPr>
        <w:t>riginally</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9"/>
          <w:szCs w:val="9"/>
          <w:b w:val="1"/>
          <w:bCs w:val="1"/>
          <w:color w:val="auto"/>
        </w:rPr>
        <w:t>pproved by the</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9"/>
          <w:szCs w:val="9"/>
          <w:b w:val="1"/>
          <w:bCs w:val="1"/>
          <w:color w:val="auto"/>
        </w:rPr>
        <w:t>tockholders</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9"/>
          <w:szCs w:val="9"/>
          <w:b w:val="1"/>
          <w:bCs w:val="1"/>
          <w:color w:val="auto"/>
        </w:rPr>
        <w:t>pril</w:t>
      </w:r>
      <w:r>
        <w:rPr>
          <w:rFonts w:ascii="Times New Roman" w:cs="Times New Roman" w:eastAsia="Times New Roman" w:hAnsi="Times New Roman"/>
          <w:sz w:val="15"/>
          <w:szCs w:val="15"/>
          <w:b w:val="1"/>
          <w:bCs w:val="1"/>
          <w:color w:val="auto"/>
        </w:rPr>
        <w:t xml:space="preserve"> 1, 2015</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9"/>
          <w:szCs w:val="9"/>
          <w:b w:val="1"/>
          <w:bCs w:val="1"/>
          <w:color w:val="auto"/>
        </w:rPr>
        <w:t>riginal</w:t>
      </w:r>
      <w:r>
        <w:rPr>
          <w:rFonts w:ascii="Times New Roman" w:cs="Times New Roman" w:eastAsia="Times New Roman" w:hAnsi="Times New Roman"/>
          <w:sz w:val="15"/>
          <w:szCs w:val="15"/>
          <w:b w:val="1"/>
          <w:bCs w:val="1"/>
          <w:color w:val="auto"/>
        </w:rPr>
        <w:t xml:space="preserve"> E</w:t>
      </w:r>
      <w:r>
        <w:rPr>
          <w:rFonts w:ascii="Times New Roman" w:cs="Times New Roman" w:eastAsia="Times New Roman" w:hAnsi="Times New Roman"/>
          <w:sz w:val="9"/>
          <w:szCs w:val="9"/>
          <w:b w:val="1"/>
          <w:bCs w:val="1"/>
          <w:color w:val="auto"/>
        </w:rPr>
        <w:t>ffective</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9"/>
          <w:szCs w:val="9"/>
          <w:b w:val="1"/>
          <w:bCs w:val="1"/>
          <w:color w:val="auto"/>
        </w:rPr>
        <w:t>ate</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9"/>
          <w:szCs w:val="9"/>
          <w:b w:val="1"/>
          <w:bCs w:val="1"/>
          <w:color w:val="auto"/>
        </w:rPr>
        <w:t>pril</w:t>
      </w:r>
      <w:r>
        <w:rPr>
          <w:rFonts w:ascii="Times New Roman" w:cs="Times New Roman" w:eastAsia="Times New Roman" w:hAnsi="Times New Roman"/>
          <w:sz w:val="15"/>
          <w:szCs w:val="15"/>
          <w:b w:val="1"/>
          <w:bCs w:val="1"/>
          <w:color w:val="auto"/>
        </w:rPr>
        <w:t xml:space="preserve"> 15, 2015</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9"/>
          <w:szCs w:val="9"/>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9"/>
          <w:szCs w:val="9"/>
          <w:b w:val="1"/>
          <w:bCs w:val="1"/>
          <w:color w:val="auto"/>
        </w:rPr>
        <w:t>estated by the</w:t>
      </w:r>
      <w:r>
        <w:rPr>
          <w:rFonts w:ascii="Times New Roman" w:cs="Times New Roman" w:eastAsia="Times New Roman" w:hAnsi="Times New Roman"/>
          <w:sz w:val="15"/>
          <w:szCs w:val="15"/>
          <w:b w:val="1"/>
          <w:bCs w:val="1"/>
          <w:color w:val="auto"/>
        </w:rPr>
        <w:t xml:space="preserve"> B</w:t>
      </w:r>
      <w:r>
        <w:rPr>
          <w:rFonts w:ascii="Times New Roman" w:cs="Times New Roman" w:eastAsia="Times New Roman" w:hAnsi="Times New Roman"/>
          <w:sz w:val="9"/>
          <w:szCs w:val="9"/>
          <w:b w:val="1"/>
          <w:bCs w:val="1"/>
          <w:color w:val="auto"/>
        </w:rPr>
        <w:t>oard of</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9"/>
          <w:szCs w:val="9"/>
          <w:b w:val="1"/>
          <w:bCs w:val="1"/>
          <w:color w:val="auto"/>
        </w:rPr>
        <w:t>irectors</w:t>
      </w:r>
      <w:r>
        <w:rPr>
          <w:rFonts w:ascii="Times New Roman" w:cs="Times New Roman" w:eastAsia="Times New Roman" w:hAnsi="Times New Roman"/>
          <w:sz w:val="15"/>
          <w:szCs w:val="15"/>
          <w:b w:val="1"/>
          <w:bCs w:val="1"/>
          <w:color w:val="auto"/>
        </w:rPr>
        <w:t>: F</w:t>
      </w:r>
      <w:r>
        <w:rPr>
          <w:rFonts w:ascii="Times New Roman" w:cs="Times New Roman" w:eastAsia="Times New Roman" w:hAnsi="Times New Roman"/>
          <w:sz w:val="9"/>
          <w:szCs w:val="9"/>
          <w:b w:val="1"/>
          <w:bCs w:val="1"/>
          <w:color w:val="auto"/>
        </w:rPr>
        <w:t>ebruary</w:t>
      </w:r>
      <w:r>
        <w:rPr>
          <w:rFonts w:ascii="Times New Roman" w:cs="Times New Roman" w:eastAsia="Times New Roman" w:hAnsi="Times New Roman"/>
          <w:sz w:val="15"/>
          <w:szCs w:val="15"/>
          <w:b w:val="1"/>
          <w:bCs w:val="1"/>
          <w:color w:val="auto"/>
        </w:rPr>
        <w:t xml:space="preserve"> 22, 2024</w:t>
      </w:r>
    </w:p>
    <w:p>
      <w:pPr>
        <w:spacing w:after="0" w:line="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9"/>
          <w:szCs w:val="9"/>
          <w:b w:val="1"/>
          <w:bCs w:val="1"/>
          <w:color w:val="auto"/>
        </w:rPr>
        <w:t>pproved by the</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9"/>
          <w:szCs w:val="9"/>
          <w:b w:val="1"/>
          <w:bCs w:val="1"/>
          <w:color w:val="auto"/>
        </w:rPr>
        <w:t>tockholders</w:t>
      </w:r>
      <w:r>
        <w:rPr>
          <w:rFonts w:ascii="Times New Roman" w:cs="Times New Roman" w:eastAsia="Times New Roman" w:hAnsi="Times New Roman"/>
          <w:sz w:val="15"/>
          <w:szCs w:val="15"/>
          <w:b w:val="1"/>
          <w:bCs w:val="1"/>
          <w:color w:val="auto"/>
        </w:rPr>
        <w:t>: [_____], 2024</w:t>
      </w:r>
    </w:p>
    <w:p>
      <w:pPr>
        <w:spacing w:after="0" w:line="161" w:lineRule="exact"/>
        <w:rPr>
          <w:sz w:val="20"/>
          <w:szCs w:val="20"/>
          <w:color w:val="auto"/>
        </w:rPr>
      </w:pPr>
    </w:p>
    <w:p>
      <w:pPr>
        <w:ind w:left="280" w:hanging="156"/>
        <w:spacing w:after="0"/>
        <w:tabs>
          <w:tab w:leader="none" w:pos="28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General.</w:t>
      </w:r>
    </w:p>
    <w:p>
      <w:pPr>
        <w:spacing w:after="0" w:line="178" w:lineRule="exact"/>
        <w:rPr>
          <w:rFonts w:ascii="Times New Roman" w:cs="Times New Roman" w:eastAsia="Times New Roman" w:hAnsi="Times New Roman"/>
          <w:sz w:val="15"/>
          <w:szCs w:val="15"/>
          <w:b w:val="1"/>
          <w:bCs w:val="1"/>
          <w:color w:val="auto"/>
        </w:rPr>
      </w:pPr>
    </w:p>
    <w:p>
      <w:pPr>
        <w:ind w:left="860" w:hanging="210"/>
        <w:spacing w:after="0"/>
        <w:tabs>
          <w:tab w:leader="none" w:pos="860" w:val="left"/>
        </w:tabs>
        <w:numPr>
          <w:ilvl w:val="1"/>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Eligible Award Recipients. </w:t>
      </w:r>
      <w:r>
        <w:rPr>
          <w:rFonts w:ascii="Times New Roman" w:cs="Times New Roman" w:eastAsia="Times New Roman" w:hAnsi="Times New Roman"/>
          <w:sz w:val="15"/>
          <w:szCs w:val="15"/>
          <w:color w:val="auto"/>
        </w:rPr>
        <w:t>Employees, Directors and Consultants are eligible to receive Awards.</w:t>
      </w:r>
    </w:p>
    <w:p>
      <w:pPr>
        <w:spacing w:after="0" w:line="178" w:lineRule="exact"/>
        <w:rPr>
          <w:rFonts w:ascii="Times New Roman" w:cs="Times New Roman" w:eastAsia="Times New Roman" w:hAnsi="Times New Roman"/>
          <w:sz w:val="15"/>
          <w:szCs w:val="15"/>
          <w:b w:val="1"/>
          <w:bCs w:val="1"/>
          <w:color w:val="auto"/>
        </w:rPr>
      </w:pPr>
    </w:p>
    <w:p>
      <w:pPr>
        <w:ind w:left="120" w:firstLine="530"/>
        <w:spacing w:after="0" w:line="271" w:lineRule="auto"/>
        <w:tabs>
          <w:tab w:leader="none" w:pos="866" w:val="left"/>
        </w:tabs>
        <w:numPr>
          <w:ilvl w:val="1"/>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Available Awards. </w:t>
      </w:r>
      <w:r>
        <w:rPr>
          <w:rFonts w:ascii="Times New Roman" w:cs="Times New Roman" w:eastAsia="Times New Roman" w:hAnsi="Times New Roman"/>
          <w:sz w:val="15"/>
          <w:szCs w:val="15"/>
          <w:color w:val="auto"/>
        </w:rPr>
        <w:t>The Plan provides for the grant of the following Awards: (i) Incentive Stock Options, (ii) Nonstatutory Stock Options, (iii) Stock Appreciation Rights (iv)</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Restricted Stock Awards, (v) Restricted Stock Unit Awards, (vi) Performance Stock Awards, (vii) Performance Cash Awards, and (viii) Other Stock Awards.</w:t>
      </w:r>
    </w:p>
    <w:p>
      <w:pPr>
        <w:spacing w:after="0" w:line="136" w:lineRule="exact"/>
        <w:rPr>
          <w:rFonts w:ascii="Times New Roman" w:cs="Times New Roman" w:eastAsia="Times New Roman" w:hAnsi="Times New Roman"/>
          <w:sz w:val="15"/>
          <w:szCs w:val="15"/>
          <w:b w:val="1"/>
          <w:bCs w:val="1"/>
          <w:color w:val="auto"/>
        </w:rPr>
      </w:pPr>
    </w:p>
    <w:p>
      <w:pPr>
        <w:jc w:val="both"/>
        <w:ind w:left="120" w:firstLine="530"/>
        <w:spacing w:after="0" w:line="250" w:lineRule="auto"/>
        <w:tabs>
          <w:tab w:leader="none" w:pos="855" w:val="left"/>
        </w:tabs>
        <w:numPr>
          <w:ilvl w:val="1"/>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Purpose. </w:t>
      </w:r>
      <w:r>
        <w:rPr>
          <w:rFonts w:ascii="Times New Roman" w:cs="Times New Roman" w:eastAsia="Times New Roman" w:hAnsi="Times New Roman"/>
          <w:sz w:val="15"/>
          <w:szCs w:val="15"/>
          <w:color w:val="auto"/>
        </w:rPr>
        <w:t>This Plan, through the granting of Awards, is intended to help the Company secure and retain the services of eligible award recipients, provide incentives for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persons to exert maximum efforts for the success of the Company and any Affiliate, and provide a means by which the eligible recipients may benefit from increases in value of the Common Stock. This Plan constitutes an amendment and restatement of the Company’s Amended and Restated 2014 Equity Incentive Plan, as it was amended and restated effective April 29, 2021 (the “</w:t>
      </w:r>
      <w:r>
        <w:rPr>
          <w:rFonts w:ascii="Times New Roman" w:cs="Times New Roman" w:eastAsia="Times New Roman" w:hAnsi="Times New Roman"/>
          <w:sz w:val="15"/>
          <w:szCs w:val="15"/>
          <w:b w:val="1"/>
          <w:bCs w:val="1"/>
          <w:i w:val="1"/>
          <w:iCs w:val="1"/>
          <w:color w:val="auto"/>
        </w:rPr>
        <w:t>Existing Plan</w:t>
      </w:r>
      <w:r>
        <w:rPr>
          <w:rFonts w:ascii="Times New Roman" w:cs="Times New Roman" w:eastAsia="Times New Roman" w:hAnsi="Times New Roman"/>
          <w:sz w:val="15"/>
          <w:szCs w:val="15"/>
          <w:color w:val="auto"/>
        </w:rPr>
        <w:t>”). In the event that the Company’s stockholders do not approve this Plan, Awards granted under the Existing Plan will continue to be subject to the terms and conditions of the Existing Plan as in effect immediately prior to the date this Plan is approved by the Board.</w:t>
      </w:r>
    </w:p>
    <w:p>
      <w:pPr>
        <w:spacing w:after="0" w:line="153" w:lineRule="exact"/>
        <w:rPr>
          <w:rFonts w:ascii="Times New Roman" w:cs="Times New Roman" w:eastAsia="Times New Roman" w:hAnsi="Times New Roman"/>
          <w:sz w:val="15"/>
          <w:szCs w:val="15"/>
          <w:b w:val="1"/>
          <w:bCs w:val="1"/>
          <w:color w:val="auto"/>
        </w:rPr>
      </w:pPr>
    </w:p>
    <w:p>
      <w:pPr>
        <w:ind w:left="280" w:hanging="156"/>
        <w:spacing w:after="0"/>
        <w:tabs>
          <w:tab w:leader="none" w:pos="28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Administration.</w:t>
      </w:r>
    </w:p>
    <w:p>
      <w:pPr>
        <w:spacing w:after="0" w:line="178" w:lineRule="exact"/>
        <w:rPr>
          <w:rFonts w:ascii="Times New Roman" w:cs="Times New Roman" w:eastAsia="Times New Roman" w:hAnsi="Times New Roman"/>
          <w:sz w:val="15"/>
          <w:szCs w:val="15"/>
          <w:b w:val="1"/>
          <w:bCs w:val="1"/>
          <w:color w:val="auto"/>
        </w:rPr>
      </w:pPr>
    </w:p>
    <w:p>
      <w:pPr>
        <w:ind w:left="860" w:hanging="210"/>
        <w:spacing w:after="0"/>
        <w:tabs>
          <w:tab w:leader="none" w:pos="860" w:val="left"/>
        </w:tabs>
        <w:numPr>
          <w:ilvl w:val="1"/>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Administration by Board. </w:t>
      </w:r>
      <w:r>
        <w:rPr>
          <w:rFonts w:ascii="Times New Roman" w:cs="Times New Roman" w:eastAsia="Times New Roman" w:hAnsi="Times New Roman"/>
          <w:sz w:val="14"/>
          <w:szCs w:val="14"/>
          <w:color w:val="auto"/>
        </w:rPr>
        <w:t>The Board will administer the Plan. The Board may delegate administration of the Plan to a Committee or Committees, as provided in Section 2(c).</w:t>
      </w:r>
    </w:p>
    <w:p>
      <w:pPr>
        <w:spacing w:after="0" w:line="189" w:lineRule="exact"/>
        <w:rPr>
          <w:rFonts w:ascii="Times New Roman" w:cs="Times New Roman" w:eastAsia="Times New Roman" w:hAnsi="Times New Roman"/>
          <w:sz w:val="14"/>
          <w:szCs w:val="14"/>
          <w:b w:val="1"/>
          <w:bCs w:val="1"/>
          <w:color w:val="auto"/>
        </w:rPr>
      </w:pPr>
    </w:p>
    <w:p>
      <w:pPr>
        <w:ind w:left="860" w:hanging="210"/>
        <w:spacing w:after="0"/>
        <w:tabs>
          <w:tab w:leader="none" w:pos="860" w:val="left"/>
        </w:tabs>
        <w:numPr>
          <w:ilvl w:val="1"/>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Powers of Board. </w:t>
      </w:r>
      <w:r>
        <w:rPr>
          <w:rFonts w:ascii="Times New Roman" w:cs="Times New Roman" w:eastAsia="Times New Roman" w:hAnsi="Times New Roman"/>
          <w:sz w:val="15"/>
          <w:szCs w:val="15"/>
          <w:color w:val="auto"/>
        </w:rPr>
        <w:t>The Board will have the power, subject to, and within the limitations of, the express provisions of the Plan:</w:t>
      </w:r>
    </w:p>
    <w:p>
      <w:pPr>
        <w:spacing w:after="0" w:line="180" w:lineRule="exact"/>
        <w:rPr>
          <w:rFonts w:ascii="Times New Roman" w:cs="Times New Roman" w:eastAsia="Times New Roman" w:hAnsi="Times New Roman"/>
          <w:sz w:val="15"/>
          <w:szCs w:val="15"/>
          <w:b w:val="1"/>
          <w:bCs w:val="1"/>
          <w:color w:val="auto"/>
        </w:rPr>
      </w:pPr>
    </w:p>
    <w:p>
      <w:pPr>
        <w:jc w:val="both"/>
        <w:ind w:left="120" w:firstLine="1056"/>
        <w:spacing w:after="0" w:line="256" w:lineRule="auto"/>
        <w:tabs>
          <w:tab w:leader="none" w:pos="1346" w:val="left"/>
        </w:tabs>
        <w:numPr>
          <w:ilvl w:val="2"/>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49" w:lineRule="exact"/>
        <w:rPr>
          <w:rFonts w:ascii="Times New Roman" w:cs="Times New Roman" w:eastAsia="Times New Roman" w:hAnsi="Times New Roman"/>
          <w:sz w:val="15"/>
          <w:szCs w:val="15"/>
          <w:b w:val="1"/>
          <w:bCs w:val="1"/>
          <w:color w:val="auto"/>
        </w:rPr>
      </w:pPr>
    </w:p>
    <w:p>
      <w:pPr>
        <w:jc w:val="both"/>
        <w:ind w:left="120" w:firstLine="1056"/>
        <w:spacing w:after="0" w:line="256" w:lineRule="auto"/>
        <w:tabs>
          <w:tab w:leader="none" w:pos="1389" w:val="left"/>
        </w:tabs>
        <w:numPr>
          <w:ilvl w:val="2"/>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49" w:lineRule="exact"/>
        <w:rPr>
          <w:rFonts w:ascii="Times New Roman" w:cs="Times New Roman" w:eastAsia="Times New Roman" w:hAnsi="Times New Roman"/>
          <w:sz w:val="15"/>
          <w:szCs w:val="15"/>
          <w:b w:val="1"/>
          <w:bCs w:val="1"/>
          <w:color w:val="auto"/>
        </w:rPr>
      </w:pPr>
    </w:p>
    <w:p>
      <w:pPr>
        <w:ind w:left="1440" w:hanging="264"/>
        <w:spacing w:after="0"/>
        <w:tabs>
          <w:tab w:leader="none" w:pos="1440" w:val="left"/>
        </w:tabs>
        <w:numPr>
          <w:ilvl w:val="2"/>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settle all controversies regarding the Plan and Awards granted under it.</w:t>
      </w:r>
    </w:p>
    <w:p>
      <w:pPr>
        <w:spacing w:after="0" w:line="178" w:lineRule="exact"/>
        <w:rPr>
          <w:rFonts w:ascii="Times New Roman" w:cs="Times New Roman" w:eastAsia="Times New Roman" w:hAnsi="Times New Roman"/>
          <w:sz w:val="15"/>
          <w:szCs w:val="15"/>
          <w:b w:val="1"/>
          <w:bCs w:val="1"/>
          <w:color w:val="auto"/>
        </w:rPr>
      </w:pPr>
    </w:p>
    <w:p>
      <w:pPr>
        <w:ind w:left="1420" w:hanging="244"/>
        <w:spacing w:after="0"/>
        <w:tabs>
          <w:tab w:leader="none" w:pos="1420" w:val="left"/>
        </w:tabs>
        <w:numPr>
          <w:ilvl w:val="2"/>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accelerate, in whole or in part, the time at which an Award may be exercised or vest (or at which cash or shares of Common Stock may be issued).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ind w:left="120" w:firstLine="1056"/>
        <w:spacing w:after="0" w:line="268" w:lineRule="auto"/>
        <w:tabs>
          <w:tab w:leader="none" w:pos="1379"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suspend or terminate the Plan at any time. Except as otherwise provided in the Plan or an Award Agreement, suspension or termination of the Plan will not materially impair a Participant’s rights under his or her then-outstanding Award without his or her written consent except as provided in subsection (viii) below.</w:t>
      </w:r>
    </w:p>
    <w:p>
      <w:pPr>
        <w:spacing w:after="0" w:line="140" w:lineRule="exact"/>
        <w:rPr>
          <w:rFonts w:ascii="Times New Roman" w:cs="Times New Roman" w:eastAsia="Times New Roman" w:hAnsi="Times New Roman"/>
          <w:sz w:val="15"/>
          <w:szCs w:val="15"/>
          <w:b w:val="1"/>
          <w:bCs w:val="1"/>
          <w:color w:val="auto"/>
        </w:rPr>
      </w:pPr>
    </w:p>
    <w:p>
      <w:pPr>
        <w:jc w:val="both"/>
        <w:ind w:left="120" w:firstLine="1056"/>
        <w:spacing w:after="0" w:line="267" w:lineRule="auto"/>
        <w:tabs>
          <w:tab w:leader="none" w:pos="1426"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amend the Plan in any respect the Board deems necessary or advisable, including, without limitation, by adopting amendments relating to Incentive Stock Options and certain nonqualified deferred compensation under Section 409A of the Code and/or to bring the Plan or Awards granted under the Plan compliant with the requirements for Incentive Stock Options or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44" w:lineRule="exact"/>
        <w:rPr>
          <w:rFonts w:ascii="Times New Roman" w:cs="Times New Roman" w:eastAsia="Times New Roman" w:hAnsi="Times New Roman"/>
          <w:sz w:val="14"/>
          <w:szCs w:val="14"/>
          <w:b w:val="1"/>
          <w:bCs w:val="1"/>
          <w:color w:val="auto"/>
        </w:rPr>
      </w:pPr>
    </w:p>
    <w:p>
      <w:pPr>
        <w:ind w:left="120" w:firstLine="1056"/>
        <w:spacing w:after="0" w:line="268" w:lineRule="auto"/>
        <w:tabs>
          <w:tab w:leader="none" w:pos="1476"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40" w:lineRule="exact"/>
        <w:rPr>
          <w:rFonts w:ascii="Times New Roman" w:cs="Times New Roman" w:eastAsia="Times New Roman" w:hAnsi="Times New Roman"/>
          <w:sz w:val="15"/>
          <w:szCs w:val="15"/>
          <w:b w:val="1"/>
          <w:bCs w:val="1"/>
          <w:color w:val="auto"/>
        </w:rPr>
      </w:pPr>
    </w:p>
    <w:p>
      <w:pPr>
        <w:jc w:val="both"/>
        <w:ind w:left="120" w:firstLine="1056"/>
        <w:spacing w:after="0" w:line="246" w:lineRule="auto"/>
        <w:tabs>
          <w:tab w:leader="none" w:pos="1514"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however, </w:t>
      </w:r>
      <w:r>
        <w:rPr>
          <w:rFonts w:ascii="Times New Roman" w:cs="Times New Roman" w:eastAsia="Times New Roman" w:hAnsi="Times New Roman"/>
          <w:sz w:val="15"/>
          <w:szCs w:val="15"/>
          <w:color w:val="auto"/>
        </w:rPr>
        <w:t>that a Participant’s rights under any Award will not be impaired by any such amendment unless (A) the Company requests the consent of the affected Participant, and (B) such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61" w:lineRule="exact"/>
        <w:rPr>
          <w:rFonts w:ascii="Times New Roman" w:cs="Times New Roman" w:eastAsia="Times New Roman" w:hAnsi="Times New Roman"/>
          <w:sz w:val="15"/>
          <w:szCs w:val="15"/>
          <w:b w:val="1"/>
          <w:bCs w:val="1"/>
          <w:color w:val="auto"/>
        </w:rPr>
      </w:pPr>
    </w:p>
    <w:p>
      <w:pPr>
        <w:ind w:left="120" w:firstLine="1056"/>
        <w:spacing w:after="0" w:line="268" w:lineRule="auto"/>
        <w:tabs>
          <w:tab w:leader="none" w:pos="1421"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40" w:lineRule="exact"/>
        <w:rPr>
          <w:rFonts w:ascii="Times New Roman" w:cs="Times New Roman" w:eastAsia="Times New Roman" w:hAnsi="Times New Roman"/>
          <w:sz w:val="15"/>
          <w:szCs w:val="15"/>
          <w:b w:val="1"/>
          <w:bCs w:val="1"/>
          <w:color w:val="auto"/>
        </w:rPr>
      </w:pPr>
    </w:p>
    <w:p>
      <w:pPr>
        <w:jc w:val="both"/>
        <w:ind w:left="120" w:firstLine="1056"/>
        <w:spacing w:after="0" w:line="256" w:lineRule="auto"/>
        <w:tabs>
          <w:tab w:leader="none" w:pos="1394"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49" w:lineRule="exact"/>
        <w:rPr>
          <w:rFonts w:ascii="Times New Roman" w:cs="Times New Roman" w:eastAsia="Times New Roman" w:hAnsi="Times New Roman"/>
          <w:sz w:val="15"/>
          <w:szCs w:val="15"/>
          <w:b w:val="1"/>
          <w:bCs w:val="1"/>
          <w:color w:val="auto"/>
        </w:rPr>
      </w:pPr>
    </w:p>
    <w:p>
      <w:pPr>
        <w:jc w:val="both"/>
        <w:ind w:left="120" w:firstLine="1056"/>
        <w:spacing w:after="0" w:line="250" w:lineRule="auto"/>
        <w:tabs>
          <w:tab w:leader="none" w:pos="1431"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award and/or (6) award of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ind w:left="840" w:hanging="190"/>
        <w:spacing w:after="0"/>
        <w:tabs>
          <w:tab w:leader="none" w:pos="840" w:val="left"/>
        </w:tabs>
        <w:numPr>
          <w:ilvl w:val="2"/>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Delegation to Committee.</w:t>
      </w:r>
    </w:p>
    <w:p>
      <w:pPr>
        <w:spacing w:after="0" w:line="178" w:lineRule="exact"/>
        <w:rPr>
          <w:rFonts w:ascii="Times New Roman" w:cs="Times New Roman" w:eastAsia="Times New Roman" w:hAnsi="Times New Roman"/>
          <w:sz w:val="15"/>
          <w:szCs w:val="15"/>
          <w:b w:val="1"/>
          <w:bCs w:val="1"/>
          <w:color w:val="auto"/>
        </w:rPr>
      </w:pPr>
    </w:p>
    <w:p>
      <w:pPr>
        <w:jc w:val="both"/>
        <w:ind w:left="120" w:firstLine="1056"/>
        <w:spacing w:after="0" w:line="249" w:lineRule="auto"/>
        <w:tabs>
          <w:tab w:leader="none" w:pos="1346" w:val="left"/>
        </w:tabs>
        <w:numPr>
          <w:ilvl w:val="3"/>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General. </w:t>
      </w:r>
      <w:r>
        <w:rPr>
          <w:rFonts w:ascii="Times New Roman" w:cs="Times New Roman" w:eastAsia="Times New Roman" w:hAnsi="Times New Roman"/>
          <w:sz w:val="15"/>
          <w:szCs w:val="15"/>
          <w:color w:val="auto"/>
        </w:rPr>
        <w:t>The Board may delegate some or all of the administration of the Plan to a Committee or Committees. If administration of the Plan is delegated to a Committee,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53" w:lineRule="exact"/>
        <w:rPr>
          <w:rFonts w:ascii="Times New Roman" w:cs="Times New Roman" w:eastAsia="Times New Roman" w:hAnsi="Times New Roman"/>
          <w:sz w:val="15"/>
          <w:szCs w:val="15"/>
          <w:b w:val="1"/>
          <w:bCs w:val="1"/>
          <w:color w:val="auto"/>
        </w:rPr>
      </w:pPr>
    </w:p>
    <w:p>
      <w:pPr>
        <w:jc w:val="both"/>
        <w:ind w:left="120" w:firstLine="1056"/>
        <w:spacing w:after="0" w:line="252" w:lineRule="auto"/>
        <w:tabs>
          <w:tab w:leader="none" w:pos="1387" w:val="left"/>
        </w:tabs>
        <w:numPr>
          <w:ilvl w:val="3"/>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Rule 16b-3 Compliance. </w:t>
      </w:r>
      <w:r>
        <w:rPr>
          <w:rFonts w:ascii="Times New Roman" w:cs="Times New Roman" w:eastAsia="Times New Roman" w:hAnsi="Times New Roman"/>
          <w:sz w:val="15"/>
          <w:szCs w:val="15"/>
          <w:color w:val="auto"/>
        </w:rPr>
        <w:t>To the extent an Award is intended to qualify for the exemption from Section 16(b) of the Exchange Act that is available under Rule 16b-3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1" w:lineRule="exact"/>
        <w:rPr>
          <w:rFonts w:ascii="Times New Roman" w:cs="Times New Roman" w:eastAsia="Times New Roman" w:hAnsi="Times New Roman"/>
          <w:sz w:val="15"/>
          <w:szCs w:val="15"/>
          <w:b w:val="1"/>
          <w:bCs w:val="1"/>
          <w:color w:val="auto"/>
        </w:rPr>
      </w:pPr>
    </w:p>
    <w:p>
      <w:pPr>
        <w:jc w:val="both"/>
        <w:ind w:left="120" w:firstLine="530"/>
        <w:spacing w:after="0" w:line="248" w:lineRule="auto"/>
        <w:tabs>
          <w:tab w:leader="none" w:pos="861" w:val="left"/>
        </w:tabs>
        <w:numPr>
          <w:ilvl w:val="2"/>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Delegation to an Officer. </w:t>
      </w:r>
      <w:r>
        <w:rPr>
          <w:rFonts w:ascii="Times New Roman" w:cs="Times New Roman" w:eastAsia="Times New Roman" w:hAnsi="Times New Roman"/>
          <w:sz w:val="15"/>
          <w:szCs w:val="15"/>
          <w:color w:val="auto"/>
        </w:rPr>
        <w:t>The Board may delegate to one (1) or more Officers the authority to do one or both of the following (i) designate Employees who are not Officers to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13(x)(iii) below.</w:t>
      </w:r>
    </w:p>
    <w:p>
      <w:pPr>
        <w:spacing w:after="0" w:line="154" w:lineRule="exact"/>
        <w:rPr>
          <w:rFonts w:ascii="Times New Roman" w:cs="Times New Roman" w:eastAsia="Times New Roman" w:hAnsi="Times New Roman"/>
          <w:sz w:val="15"/>
          <w:szCs w:val="15"/>
          <w:b w:val="1"/>
          <w:bCs w:val="1"/>
          <w:color w:val="auto"/>
        </w:rPr>
      </w:pPr>
    </w:p>
    <w:p>
      <w:pPr>
        <w:ind w:left="120" w:firstLine="530"/>
        <w:spacing w:after="0" w:line="271" w:lineRule="auto"/>
        <w:tabs>
          <w:tab w:leader="none" w:pos="848" w:val="left"/>
        </w:tabs>
        <w:numPr>
          <w:ilvl w:val="2"/>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Effect of Board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s Decision. </w:t>
      </w:r>
      <w:r>
        <w:rPr>
          <w:rFonts w:ascii="Times New Roman" w:cs="Times New Roman" w:eastAsia="Times New Roman" w:hAnsi="Times New Roman"/>
          <w:sz w:val="15"/>
          <w:szCs w:val="15"/>
          <w:color w:val="auto"/>
        </w:rPr>
        <w:t>All determinations, interpretations and constructions made by the Board in good faith will not be subject to review by any person and will be final,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binding and conclusive on all persons.</w:t>
      </w:r>
    </w:p>
    <w:p>
      <w:pPr>
        <w:spacing w:after="0" w:line="136" w:lineRule="exact"/>
        <w:rPr>
          <w:rFonts w:ascii="Times New Roman" w:cs="Times New Roman" w:eastAsia="Times New Roman" w:hAnsi="Times New Roman"/>
          <w:sz w:val="15"/>
          <w:szCs w:val="15"/>
          <w:b w:val="1"/>
          <w:bCs w:val="1"/>
          <w:color w:val="auto"/>
        </w:rPr>
      </w:pPr>
    </w:p>
    <w:p>
      <w:pPr>
        <w:ind w:left="280" w:hanging="156"/>
        <w:spacing w:after="0"/>
        <w:tabs>
          <w:tab w:leader="none" w:pos="280" w:val="left"/>
        </w:tabs>
        <w:numPr>
          <w:ilvl w:val="1"/>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Shares Subject to the Plan.</w:t>
      </w:r>
    </w:p>
    <w:p>
      <w:pPr>
        <w:spacing w:after="0" w:line="353" w:lineRule="exact"/>
        <w:rPr>
          <w:rFonts w:ascii="Times New Roman" w:cs="Times New Roman" w:eastAsia="Times New Roman" w:hAnsi="Times New Roman"/>
          <w:sz w:val="15"/>
          <w:szCs w:val="15"/>
          <w:b w:val="1"/>
          <w:bCs w:val="1"/>
          <w:color w:val="auto"/>
        </w:rPr>
      </w:pPr>
    </w:p>
    <w:p>
      <w:pPr>
        <w:jc w:val="both"/>
        <w:ind w:firstLine="8"/>
        <w:spacing w:after="0" w:line="246" w:lineRule="auto"/>
        <w:tabs>
          <w:tab w:leader="none" w:pos="210"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Share Reserve. </w:t>
      </w:r>
      <w:r>
        <w:rPr>
          <w:rFonts w:ascii="Times New Roman" w:cs="Times New Roman" w:eastAsia="Times New Roman" w:hAnsi="Times New Roman"/>
          <w:sz w:val="15"/>
          <w:szCs w:val="15"/>
          <w:color w:val="auto"/>
        </w:rPr>
        <w:t>Subject to Section 9(a) relating to Capitalization Adjustments, and the following sentence regarding the annual increase, the aggregate number of shares of Common Stock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may be issued pursuant to Stock Awards will not exceed (A) 14,985,108 shares of Common Stock, which amount is inclusive of the number of shares of Common Stock issued or transferred pursuant to Awards under the Existing Plan and (B) the number of shares, if any, subject to outstanding stock awards granted under the Existing Plan that, from and after the Amendment Date, (i) expire or terminate for any reason prior to exercise or settlement, (ii) are forfeited, cancelled or otherwise returned to the Company because of the failure to meet a contingency or condition required for the vesting of such shares, or (iii) are reacquired or withheld (or not issued) by the Company to satisfy a tax withholding obligation in connection with a stock award (collectively the “</w:t>
      </w:r>
      <w:r>
        <w:rPr>
          <w:rFonts w:ascii="Times New Roman" w:cs="Times New Roman" w:eastAsia="Times New Roman" w:hAnsi="Times New Roman"/>
          <w:sz w:val="15"/>
          <w:szCs w:val="15"/>
          <w:b w:val="1"/>
          <w:bCs w:val="1"/>
          <w:i w:val="1"/>
          <w:iCs w:val="1"/>
          <w:color w:val="auto"/>
        </w:rPr>
        <w:t>Share Reserve</w:t>
      </w:r>
      <w:r>
        <w:rPr>
          <w:rFonts w:ascii="Times New Roman" w:cs="Times New Roman" w:eastAsia="Times New Roman" w:hAnsi="Times New Roman"/>
          <w:sz w:val="15"/>
          <w:szCs w:val="15"/>
          <w:color w:val="auto"/>
        </w:rPr>
        <w:t>”). In addition, the Share Reserve will automatically increase on January 1st of each year, for a period of not more than ten years, commencing on January 1, 2025, and ending on (and including) January 1, 2034, in an amount equal to 4.0% of the total number of shares of Capital Stock outstanding on December 31st of 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Common Stock than would otherwise occur pursuant to the preceding sentence. For clarity, the Share Reserve is a limitation on the number of shares of Common Stock that may be issued under the Plan. Accordingly, this Section 3(a) does not limit the granting of Stock Awards except as provided in Section 7(a). Shares may be issued in connection with a merger or acquisition as permitted by NASDAQ Listing Rule 5635(c) or other applicable rule, and such issuance will not reduce the number of shares available for issuance under the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both"/>
        <w:ind w:left="120" w:firstLine="530"/>
        <w:spacing w:after="0" w:line="249" w:lineRule="auto"/>
        <w:tabs>
          <w:tab w:leader="none" w:pos="868" w:val="left"/>
        </w:tabs>
        <w:numPr>
          <w:ilvl w:val="1"/>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Reversion of Shares to the Share Reserve. </w:t>
      </w:r>
      <w:r>
        <w:rPr>
          <w:rFonts w:ascii="Times New Roman" w:cs="Times New Roman" w:eastAsia="Times New Roman" w:hAnsi="Times New Roman"/>
          <w:sz w:val="15"/>
          <w:szCs w:val="15"/>
          <w:color w:val="auto"/>
        </w:rPr>
        <w:t>If a Stock Award or any portion thereof (i) expires or otherwise terminates without all of the shares covered by such Stock Award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having been issued or (ii) is settled in cash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53" w:lineRule="exact"/>
        <w:rPr>
          <w:rFonts w:ascii="Times New Roman" w:cs="Times New Roman" w:eastAsia="Times New Roman" w:hAnsi="Times New Roman"/>
          <w:sz w:val="15"/>
          <w:szCs w:val="15"/>
          <w:b w:val="1"/>
          <w:bCs w:val="1"/>
          <w:color w:val="auto"/>
        </w:rPr>
      </w:pPr>
    </w:p>
    <w:p>
      <w:pPr>
        <w:ind w:left="120" w:firstLine="530"/>
        <w:spacing w:after="0" w:line="271" w:lineRule="auto"/>
        <w:tabs>
          <w:tab w:leader="none" w:pos="844" w:val="left"/>
        </w:tabs>
        <w:numPr>
          <w:ilvl w:val="1"/>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Incentive Stock Option Limit. </w:t>
      </w:r>
      <w:r>
        <w:rPr>
          <w:rFonts w:ascii="Times New Roman" w:cs="Times New Roman" w:eastAsia="Times New Roman" w:hAnsi="Times New Roman"/>
          <w:sz w:val="15"/>
          <w:szCs w:val="15"/>
          <w:color w:val="auto"/>
        </w:rPr>
        <w:t>Subject to the provisions of Section 9(a) relating to Capitalization Adjustments, the aggregate maximum number of shares of Common Stock 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may be issued pursuant to the exercise of Incentive Stock Options will be 19,600,000 shares of Common Stock.</w:t>
      </w:r>
    </w:p>
    <w:p>
      <w:pPr>
        <w:spacing w:after="0" w:line="136" w:lineRule="exact"/>
        <w:rPr>
          <w:rFonts w:ascii="Times New Roman" w:cs="Times New Roman" w:eastAsia="Times New Roman" w:hAnsi="Times New Roman"/>
          <w:sz w:val="15"/>
          <w:szCs w:val="15"/>
          <w:b w:val="1"/>
          <w:bCs w:val="1"/>
          <w:color w:val="auto"/>
        </w:rPr>
      </w:pPr>
    </w:p>
    <w:p>
      <w:pPr>
        <w:jc w:val="both"/>
        <w:ind w:left="120" w:firstLine="530"/>
        <w:spacing w:after="0" w:line="248" w:lineRule="auto"/>
        <w:tabs>
          <w:tab w:leader="none" w:pos="874" w:val="left"/>
        </w:tabs>
        <w:numPr>
          <w:ilvl w:val="1"/>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Non-Employee Director Compensation Limitation</w:t>
      </w:r>
      <w:r>
        <w:rPr>
          <w:rFonts w:ascii="Times New Roman" w:cs="Times New Roman" w:eastAsia="Times New Roman" w:hAnsi="Times New Roman"/>
          <w:sz w:val="15"/>
          <w:szCs w:val="15"/>
          <w:color w:val="auto"/>
        </w:rPr>
        <w:t>. In addition, the maximum number of shares subject to awards granted during a single fiscal year to any non-employee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 taken together with any cash fees paid to such non-employee director during the fiscal year, shall not exceed $500,000 in total value (calculating the value of any such awards based on the grant date fair value of such awards for financial reporting purposes and excluding, for this purpose, the value of any dividend equivalent payments paid pursuant to any award granted in a previous fiscal year). Consulting fees or other compensation the Company or any of its Subsidiaries may pay or provide to any non-employee director for services in addition to the services normally performed by a non-employee director shall not be included in calculating such limits.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54" w:lineRule="exact"/>
        <w:rPr>
          <w:rFonts w:ascii="Times New Roman" w:cs="Times New Roman" w:eastAsia="Times New Roman" w:hAnsi="Times New Roman"/>
          <w:sz w:val="15"/>
          <w:szCs w:val="15"/>
          <w:b w:val="1"/>
          <w:bCs w:val="1"/>
          <w:color w:val="auto"/>
        </w:rPr>
      </w:pPr>
    </w:p>
    <w:p>
      <w:pPr>
        <w:ind w:left="120" w:firstLine="530"/>
        <w:spacing w:after="0" w:line="271" w:lineRule="auto"/>
        <w:tabs>
          <w:tab w:leader="none" w:pos="844" w:val="left"/>
        </w:tabs>
        <w:numPr>
          <w:ilvl w:val="1"/>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Source of Shares. </w:t>
      </w:r>
      <w:r>
        <w:rPr>
          <w:rFonts w:ascii="Times New Roman" w:cs="Times New Roman" w:eastAsia="Times New Roman" w:hAnsi="Times New Roman"/>
          <w:sz w:val="15"/>
          <w:szCs w:val="15"/>
          <w:color w:val="auto"/>
        </w:rPr>
        <w:t>The stock issuable under the Plan will be shares of authorized but unissued or reacquired Common Stock, including shares repurchased by the Company 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open market or otherwise.</w:t>
      </w:r>
    </w:p>
    <w:p>
      <w:pPr>
        <w:spacing w:after="0" w:line="136" w:lineRule="exact"/>
        <w:rPr>
          <w:rFonts w:ascii="Times New Roman" w:cs="Times New Roman" w:eastAsia="Times New Roman" w:hAnsi="Times New Roman"/>
          <w:sz w:val="15"/>
          <w:szCs w:val="15"/>
          <w:b w:val="1"/>
          <w:bCs w:val="1"/>
          <w:color w:val="auto"/>
        </w:rPr>
      </w:pPr>
    </w:p>
    <w:p>
      <w:pPr>
        <w:ind w:left="280" w:hanging="156"/>
        <w:spacing w:after="0"/>
        <w:tabs>
          <w:tab w:leader="none" w:pos="280" w:val="left"/>
        </w:tabs>
        <w:numPr>
          <w:ilvl w:val="0"/>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Eligibility.</w:t>
      </w:r>
    </w:p>
    <w:p>
      <w:pPr>
        <w:spacing w:after="0" w:line="178" w:lineRule="exact"/>
        <w:rPr>
          <w:rFonts w:ascii="Times New Roman" w:cs="Times New Roman" w:eastAsia="Times New Roman" w:hAnsi="Times New Roman"/>
          <w:sz w:val="15"/>
          <w:szCs w:val="15"/>
          <w:b w:val="1"/>
          <w:bCs w:val="1"/>
          <w:color w:val="auto"/>
        </w:rPr>
      </w:pPr>
    </w:p>
    <w:p>
      <w:pPr>
        <w:jc w:val="both"/>
        <w:ind w:left="120" w:firstLine="530"/>
        <w:spacing w:after="0" w:line="248" w:lineRule="auto"/>
        <w:tabs>
          <w:tab w:leader="none" w:pos="855" w:val="left"/>
        </w:tabs>
        <w:numPr>
          <w:ilvl w:val="1"/>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Eligibility for Specific Stock Awards</w:t>
      </w:r>
      <w:r>
        <w:rPr>
          <w:rFonts w:ascii="Times New Roman" w:cs="Times New Roman" w:eastAsia="Times New Roman" w:hAnsi="Times New Roman"/>
          <w:sz w:val="15"/>
          <w:szCs w:val="15"/>
          <w:color w:val="auto"/>
        </w:rPr>
        <w:t>. Incentive Stock Options may be granted only to employees of the Company or a “parent corporation” or “subsidiary corporation” thereof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(as such terms are defined in Sections 424(e) and 424(f) of the Code). Stock Awards other than Incentive Stock Options may be granted to Employees, Directors and Consultants;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Stock Awards may not be granted to Employees, Directors and Consultants who are providing Continuous Service only to any “parent” of the Company, as such term is defined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ind w:left="120" w:firstLine="530"/>
        <w:spacing w:after="0" w:line="271" w:lineRule="auto"/>
        <w:tabs>
          <w:tab w:leader="none" w:pos="861" w:val="left"/>
        </w:tabs>
        <w:numPr>
          <w:ilvl w:val="1"/>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Ten Percent Stockholders. </w:t>
      </w:r>
      <w:r>
        <w:rPr>
          <w:rFonts w:ascii="Times New Roman" w:cs="Times New Roman" w:eastAsia="Times New Roman" w:hAnsi="Times New Roman"/>
          <w:sz w:val="15"/>
          <w:szCs w:val="15"/>
          <w:color w:val="auto"/>
        </w:rPr>
        <w:t>A Ten Percent Stockholder will not be granted an Incentive Stock Option unless the exercise price of such Option is at least 110% of the Fair Market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Value on the date of grant and the Option is not exercisable after the expiration of five years from the date of grant.</w:t>
      </w:r>
    </w:p>
    <w:p>
      <w:pPr>
        <w:spacing w:after="0" w:line="136" w:lineRule="exact"/>
        <w:rPr>
          <w:rFonts w:ascii="Times New Roman" w:cs="Times New Roman" w:eastAsia="Times New Roman" w:hAnsi="Times New Roman"/>
          <w:sz w:val="15"/>
          <w:szCs w:val="15"/>
          <w:b w:val="1"/>
          <w:bCs w:val="1"/>
          <w:color w:val="auto"/>
        </w:rPr>
      </w:pPr>
    </w:p>
    <w:p>
      <w:pPr>
        <w:ind w:left="280" w:hanging="156"/>
        <w:spacing w:after="0"/>
        <w:tabs>
          <w:tab w:leader="none" w:pos="280"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Provisions Relating to Options and Stock Appreciation Rights.</w:t>
      </w:r>
    </w:p>
    <w:p>
      <w:pPr>
        <w:spacing w:after="0" w:line="180" w:lineRule="exact"/>
        <w:rPr>
          <w:sz w:val="20"/>
          <w:szCs w:val="20"/>
          <w:color w:val="auto"/>
        </w:rPr>
      </w:pPr>
    </w:p>
    <w:p>
      <w:pPr>
        <w:jc w:val="both"/>
        <w:ind w:left="120" w:firstLine="526"/>
        <w:spacing w:after="0" w:line="248" w:lineRule="auto"/>
        <w:rPr>
          <w:sz w:val="20"/>
          <w:szCs w:val="20"/>
          <w:color w:val="auto"/>
        </w:rPr>
      </w:pPr>
      <w:r>
        <w:rPr>
          <w:rFonts w:ascii="Times New Roman" w:cs="Times New Roman" w:eastAsia="Times New Roman" w:hAnsi="Times New Roman"/>
          <w:sz w:val="15"/>
          <w:szCs w:val="15"/>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each Award Agreement will conform to (through incorporation of provisions hereof by reference in the applicable Award Agreement or otherwise) the substance of each of the following provisions:</w:t>
      </w:r>
    </w:p>
    <w:p>
      <w:pPr>
        <w:spacing w:after="0" w:line="156" w:lineRule="exact"/>
        <w:rPr>
          <w:sz w:val="20"/>
          <w:szCs w:val="20"/>
          <w:color w:val="auto"/>
        </w:rPr>
      </w:pPr>
    </w:p>
    <w:p>
      <w:pPr>
        <w:ind w:left="120" w:firstLine="530"/>
        <w:spacing w:after="0" w:line="271" w:lineRule="auto"/>
        <w:tabs>
          <w:tab w:leader="none" w:pos="853"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Term. </w:t>
      </w:r>
      <w:r>
        <w:rPr>
          <w:rFonts w:ascii="Times New Roman" w:cs="Times New Roman" w:eastAsia="Times New Roman" w:hAnsi="Times New Roman"/>
          <w:sz w:val="15"/>
          <w:szCs w:val="15"/>
          <w:color w:val="auto"/>
        </w:rPr>
        <w:t>Subject to the provisions of Section 4(b) regarding Ten Percent Stockholders, no Option or SAR will be exercisable after the expiration of ten years from the date of 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grant or such shorter period specified in the Award Agreement.</w:t>
      </w:r>
    </w:p>
    <w:p>
      <w:pPr>
        <w:spacing w:after="0" w:line="136" w:lineRule="exact"/>
        <w:rPr>
          <w:rFonts w:ascii="Times New Roman" w:cs="Times New Roman" w:eastAsia="Times New Roman" w:hAnsi="Times New Roman"/>
          <w:sz w:val="15"/>
          <w:szCs w:val="15"/>
          <w:b w:val="1"/>
          <w:bCs w:val="1"/>
          <w:color w:val="auto"/>
        </w:rPr>
      </w:pPr>
    </w:p>
    <w:p>
      <w:pPr>
        <w:jc w:val="both"/>
        <w:ind w:left="120" w:firstLine="530"/>
        <w:spacing w:after="0" w:line="250" w:lineRule="auto"/>
        <w:tabs>
          <w:tab w:leader="none" w:pos="861"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Exercise Price. </w:t>
      </w:r>
      <w:r>
        <w:rPr>
          <w:rFonts w:ascii="Times New Roman" w:cs="Times New Roman" w:eastAsia="Times New Roman" w:hAnsi="Times New Roman"/>
          <w:sz w:val="15"/>
          <w:szCs w:val="15"/>
          <w:color w:val="auto"/>
        </w:rPr>
        <w:t>Subject to the provisions of Section 4(b) regarding Ten Percent Stockholders, the exercise or strike price of each Option or SAR will be not less than 100%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and, if applicable, Section 424(a) of the Code. Each SAR will be denominated in shares of Common Stock equivalents.</w:t>
      </w:r>
    </w:p>
    <w:p>
      <w:pPr>
        <w:spacing w:after="0" w:line="153" w:lineRule="exact"/>
        <w:rPr>
          <w:rFonts w:ascii="Times New Roman" w:cs="Times New Roman" w:eastAsia="Times New Roman" w:hAnsi="Times New Roman"/>
          <w:sz w:val="15"/>
          <w:szCs w:val="15"/>
          <w:b w:val="1"/>
          <w:bCs w:val="1"/>
          <w:color w:val="auto"/>
        </w:rPr>
      </w:pPr>
    </w:p>
    <w:p>
      <w:pPr>
        <w:jc w:val="both"/>
        <w:ind w:left="120" w:firstLine="530"/>
        <w:spacing w:after="0" w:line="252" w:lineRule="auto"/>
        <w:tabs>
          <w:tab w:leader="none" w:pos="847"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Purchase Price for Options. </w:t>
      </w:r>
      <w:r>
        <w:rPr>
          <w:rFonts w:ascii="Times New Roman" w:cs="Times New Roman" w:eastAsia="Times New Roman" w:hAnsi="Times New Roman"/>
          <w:sz w:val="15"/>
          <w:szCs w:val="15"/>
          <w:color w:val="auto"/>
        </w:rPr>
        <w:t>The purchase price of Common Stock acquired pursuant to the exercise of an Option may be paid, to the extent permitted by applicable law and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53" w:lineRule="exact"/>
        <w:rPr>
          <w:rFonts w:ascii="Times New Roman" w:cs="Times New Roman" w:eastAsia="Times New Roman" w:hAnsi="Times New Roman"/>
          <w:sz w:val="15"/>
          <w:szCs w:val="15"/>
          <w:b w:val="1"/>
          <w:bCs w:val="1"/>
          <w:color w:val="auto"/>
        </w:rPr>
      </w:pPr>
    </w:p>
    <w:p>
      <w:pPr>
        <w:ind w:left="1360" w:hanging="184"/>
        <w:spacing w:after="0"/>
        <w:tabs>
          <w:tab w:leader="none" w:pos="1360" w:val="left"/>
        </w:tabs>
        <w:numPr>
          <w:ilvl w:val="1"/>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by cash, check, bank draft or money order payable to the Company;</w:t>
      </w:r>
    </w:p>
    <w:p>
      <w:pPr>
        <w:spacing w:after="0" w:line="178" w:lineRule="exact"/>
        <w:rPr>
          <w:rFonts w:ascii="Times New Roman" w:cs="Times New Roman" w:eastAsia="Times New Roman" w:hAnsi="Times New Roman"/>
          <w:sz w:val="15"/>
          <w:szCs w:val="15"/>
          <w:b w:val="1"/>
          <w:bCs w:val="1"/>
          <w:color w:val="auto"/>
        </w:rPr>
      </w:pPr>
    </w:p>
    <w:p>
      <w:pPr>
        <w:ind w:left="120" w:firstLine="1056"/>
        <w:spacing w:after="0" w:line="268" w:lineRule="auto"/>
        <w:tabs>
          <w:tab w:leader="none" w:pos="1387" w:val="left"/>
        </w:tabs>
        <w:numPr>
          <w:ilvl w:val="1"/>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40" w:lineRule="exact"/>
        <w:rPr>
          <w:rFonts w:ascii="Times New Roman" w:cs="Times New Roman" w:eastAsia="Times New Roman" w:hAnsi="Times New Roman"/>
          <w:sz w:val="15"/>
          <w:szCs w:val="15"/>
          <w:b w:val="1"/>
          <w:bCs w:val="1"/>
          <w:color w:val="auto"/>
        </w:rPr>
      </w:pPr>
    </w:p>
    <w:p>
      <w:pPr>
        <w:ind w:left="1440" w:hanging="264"/>
        <w:spacing w:after="0"/>
        <w:tabs>
          <w:tab w:leader="none" w:pos="1440" w:val="left"/>
        </w:tabs>
        <w:numPr>
          <w:ilvl w:val="1"/>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by delivery to the Company (either by actual delivery or attestation) of shares of Common Stock;</w:t>
      </w:r>
    </w:p>
    <w:p>
      <w:pPr>
        <w:spacing w:after="0" w:line="178" w:lineRule="exact"/>
        <w:rPr>
          <w:rFonts w:ascii="Times New Roman" w:cs="Times New Roman" w:eastAsia="Times New Roman" w:hAnsi="Times New Roman"/>
          <w:sz w:val="15"/>
          <w:szCs w:val="15"/>
          <w:b w:val="1"/>
          <w:bCs w:val="1"/>
          <w:color w:val="auto"/>
        </w:rPr>
      </w:pPr>
    </w:p>
    <w:p>
      <w:pPr>
        <w:jc w:val="both"/>
        <w:ind w:left="120" w:firstLine="1056"/>
        <w:spacing w:after="0" w:line="272" w:lineRule="auto"/>
        <w:tabs>
          <w:tab w:leader="none" w:pos="1434" w:val="left"/>
        </w:tabs>
        <w:numPr>
          <w:ilvl w:val="1"/>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or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ind w:left="1380" w:hanging="204"/>
        <w:spacing w:after="0"/>
        <w:tabs>
          <w:tab w:leader="none" w:pos="1380" w:val="left"/>
        </w:tabs>
        <w:numPr>
          <w:ilvl w:val="1"/>
          <w:numId w:val="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any other form of legal consideration that may be acceptable to the Board and specified in the applicable Award Agreement.</w:t>
      </w:r>
    </w:p>
    <w:p>
      <w:pPr>
        <w:spacing w:after="0" w:line="176" w:lineRule="exact"/>
        <w:rPr>
          <w:rFonts w:ascii="Times New Roman" w:cs="Times New Roman" w:eastAsia="Times New Roman" w:hAnsi="Times New Roman"/>
          <w:sz w:val="15"/>
          <w:szCs w:val="15"/>
          <w:b w:val="1"/>
          <w:bCs w:val="1"/>
          <w:color w:val="auto"/>
        </w:rPr>
      </w:pPr>
    </w:p>
    <w:p>
      <w:pPr>
        <w:jc w:val="both"/>
        <w:ind w:left="120" w:firstLine="530"/>
        <w:spacing w:after="0" w:line="249" w:lineRule="auto"/>
        <w:tabs>
          <w:tab w:leader="none" w:pos="861" w:val="left"/>
        </w:tabs>
        <w:numPr>
          <w:ilvl w:val="0"/>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Exercise and Payment of a SAR. </w:t>
      </w:r>
      <w:r>
        <w:rPr>
          <w:rFonts w:ascii="Times New Roman" w:cs="Times New Roman" w:eastAsia="Times New Roman" w:hAnsi="Times New Roman"/>
          <w:sz w:val="15"/>
          <w:szCs w:val="15"/>
          <w:color w:val="auto"/>
        </w:rPr>
        <w:t>To exercise any outstanding SAR, the Participant must provide written notice of exercise to the Company in compliance with the provisions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53" w:lineRule="exact"/>
        <w:rPr>
          <w:rFonts w:ascii="Times New Roman" w:cs="Times New Roman" w:eastAsia="Times New Roman" w:hAnsi="Times New Roman"/>
          <w:sz w:val="15"/>
          <w:szCs w:val="15"/>
          <w:b w:val="1"/>
          <w:bCs w:val="1"/>
          <w:color w:val="auto"/>
        </w:rPr>
      </w:pPr>
    </w:p>
    <w:p>
      <w:pPr>
        <w:ind w:left="120" w:firstLine="530"/>
        <w:spacing w:after="0" w:line="271" w:lineRule="auto"/>
        <w:tabs>
          <w:tab w:leader="none" w:pos="847" w:val="left"/>
        </w:tabs>
        <w:numPr>
          <w:ilvl w:val="0"/>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Transferability of Options and SARs. </w:t>
      </w:r>
      <w:r>
        <w:rPr>
          <w:rFonts w:ascii="Times New Roman" w:cs="Times New Roman" w:eastAsia="Times New Roman" w:hAnsi="Times New Roman"/>
          <w:sz w:val="15"/>
          <w:szCs w:val="15"/>
          <w:color w:val="auto"/>
        </w:rPr>
        <w:t>The Board may, in its sole discretion, impose such limitations on the transferability of Options and SARs as the Board will determine.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absence of such a determination by the Board to the contrary, the following restrictions on the transferability of Options and SARs will apply:</w:t>
      </w:r>
    </w:p>
    <w:p>
      <w:pPr>
        <w:spacing w:after="0" w:line="136" w:lineRule="exact"/>
        <w:rPr>
          <w:rFonts w:ascii="Times New Roman" w:cs="Times New Roman" w:eastAsia="Times New Roman" w:hAnsi="Times New Roman"/>
          <w:sz w:val="15"/>
          <w:szCs w:val="15"/>
          <w:b w:val="1"/>
          <w:bCs w:val="1"/>
          <w:color w:val="auto"/>
        </w:rPr>
      </w:pPr>
    </w:p>
    <w:p>
      <w:pPr>
        <w:jc w:val="both"/>
        <w:ind w:left="120" w:firstLine="1056"/>
        <w:spacing w:after="0" w:line="257" w:lineRule="auto"/>
        <w:tabs>
          <w:tab w:leader="none" w:pos="1353" w:val="left"/>
        </w:tabs>
        <w:numPr>
          <w:ilvl w:val="1"/>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Restrictions on Transfer. </w:t>
      </w:r>
      <w:r>
        <w:rPr>
          <w:rFonts w:ascii="Times New Roman" w:cs="Times New Roman" w:eastAsia="Times New Roman" w:hAnsi="Times New Roman"/>
          <w:sz w:val="15"/>
          <w:szCs w:val="15"/>
          <w:color w:val="auto"/>
        </w:rPr>
        <w:t>An Option or SAR will not be transferable except by will or by the laws of descent and distribution (or pursuant to subsections (ii) and (iii)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47" w:lineRule="exact"/>
        <w:rPr>
          <w:sz w:val="20"/>
          <w:szCs w:val="20"/>
          <w:color w:val="auto"/>
        </w:rPr>
      </w:pPr>
    </w:p>
    <w:p>
      <w:pPr>
        <w:jc w:val="both"/>
        <w:ind w:left="120" w:firstLine="1056"/>
        <w:spacing w:after="0" w:line="257" w:lineRule="auto"/>
        <w:tabs>
          <w:tab w:leader="none" w:pos="1387" w:val="left"/>
        </w:tabs>
        <w:numPr>
          <w:ilvl w:val="1"/>
          <w:numId w:val="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Domestic Relations Orders. </w:t>
      </w:r>
      <w:r>
        <w:rPr>
          <w:rFonts w:ascii="Times New Roman" w:cs="Times New Roman" w:eastAsia="Times New Roman" w:hAnsi="Times New Roman"/>
          <w:sz w:val="15"/>
          <w:szCs w:val="15"/>
          <w:color w:val="auto"/>
        </w:rPr>
        <w:t>Subject to the approval of the Board or a duly authorized Officer, an Option or SAR may be transferred pursuant to the terms of a domestic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46" w:lineRule="exact"/>
        <w:rPr>
          <w:rFonts w:ascii="Times New Roman" w:cs="Times New Roman" w:eastAsia="Times New Roman" w:hAnsi="Times New Roman"/>
          <w:sz w:val="15"/>
          <w:szCs w:val="15"/>
          <w:b w:val="1"/>
          <w:bCs w:val="1"/>
          <w:color w:val="auto"/>
        </w:rPr>
      </w:pPr>
    </w:p>
    <w:p>
      <w:pPr>
        <w:jc w:val="both"/>
        <w:ind w:left="120" w:firstLine="1056"/>
        <w:spacing w:after="0" w:line="250" w:lineRule="auto"/>
        <w:tabs>
          <w:tab w:leader="none" w:pos="1433" w:val="left"/>
        </w:tabs>
        <w:numPr>
          <w:ilvl w:val="1"/>
          <w:numId w:val="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Beneficiary Designation. </w:t>
      </w:r>
      <w:r>
        <w:rPr>
          <w:rFonts w:ascii="Times New Roman" w:cs="Times New Roman" w:eastAsia="Times New Roman" w:hAnsi="Times New Roman"/>
          <w:sz w:val="15"/>
          <w:szCs w:val="15"/>
          <w:color w:val="auto"/>
        </w:rPr>
        <w:t>Subject to the approval of the Board or a duly authorized Officer, a Participant may, by delivering written notice to the Company, in a form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53" w:lineRule="exact"/>
        <w:rPr>
          <w:rFonts w:ascii="Times New Roman" w:cs="Times New Roman" w:eastAsia="Times New Roman" w:hAnsi="Times New Roman"/>
          <w:sz w:val="15"/>
          <w:szCs w:val="15"/>
          <w:b w:val="1"/>
          <w:bCs w:val="1"/>
          <w:color w:val="auto"/>
        </w:rPr>
      </w:pPr>
    </w:p>
    <w:p>
      <w:pPr>
        <w:jc w:val="both"/>
        <w:ind w:left="120" w:firstLine="530"/>
        <w:spacing w:after="0" w:line="252" w:lineRule="auto"/>
        <w:tabs>
          <w:tab w:leader="none" w:pos="828" w:val="left"/>
        </w:tabs>
        <w:numPr>
          <w:ilvl w:val="0"/>
          <w:numId w:val="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Vesting Generally. </w:t>
      </w:r>
      <w:r>
        <w:rPr>
          <w:rFonts w:ascii="Times New Roman" w:cs="Times New Roman" w:eastAsia="Times New Roman" w:hAnsi="Times New Roman"/>
          <w:sz w:val="15"/>
          <w:szCs w:val="15"/>
          <w:color w:val="auto"/>
        </w:rPr>
        <w:t>The total number of shares of Common Stock subject to an Option or SAR may vest and become exercisable in periodic installments that may or may not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51" w:lineRule="exact"/>
        <w:rPr>
          <w:rFonts w:ascii="Times New Roman" w:cs="Times New Roman" w:eastAsia="Times New Roman" w:hAnsi="Times New Roman"/>
          <w:sz w:val="15"/>
          <w:szCs w:val="15"/>
          <w:b w:val="1"/>
          <w:bCs w:val="1"/>
          <w:color w:val="auto"/>
        </w:rPr>
      </w:pPr>
    </w:p>
    <w:p>
      <w:pPr>
        <w:jc w:val="both"/>
        <w:ind w:left="120" w:firstLine="530"/>
        <w:spacing w:after="0" w:line="249" w:lineRule="auto"/>
        <w:tabs>
          <w:tab w:leader="none" w:pos="872" w:val="left"/>
        </w:tabs>
        <w:numPr>
          <w:ilvl w:val="0"/>
          <w:numId w:val="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Termination of Continuous Service. </w:t>
      </w:r>
      <w:r>
        <w:rPr>
          <w:rFonts w:ascii="Times New Roman" w:cs="Times New Roman" w:eastAsia="Times New Roman" w:hAnsi="Times New Roman"/>
          <w:sz w:val="15"/>
          <w:szCs w:val="15"/>
          <w:color w:val="auto"/>
        </w:rPr>
        <w:t>Except as otherwise provided in the applicable Award Agreement or other agreement between the Participant and the Company, if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both"/>
        <w:ind w:left="120" w:firstLine="530"/>
        <w:spacing w:after="0" w:line="247" w:lineRule="auto"/>
        <w:tabs>
          <w:tab w:leader="none" w:pos="861"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Extension of Termination Date. </w:t>
      </w:r>
      <w:r>
        <w:rPr>
          <w:rFonts w:ascii="Times New Roman" w:cs="Times New Roman" w:eastAsia="Times New Roman" w:hAnsi="Times New Roman"/>
          <w:sz w:val="15"/>
          <w:szCs w:val="15"/>
          <w:color w:val="auto"/>
        </w:rPr>
        <w:t>If the exercise of an Option or SAR following the termination of the Participant’s Continuous Service (other than for Cause and other than upon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55" w:lineRule="exact"/>
        <w:rPr>
          <w:rFonts w:ascii="Times New Roman" w:cs="Times New Roman" w:eastAsia="Times New Roman" w:hAnsi="Times New Roman"/>
          <w:sz w:val="15"/>
          <w:szCs w:val="15"/>
          <w:b w:val="1"/>
          <w:bCs w:val="1"/>
          <w:color w:val="auto"/>
        </w:rPr>
      </w:pPr>
    </w:p>
    <w:p>
      <w:pPr>
        <w:jc w:val="both"/>
        <w:ind w:left="120" w:firstLine="530"/>
        <w:spacing w:after="0" w:line="250" w:lineRule="auto"/>
        <w:tabs>
          <w:tab w:leader="none" w:pos="835"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Disability of Participant. </w:t>
      </w:r>
      <w:r>
        <w:rPr>
          <w:rFonts w:ascii="Times New Roman" w:cs="Times New Roman" w:eastAsia="Times New Roman" w:hAnsi="Times New Roman"/>
          <w:sz w:val="15"/>
          <w:szCs w:val="15"/>
          <w:color w:val="auto"/>
        </w:rPr>
        <w:t>Except as otherwise provided in the applicable Award Agreement or other agreement between the Participant and the Company, if a Participant’s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53" w:lineRule="exact"/>
        <w:rPr>
          <w:rFonts w:ascii="Times New Roman" w:cs="Times New Roman" w:eastAsia="Times New Roman" w:hAnsi="Times New Roman"/>
          <w:sz w:val="15"/>
          <w:szCs w:val="15"/>
          <w:b w:val="1"/>
          <w:bCs w:val="1"/>
          <w:color w:val="auto"/>
        </w:rPr>
      </w:pPr>
    </w:p>
    <w:p>
      <w:pPr>
        <w:jc w:val="both"/>
        <w:ind w:left="120" w:firstLine="530"/>
        <w:spacing w:after="0" w:line="248" w:lineRule="auto"/>
        <w:tabs>
          <w:tab w:leader="none" w:pos="846"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Death of Participant. </w:t>
      </w:r>
      <w:r>
        <w:rPr>
          <w:rFonts w:ascii="Times New Roman" w:cs="Times New Roman" w:eastAsia="Times New Roman" w:hAnsi="Times New Roman"/>
          <w:sz w:val="15"/>
          <w:szCs w:val="15"/>
          <w:color w:val="auto"/>
        </w:rPr>
        <w:t>Except as otherwise provided in the applicable Award Agreement or other agreement between the Participant and the Company, if (i) a Participant’s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54" w:lineRule="exact"/>
        <w:rPr>
          <w:rFonts w:ascii="Times New Roman" w:cs="Times New Roman" w:eastAsia="Times New Roman" w:hAnsi="Times New Roman"/>
          <w:sz w:val="15"/>
          <w:szCs w:val="15"/>
          <w:b w:val="1"/>
          <w:bCs w:val="1"/>
          <w:color w:val="auto"/>
        </w:rPr>
      </w:pPr>
    </w:p>
    <w:p>
      <w:pPr>
        <w:jc w:val="both"/>
        <w:ind w:left="120" w:firstLine="530"/>
        <w:spacing w:after="0" w:line="257" w:lineRule="auto"/>
        <w:tabs>
          <w:tab w:leader="none" w:pos="861"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Termination for Cause. </w:t>
      </w:r>
      <w:r>
        <w:rPr>
          <w:rFonts w:ascii="Times New Roman" w:cs="Times New Roman" w:eastAsia="Times New Roman" w:hAnsi="Times New Roman"/>
          <w:sz w:val="15"/>
          <w:szCs w:val="15"/>
          <w:color w:val="auto"/>
        </w:rPr>
        <w:t>Except as explicitly provided otherwise in a Participant’s Award Agreement or other individual written agreement between the Company or any Affiliate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146" w:lineRule="exact"/>
        <w:rPr>
          <w:rFonts w:ascii="Times New Roman" w:cs="Times New Roman" w:eastAsia="Times New Roman" w:hAnsi="Times New Roman"/>
          <w:sz w:val="15"/>
          <w:szCs w:val="15"/>
          <w:b w:val="1"/>
          <w:bCs w:val="1"/>
          <w:color w:val="auto"/>
        </w:rPr>
      </w:pPr>
    </w:p>
    <w:p>
      <w:pPr>
        <w:jc w:val="both"/>
        <w:ind w:left="120" w:firstLine="530"/>
        <w:spacing w:after="0" w:line="246" w:lineRule="auto"/>
        <w:tabs>
          <w:tab w:leader="none" w:pos="820"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Non-Exempt Employees</w:t>
      </w:r>
      <w:r>
        <w:rPr>
          <w:rFonts w:ascii="Times New Roman" w:cs="Times New Roman" w:eastAsia="Times New Roman" w:hAnsi="Times New Roman"/>
          <w:sz w:val="15"/>
          <w:szCs w:val="15"/>
          <w:color w:val="auto"/>
        </w:rPr>
        <w:t>. If an Option or SAR is granted to an Employee who is a non-exempt employee for purposes of the Fair Labor Standards Act of 1938, as amended,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ind w:left="280" w:hanging="156"/>
        <w:spacing w:after="0"/>
        <w:tabs>
          <w:tab w:leader="none" w:pos="280" w:val="left"/>
        </w:tabs>
        <w:numPr>
          <w:ilvl w:val="0"/>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Provisions of Stock Awards other than Options and SARs.</w:t>
      </w:r>
    </w:p>
    <w:p>
      <w:pPr>
        <w:spacing w:after="0" w:line="178" w:lineRule="exact"/>
        <w:rPr>
          <w:rFonts w:ascii="Times New Roman" w:cs="Times New Roman" w:eastAsia="Times New Roman" w:hAnsi="Times New Roman"/>
          <w:sz w:val="15"/>
          <w:szCs w:val="15"/>
          <w:b w:val="1"/>
          <w:bCs w:val="1"/>
          <w:color w:val="auto"/>
        </w:rPr>
      </w:pPr>
    </w:p>
    <w:p>
      <w:pPr>
        <w:jc w:val="both"/>
        <w:ind w:left="120" w:firstLine="530"/>
        <w:spacing w:after="0" w:line="272" w:lineRule="auto"/>
        <w:tabs>
          <w:tab w:leader="none" w:pos="856" w:val="left"/>
        </w:tabs>
        <w:numPr>
          <w:ilvl w:val="1"/>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Restricted Stock Awards. </w:t>
      </w:r>
      <w:r>
        <w:rPr>
          <w:rFonts w:ascii="Times New Roman" w:cs="Times New Roman" w:eastAsia="Times New Roman" w:hAnsi="Times New Roman"/>
          <w:sz w:val="14"/>
          <w:szCs w:val="14"/>
          <w:color w:val="auto"/>
        </w:rPr>
        <w:t>Each Restricted Stock Award Agreement will be in such form and will contain such terms and conditions as the Board will deem appropriate.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39" w:lineRule="exact"/>
        <w:rPr>
          <w:rFonts w:ascii="Times New Roman" w:cs="Times New Roman" w:eastAsia="Times New Roman" w:hAnsi="Times New Roman"/>
          <w:sz w:val="14"/>
          <w:szCs w:val="14"/>
          <w:b w:val="1"/>
          <w:bCs w:val="1"/>
          <w:color w:val="auto"/>
        </w:rPr>
      </w:pPr>
    </w:p>
    <w:p>
      <w:pPr>
        <w:jc w:val="both"/>
        <w:ind w:left="120" w:firstLine="1056"/>
        <w:spacing w:after="0" w:line="257" w:lineRule="auto"/>
        <w:tabs>
          <w:tab w:leader="none" w:pos="1346" w:val="left"/>
        </w:tabs>
        <w:numPr>
          <w:ilvl w:val="2"/>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Consideration. </w:t>
      </w:r>
      <w:r>
        <w:rPr>
          <w:rFonts w:ascii="Times New Roman" w:cs="Times New Roman" w:eastAsia="Times New Roman" w:hAnsi="Times New Roman"/>
          <w:sz w:val="15"/>
          <w:szCs w:val="15"/>
          <w:color w:val="auto"/>
        </w:rPr>
        <w:t>A Restricted Stock Award may be awarded in consideration for (A) cash, check, bank draft or money order payable to the Company, (B) past services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or an Affiliate, or (C) any other form of legal consideration (including future services) that may be acceptable to the Board, in its sole discretion, and permissible under applicable law.</w:t>
      </w:r>
    </w:p>
    <w:p>
      <w:pPr>
        <w:spacing w:after="0" w:line="146" w:lineRule="exact"/>
        <w:rPr>
          <w:rFonts w:ascii="Times New Roman" w:cs="Times New Roman" w:eastAsia="Times New Roman" w:hAnsi="Times New Roman"/>
          <w:sz w:val="15"/>
          <w:szCs w:val="15"/>
          <w:b w:val="1"/>
          <w:bCs w:val="1"/>
          <w:color w:val="auto"/>
        </w:rPr>
      </w:pPr>
    </w:p>
    <w:p>
      <w:pPr>
        <w:ind w:left="120" w:firstLine="1056"/>
        <w:spacing w:after="0" w:line="271" w:lineRule="auto"/>
        <w:tabs>
          <w:tab w:leader="none" w:pos="1397" w:val="left"/>
        </w:tabs>
        <w:numPr>
          <w:ilvl w:val="2"/>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Vesting. </w:t>
      </w:r>
      <w:r>
        <w:rPr>
          <w:rFonts w:ascii="Times New Roman" w:cs="Times New Roman" w:eastAsia="Times New Roman" w:hAnsi="Times New Roman"/>
          <w:sz w:val="15"/>
          <w:szCs w:val="15"/>
          <w:color w:val="auto"/>
        </w:rPr>
        <w:t>Shares of Common Stock awarded under the Restricted Stock Award Agreement may be subject to forfeiture to the Company in accordance with a vesting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schedule to be determined by the Board.</w:t>
      </w:r>
    </w:p>
    <w:p>
      <w:pPr>
        <w:spacing w:after="0" w:line="136" w:lineRule="exact"/>
        <w:rPr>
          <w:rFonts w:ascii="Times New Roman" w:cs="Times New Roman" w:eastAsia="Times New Roman" w:hAnsi="Times New Roman"/>
          <w:sz w:val="15"/>
          <w:szCs w:val="15"/>
          <w:b w:val="1"/>
          <w:bCs w:val="1"/>
          <w:color w:val="auto"/>
        </w:rPr>
      </w:pPr>
    </w:p>
    <w:p>
      <w:pPr>
        <w:jc w:val="both"/>
        <w:ind w:left="120" w:firstLine="1056"/>
        <w:spacing w:after="0" w:line="257" w:lineRule="auto"/>
        <w:tabs>
          <w:tab w:leader="none" w:pos="1442" w:val="left"/>
        </w:tabs>
        <w:numPr>
          <w:ilvl w:val="2"/>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Termination of Participant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s Continuous Service. </w:t>
      </w:r>
      <w:r>
        <w:rPr>
          <w:rFonts w:ascii="Times New Roman" w:cs="Times New Roman" w:eastAsia="Times New Roman" w:hAnsi="Times New Roman"/>
          <w:sz w:val="15"/>
          <w:szCs w:val="15"/>
          <w:color w:val="auto"/>
        </w:rPr>
        <w:t>If a Participant’s Continuous Service terminates, the Company may receive through a forfeiture condition or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repurchase right any or all of the shares of Common Stock held by the Participant as of the date of termination of Continuous Service under the terms of the Restricted Stock Award Agreement.</w:t>
      </w:r>
    </w:p>
    <w:p>
      <w:pPr>
        <w:spacing w:after="0" w:line="146" w:lineRule="exact"/>
        <w:rPr>
          <w:rFonts w:ascii="Times New Roman" w:cs="Times New Roman" w:eastAsia="Times New Roman" w:hAnsi="Times New Roman"/>
          <w:sz w:val="15"/>
          <w:szCs w:val="15"/>
          <w:b w:val="1"/>
          <w:bCs w:val="1"/>
          <w:color w:val="auto"/>
        </w:rPr>
      </w:pPr>
    </w:p>
    <w:p>
      <w:pPr>
        <w:jc w:val="both"/>
        <w:ind w:left="120" w:firstLine="1056"/>
        <w:spacing w:after="0" w:line="257" w:lineRule="auto"/>
        <w:tabs>
          <w:tab w:leader="none" w:pos="1419" w:val="left"/>
        </w:tabs>
        <w:numPr>
          <w:ilvl w:val="2"/>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Transferability. </w:t>
      </w:r>
      <w:r>
        <w:rPr>
          <w:rFonts w:ascii="Times New Roman" w:cs="Times New Roman" w:eastAsia="Times New Roman" w:hAnsi="Times New Roman"/>
          <w:sz w:val="15"/>
          <w:szCs w:val="15"/>
          <w:color w:val="auto"/>
        </w:rPr>
        <w:t>Rights to acquire shares of Common Stock under the Restricted Stock Award Agreement will be transferable by the Participant only upon such terms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46" w:lineRule="exact"/>
        <w:rPr>
          <w:rFonts w:ascii="Times New Roman" w:cs="Times New Roman" w:eastAsia="Times New Roman" w:hAnsi="Times New Roman"/>
          <w:sz w:val="15"/>
          <w:szCs w:val="15"/>
          <w:b w:val="1"/>
          <w:bCs w:val="1"/>
          <w:color w:val="auto"/>
        </w:rPr>
      </w:pPr>
    </w:p>
    <w:p>
      <w:pPr>
        <w:ind w:left="120" w:firstLine="1056"/>
        <w:spacing w:after="0" w:line="271" w:lineRule="auto"/>
        <w:tabs>
          <w:tab w:leader="none" w:pos="1378" w:val="left"/>
        </w:tabs>
        <w:numPr>
          <w:ilvl w:val="2"/>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Dividends. </w:t>
      </w:r>
      <w:r>
        <w:rPr>
          <w:rFonts w:ascii="Times New Roman" w:cs="Times New Roman" w:eastAsia="Times New Roman" w:hAnsi="Times New Roman"/>
          <w:sz w:val="15"/>
          <w:szCs w:val="15"/>
          <w:color w:val="auto"/>
        </w:rPr>
        <w:t>A Restricted Stock Award Agreement may provide that any dividends paid on Restricted Stock will be subject to the same vesting and forfeiture restrictions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apply to the shares subject to the Restricted Stock Award to which they relate.</w:t>
      </w:r>
    </w:p>
    <w:p>
      <w:pPr>
        <w:spacing w:after="0" w:line="136" w:lineRule="exact"/>
        <w:rPr>
          <w:rFonts w:ascii="Times New Roman" w:cs="Times New Roman" w:eastAsia="Times New Roman" w:hAnsi="Times New Roman"/>
          <w:sz w:val="15"/>
          <w:szCs w:val="15"/>
          <w:b w:val="1"/>
          <w:bCs w:val="1"/>
          <w:color w:val="auto"/>
        </w:rPr>
      </w:pPr>
    </w:p>
    <w:p>
      <w:pPr>
        <w:jc w:val="both"/>
        <w:ind w:left="120" w:firstLine="530"/>
        <w:spacing w:after="0" w:line="252" w:lineRule="auto"/>
        <w:tabs>
          <w:tab w:leader="none" w:pos="885" w:val="left"/>
        </w:tabs>
        <w:numPr>
          <w:ilvl w:val="1"/>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Restricted Stock Unit Awards. </w:t>
      </w:r>
      <w:r>
        <w:rPr>
          <w:rFonts w:ascii="Times New Roman" w:cs="Times New Roman" w:eastAsia="Times New Roman" w:hAnsi="Times New Roman"/>
          <w:sz w:val="15"/>
          <w:szCs w:val="15"/>
          <w:color w:val="auto"/>
        </w:rPr>
        <w:t>Each Restricted Stock Unit Award Agreement will be in such form and will contain such terms and conditions as the Board will deem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51" w:lineRule="exact"/>
        <w:rPr>
          <w:rFonts w:ascii="Times New Roman" w:cs="Times New Roman" w:eastAsia="Times New Roman" w:hAnsi="Times New Roman"/>
          <w:sz w:val="15"/>
          <w:szCs w:val="15"/>
          <w:b w:val="1"/>
          <w:bCs w:val="1"/>
          <w:color w:val="auto"/>
        </w:rPr>
      </w:pPr>
    </w:p>
    <w:p>
      <w:pPr>
        <w:jc w:val="both"/>
        <w:ind w:left="120" w:firstLine="1056"/>
        <w:spacing w:after="0" w:line="257" w:lineRule="auto"/>
        <w:tabs>
          <w:tab w:leader="none" w:pos="1346" w:val="left"/>
        </w:tabs>
        <w:numPr>
          <w:ilvl w:val="2"/>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Consideration. </w:t>
      </w:r>
      <w:r>
        <w:rPr>
          <w:rFonts w:ascii="Times New Roman" w:cs="Times New Roman" w:eastAsia="Times New Roman" w:hAnsi="Times New Roman"/>
          <w:sz w:val="15"/>
          <w:szCs w:val="15"/>
          <w:color w:val="auto"/>
        </w:rPr>
        <w:t>At the time of grant of a Restricted Stock Unit Award, the Board will determine the consideration, if any, to be paid by the Participant upon delivery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ind w:left="120" w:firstLine="1056"/>
        <w:spacing w:after="0" w:line="271" w:lineRule="auto"/>
        <w:tabs>
          <w:tab w:leader="none" w:pos="1387" w:val="left"/>
        </w:tabs>
        <w:numPr>
          <w:ilvl w:val="1"/>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Vesting. </w:t>
      </w:r>
      <w:r>
        <w:rPr>
          <w:rFonts w:ascii="Times New Roman" w:cs="Times New Roman" w:eastAsia="Times New Roman" w:hAnsi="Times New Roman"/>
          <w:sz w:val="15"/>
          <w:szCs w:val="15"/>
          <w:color w:val="auto"/>
        </w:rPr>
        <w:t>At the time of the grant of a Restricted Stock Unit Award, the Board may impose such restrictions on or conditions to the vesting of the Restricted Stock Unit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Award as it, in its sole discretion, deems appropriate.</w:t>
      </w:r>
    </w:p>
    <w:p>
      <w:pPr>
        <w:spacing w:after="0" w:line="136" w:lineRule="exact"/>
        <w:rPr>
          <w:rFonts w:ascii="Times New Roman" w:cs="Times New Roman" w:eastAsia="Times New Roman" w:hAnsi="Times New Roman"/>
          <w:sz w:val="15"/>
          <w:szCs w:val="15"/>
          <w:b w:val="1"/>
          <w:bCs w:val="1"/>
          <w:color w:val="auto"/>
        </w:rPr>
      </w:pPr>
    </w:p>
    <w:p>
      <w:pPr>
        <w:ind w:left="120" w:firstLine="1056"/>
        <w:spacing w:after="0" w:line="271" w:lineRule="auto"/>
        <w:tabs>
          <w:tab w:leader="none" w:pos="1427" w:val="left"/>
        </w:tabs>
        <w:numPr>
          <w:ilvl w:val="1"/>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Payment</w:t>
      </w:r>
      <w:r>
        <w:rPr>
          <w:rFonts w:ascii="Times New Roman" w:cs="Times New Roman" w:eastAsia="Times New Roman" w:hAnsi="Times New Roman"/>
          <w:sz w:val="15"/>
          <w:szCs w:val="15"/>
          <w:color w:val="auto"/>
        </w:rPr>
        <w:t>. A Restricted Stock Unit Award may be settled by the delivery of shares of Common Stock, their cash equivalent, any combination thereof or in any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form of consideration, as determined by the Board and contained in the Restricted Stock Unit Award Agreement.</w:t>
      </w:r>
    </w:p>
    <w:p>
      <w:pPr>
        <w:spacing w:after="0" w:line="136" w:lineRule="exact"/>
        <w:rPr>
          <w:rFonts w:ascii="Times New Roman" w:cs="Times New Roman" w:eastAsia="Times New Roman" w:hAnsi="Times New Roman"/>
          <w:sz w:val="15"/>
          <w:szCs w:val="15"/>
          <w:b w:val="1"/>
          <w:bCs w:val="1"/>
          <w:color w:val="auto"/>
        </w:rPr>
      </w:pPr>
    </w:p>
    <w:p>
      <w:pPr>
        <w:ind w:left="120" w:firstLine="1056"/>
        <w:spacing w:after="0" w:line="307" w:lineRule="auto"/>
        <w:tabs>
          <w:tab w:leader="none" w:pos="1419" w:val="left"/>
        </w:tabs>
        <w:numPr>
          <w:ilvl w:val="1"/>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Additional Restrictions. </w:t>
      </w:r>
      <w:r>
        <w:rPr>
          <w:rFonts w:ascii="Times New Roman" w:cs="Times New Roman" w:eastAsia="Times New Roman" w:hAnsi="Times New Roman"/>
          <w:sz w:val="14"/>
          <w:szCs w:val="14"/>
          <w:color w:val="auto"/>
        </w:rPr>
        <w:t>At the time of the grant of a Restricted Stock Unit Award, the Board, as it deems appropriate, may impose such restrictions or conditions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delay the delivery of the shares of Common Stock (or their cash equivalent) subject to a Restricted Stock Unit Award to a time after the vesting of such Restricted Stock Unit Award.</w:t>
      </w:r>
    </w:p>
    <w:p>
      <w:pPr>
        <w:spacing w:after="0" w:line="113" w:lineRule="exact"/>
        <w:rPr>
          <w:rFonts w:ascii="Times New Roman" w:cs="Times New Roman" w:eastAsia="Times New Roman" w:hAnsi="Times New Roman"/>
          <w:sz w:val="14"/>
          <w:szCs w:val="14"/>
          <w:b w:val="1"/>
          <w:bCs w:val="1"/>
          <w:color w:val="auto"/>
        </w:rPr>
      </w:pPr>
    </w:p>
    <w:p>
      <w:pPr>
        <w:jc w:val="both"/>
        <w:ind w:left="120" w:firstLine="1056"/>
        <w:spacing w:after="0" w:line="252" w:lineRule="auto"/>
        <w:tabs>
          <w:tab w:leader="none" w:pos="1386" w:val="left"/>
        </w:tabs>
        <w:numPr>
          <w:ilvl w:val="1"/>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Dividend Equivalents. </w:t>
      </w:r>
      <w:r>
        <w:rPr>
          <w:rFonts w:ascii="Times New Roman" w:cs="Times New Roman" w:eastAsia="Times New Roman" w:hAnsi="Times New Roman"/>
          <w:sz w:val="15"/>
          <w:szCs w:val="15"/>
          <w:color w:val="auto"/>
        </w:rPr>
        <w:t>Dividend equivalents may be credited in respect of shares of Common Stock covered by a Restricted Stock Unit Award, as determined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51" w:lineRule="exact"/>
        <w:rPr>
          <w:rFonts w:ascii="Times New Roman" w:cs="Times New Roman" w:eastAsia="Times New Roman" w:hAnsi="Times New Roman"/>
          <w:sz w:val="15"/>
          <w:szCs w:val="15"/>
          <w:b w:val="1"/>
          <w:bCs w:val="1"/>
          <w:color w:val="auto"/>
        </w:rPr>
      </w:pPr>
    </w:p>
    <w:p>
      <w:pPr>
        <w:ind w:left="120" w:firstLine="1056"/>
        <w:spacing w:after="0" w:line="271" w:lineRule="auto"/>
        <w:tabs>
          <w:tab w:leader="none" w:pos="1441" w:val="left"/>
        </w:tabs>
        <w:numPr>
          <w:ilvl w:val="1"/>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Termination of Participant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s Continuous Service. </w:t>
      </w:r>
      <w:r>
        <w:rPr>
          <w:rFonts w:ascii="Times New Roman" w:cs="Times New Roman" w:eastAsia="Times New Roman" w:hAnsi="Times New Roman"/>
          <w:sz w:val="15"/>
          <w:szCs w:val="15"/>
          <w:color w:val="auto"/>
        </w:rPr>
        <w:t>Except as otherwise provided in the applicable Restricted Stock Unit Award Agreement, such portion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Restricted Stock Unit Award that has not vested will be forfeited upon the Participant’s termination of Continuous Service.</w:t>
      </w:r>
    </w:p>
    <w:p>
      <w:pPr>
        <w:spacing w:after="0" w:line="136" w:lineRule="exact"/>
        <w:rPr>
          <w:rFonts w:ascii="Times New Roman" w:cs="Times New Roman" w:eastAsia="Times New Roman" w:hAnsi="Times New Roman"/>
          <w:sz w:val="15"/>
          <w:szCs w:val="15"/>
          <w:b w:val="1"/>
          <w:bCs w:val="1"/>
          <w:color w:val="auto"/>
        </w:rPr>
      </w:pPr>
    </w:p>
    <w:p>
      <w:pPr>
        <w:ind w:left="840" w:hanging="190"/>
        <w:spacing w:after="0"/>
        <w:tabs>
          <w:tab w:leader="none" w:pos="840" w:val="left"/>
        </w:tabs>
        <w:numPr>
          <w:ilvl w:val="0"/>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Performance Awards</w:t>
      </w:r>
      <w:r>
        <w:rPr>
          <w:rFonts w:ascii="Times New Roman" w:cs="Times New Roman" w:eastAsia="Times New Roman" w:hAnsi="Times New Roman"/>
          <w:sz w:val="15"/>
          <w:szCs w:val="15"/>
          <w:color w:val="auto"/>
        </w:rPr>
        <w:t>.</w:t>
      </w:r>
    </w:p>
    <w:p>
      <w:pPr>
        <w:spacing w:after="0" w:line="178" w:lineRule="exact"/>
        <w:rPr>
          <w:rFonts w:ascii="Times New Roman" w:cs="Times New Roman" w:eastAsia="Times New Roman" w:hAnsi="Times New Roman"/>
          <w:sz w:val="15"/>
          <w:szCs w:val="15"/>
          <w:b w:val="1"/>
          <w:bCs w:val="1"/>
          <w:color w:val="auto"/>
        </w:rPr>
      </w:pPr>
    </w:p>
    <w:p>
      <w:pPr>
        <w:jc w:val="both"/>
        <w:ind w:left="120" w:firstLine="1056"/>
        <w:spacing w:after="0" w:line="249" w:lineRule="auto"/>
        <w:tabs>
          <w:tab w:leader="none" w:pos="1353" w:val="left"/>
        </w:tabs>
        <w:numPr>
          <w:ilvl w:val="1"/>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Performance Stock Awards</w:t>
      </w:r>
      <w:r>
        <w:rPr>
          <w:rFonts w:ascii="Times New Roman" w:cs="Times New Roman" w:eastAsia="Times New Roman" w:hAnsi="Times New Roman"/>
          <w:sz w:val="15"/>
          <w:szCs w:val="15"/>
          <w:color w:val="auto"/>
        </w:rPr>
        <w:t>. A Performance Stock Award is a Stock Award (covering a number of shares not in excess of that set forth in Section 3(d) above) that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the Board, in its sole discretion. In addition, to the extent permitted by applicable law and the applicable Award Agreement, the Board may determine that cash may be used in payment of Performance Stock Awards.</w:t>
      </w:r>
    </w:p>
    <w:p>
      <w:pPr>
        <w:spacing w:after="0" w:line="153" w:lineRule="exact"/>
        <w:rPr>
          <w:rFonts w:ascii="Times New Roman" w:cs="Times New Roman" w:eastAsia="Times New Roman" w:hAnsi="Times New Roman"/>
          <w:sz w:val="15"/>
          <w:szCs w:val="15"/>
          <w:b w:val="1"/>
          <w:bCs w:val="1"/>
          <w:color w:val="auto"/>
        </w:rPr>
      </w:pPr>
    </w:p>
    <w:p>
      <w:pPr>
        <w:jc w:val="both"/>
        <w:ind w:left="120" w:firstLine="1056"/>
        <w:spacing w:after="0" w:line="249" w:lineRule="auto"/>
        <w:tabs>
          <w:tab w:leader="none" w:pos="1405" w:val="left"/>
        </w:tabs>
        <w:numPr>
          <w:ilvl w:val="1"/>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Performance Cash Awards</w:t>
      </w:r>
      <w:r>
        <w:rPr>
          <w:rFonts w:ascii="Times New Roman" w:cs="Times New Roman" w:eastAsia="Times New Roman" w:hAnsi="Times New Roman"/>
          <w:sz w:val="15"/>
          <w:szCs w:val="15"/>
          <w:color w:val="auto"/>
        </w:rPr>
        <w:t>. A Performance Cash Award is a cash award (for a dollar value not in excess of that set forth in Section 3(d) above) that is payable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53" w:lineRule="exact"/>
        <w:rPr>
          <w:rFonts w:ascii="Times New Roman" w:cs="Times New Roman" w:eastAsia="Times New Roman" w:hAnsi="Times New Roman"/>
          <w:sz w:val="15"/>
          <w:szCs w:val="15"/>
          <w:b w:val="1"/>
          <w:bCs w:val="1"/>
          <w:color w:val="auto"/>
        </w:rPr>
      </w:pPr>
    </w:p>
    <w:p>
      <w:pPr>
        <w:ind w:left="120" w:firstLine="1056"/>
        <w:spacing w:after="0" w:line="271" w:lineRule="auto"/>
        <w:tabs>
          <w:tab w:leader="none" w:pos="1438" w:val="left"/>
        </w:tabs>
        <w:numPr>
          <w:ilvl w:val="1"/>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Board Discretion</w:t>
      </w:r>
      <w:r>
        <w:rPr>
          <w:rFonts w:ascii="Times New Roman" w:cs="Times New Roman" w:eastAsia="Times New Roman" w:hAnsi="Times New Roman"/>
          <w:sz w:val="15"/>
          <w:szCs w:val="15"/>
          <w:color w:val="auto"/>
        </w:rPr>
        <w:t>. The Board retains the discretion to reduce or eliminate the compensation or economic benefit due upon attainment of Performance Goals and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define the manner of calculating the Performance Criteria it selects to use for a Performance Period.</w:t>
      </w:r>
    </w:p>
    <w:p>
      <w:pPr>
        <w:spacing w:after="0" w:line="136" w:lineRule="exact"/>
        <w:rPr>
          <w:rFonts w:ascii="Times New Roman" w:cs="Times New Roman" w:eastAsia="Times New Roman" w:hAnsi="Times New Roman"/>
          <w:sz w:val="15"/>
          <w:szCs w:val="15"/>
          <w:b w:val="1"/>
          <w:bCs w:val="1"/>
          <w:color w:val="auto"/>
        </w:rPr>
      </w:pPr>
    </w:p>
    <w:p>
      <w:pPr>
        <w:jc w:val="both"/>
        <w:ind w:left="120" w:firstLine="530"/>
        <w:spacing w:after="0" w:line="250" w:lineRule="auto"/>
        <w:tabs>
          <w:tab w:leader="none" w:pos="861" w:val="left"/>
        </w:tabs>
        <w:numPr>
          <w:ilvl w:val="0"/>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Other Stock Awards</w:t>
      </w:r>
      <w:r>
        <w:rPr>
          <w:rFonts w:ascii="Times New Roman" w:cs="Times New Roman" w:eastAsia="Times New Roman" w:hAnsi="Times New Roman"/>
          <w:sz w:val="15"/>
          <w:szCs w:val="15"/>
          <w:color w:val="auto"/>
        </w:rPr>
        <w:t>. Other forms of Stock Awards valued in whole or in part by reference to, or otherwise based on, Common Stock, including the appreciation in value thereof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ind w:left="280" w:hanging="156"/>
        <w:spacing w:after="0"/>
        <w:tabs>
          <w:tab w:leader="none" w:pos="280" w:val="left"/>
        </w:tabs>
        <w:numPr>
          <w:ilvl w:val="0"/>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Covenants of the Company.</w:t>
      </w:r>
    </w:p>
    <w:p>
      <w:pPr>
        <w:spacing w:after="0" w:line="178" w:lineRule="exact"/>
        <w:rPr>
          <w:rFonts w:ascii="Times New Roman" w:cs="Times New Roman" w:eastAsia="Times New Roman" w:hAnsi="Times New Roman"/>
          <w:sz w:val="15"/>
          <w:szCs w:val="15"/>
          <w:b w:val="1"/>
          <w:bCs w:val="1"/>
          <w:color w:val="auto"/>
        </w:rPr>
      </w:pPr>
    </w:p>
    <w:p>
      <w:pPr>
        <w:ind w:left="860" w:hanging="210"/>
        <w:spacing w:after="0"/>
        <w:tabs>
          <w:tab w:leader="none" w:pos="860" w:val="left"/>
        </w:tabs>
        <w:numPr>
          <w:ilvl w:val="1"/>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Availability of Shares. </w:t>
      </w:r>
      <w:r>
        <w:rPr>
          <w:rFonts w:ascii="Times New Roman" w:cs="Times New Roman" w:eastAsia="Times New Roman" w:hAnsi="Times New Roman"/>
          <w:sz w:val="15"/>
          <w:szCs w:val="15"/>
          <w:color w:val="auto"/>
        </w:rPr>
        <w:t>The Company will keep available at all times the number of shares of Common Stock reasonably required to satisfy then-outstanding Awards.</w:t>
      </w:r>
    </w:p>
    <w:p>
      <w:pPr>
        <w:spacing w:after="0" w:line="178" w:lineRule="exact"/>
        <w:rPr>
          <w:rFonts w:ascii="Times New Roman" w:cs="Times New Roman" w:eastAsia="Times New Roman" w:hAnsi="Times New Roman"/>
          <w:sz w:val="15"/>
          <w:szCs w:val="15"/>
          <w:b w:val="1"/>
          <w:bCs w:val="1"/>
          <w:color w:val="auto"/>
        </w:rPr>
      </w:pPr>
    </w:p>
    <w:p>
      <w:pPr>
        <w:jc w:val="both"/>
        <w:ind w:left="120" w:firstLine="530"/>
        <w:spacing w:after="0" w:line="248" w:lineRule="auto"/>
        <w:tabs>
          <w:tab w:leader="none" w:pos="864" w:val="left"/>
        </w:tabs>
        <w:numPr>
          <w:ilvl w:val="1"/>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Securities Law Compliance. </w:t>
      </w:r>
      <w:r>
        <w:rPr>
          <w:rFonts w:ascii="Times New Roman" w:cs="Times New Roman" w:eastAsia="Times New Roman" w:hAnsi="Times New Roman"/>
          <w:sz w:val="15"/>
          <w:szCs w:val="15"/>
          <w:color w:val="auto"/>
        </w:rPr>
        <w:t>The Company will seek to obtain from each regulatory commission or agency having jurisdiction over the Plan such authority as may be required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to grant Stock Awards and to issue and sell shares of Common Stock upon exercise of the Stock Awards;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54" w:lineRule="exact"/>
        <w:rPr>
          <w:rFonts w:ascii="Times New Roman" w:cs="Times New Roman" w:eastAsia="Times New Roman" w:hAnsi="Times New Roman"/>
          <w:sz w:val="15"/>
          <w:szCs w:val="15"/>
          <w:b w:val="1"/>
          <w:bCs w:val="1"/>
          <w:color w:val="auto"/>
        </w:rPr>
      </w:pPr>
    </w:p>
    <w:p>
      <w:pPr>
        <w:jc w:val="both"/>
        <w:ind w:left="120" w:firstLine="530"/>
        <w:spacing w:after="0" w:line="257" w:lineRule="auto"/>
        <w:tabs>
          <w:tab w:leader="none" w:pos="848" w:val="left"/>
        </w:tabs>
        <w:numPr>
          <w:ilvl w:val="1"/>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Obligation to Notify or Minimize Taxes. </w:t>
      </w:r>
      <w:r>
        <w:rPr>
          <w:rFonts w:ascii="Times New Roman" w:cs="Times New Roman" w:eastAsia="Times New Roman" w:hAnsi="Times New Roman"/>
          <w:sz w:val="15"/>
          <w:szCs w:val="15"/>
          <w:color w:val="auto"/>
        </w:rPr>
        <w:t>The Company will have no duty or obligation to any Participant to advise such holder as to the time or manner of exercising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46" w:lineRule="exact"/>
        <w:rPr>
          <w:rFonts w:ascii="Times New Roman" w:cs="Times New Roman" w:eastAsia="Times New Roman" w:hAnsi="Times New Roman"/>
          <w:sz w:val="15"/>
          <w:szCs w:val="15"/>
          <w:b w:val="1"/>
          <w:bCs w:val="1"/>
          <w:color w:val="auto"/>
        </w:rPr>
      </w:pPr>
    </w:p>
    <w:p>
      <w:pPr>
        <w:ind w:left="280" w:hanging="156"/>
        <w:spacing w:after="0"/>
        <w:tabs>
          <w:tab w:leader="none" w:pos="280" w:val="left"/>
        </w:tabs>
        <w:numPr>
          <w:ilvl w:val="0"/>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Miscellaneous.</w:t>
      </w:r>
    </w:p>
    <w:p>
      <w:pPr>
        <w:spacing w:after="0" w:line="178" w:lineRule="exact"/>
        <w:rPr>
          <w:rFonts w:ascii="Times New Roman" w:cs="Times New Roman" w:eastAsia="Times New Roman" w:hAnsi="Times New Roman"/>
          <w:sz w:val="15"/>
          <w:szCs w:val="15"/>
          <w:b w:val="1"/>
          <w:bCs w:val="1"/>
          <w:color w:val="auto"/>
        </w:rPr>
      </w:pPr>
    </w:p>
    <w:p>
      <w:pPr>
        <w:ind w:left="860" w:hanging="210"/>
        <w:spacing w:after="0"/>
        <w:tabs>
          <w:tab w:leader="none" w:pos="860" w:val="left"/>
        </w:tabs>
        <w:numPr>
          <w:ilvl w:val="1"/>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Use of Proceeds from Sales of Common Stock. </w:t>
      </w:r>
      <w:r>
        <w:rPr>
          <w:rFonts w:ascii="Times New Roman" w:cs="Times New Roman" w:eastAsia="Times New Roman" w:hAnsi="Times New Roman"/>
          <w:sz w:val="15"/>
          <w:szCs w:val="15"/>
          <w:color w:val="auto"/>
        </w:rPr>
        <w:t>Proceeds from the sale of shares of Common Stock pursuant to Awards will constitute general funds of the Company.</w:t>
      </w:r>
    </w:p>
    <w:p>
      <w:pPr>
        <w:spacing w:after="0" w:line="178" w:lineRule="exact"/>
        <w:rPr>
          <w:rFonts w:ascii="Times New Roman" w:cs="Times New Roman" w:eastAsia="Times New Roman" w:hAnsi="Times New Roman"/>
          <w:sz w:val="15"/>
          <w:szCs w:val="15"/>
          <w:b w:val="1"/>
          <w:bCs w:val="1"/>
          <w:color w:val="auto"/>
        </w:rPr>
      </w:pPr>
    </w:p>
    <w:p>
      <w:pPr>
        <w:jc w:val="both"/>
        <w:ind w:left="120" w:firstLine="530"/>
        <w:spacing w:after="0" w:line="249" w:lineRule="auto"/>
        <w:tabs>
          <w:tab w:leader="none" w:pos="870" w:val="left"/>
        </w:tabs>
        <w:numPr>
          <w:ilvl w:val="1"/>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Corporate Action Constituting Grant of Awards. </w:t>
      </w:r>
      <w:r>
        <w:rPr>
          <w:rFonts w:ascii="Times New Roman" w:cs="Times New Roman" w:eastAsia="Times New Roman" w:hAnsi="Times New Roman"/>
          <w:sz w:val="15"/>
          <w:szCs w:val="15"/>
          <w:color w:val="auto"/>
        </w:rPr>
        <w:t>Corporate action constituting a grant by the Company of an Award to any Participant will be deemed completed as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53" w:lineRule="exact"/>
        <w:rPr>
          <w:rFonts w:ascii="Times New Roman" w:cs="Times New Roman" w:eastAsia="Times New Roman" w:hAnsi="Times New Roman"/>
          <w:sz w:val="15"/>
          <w:szCs w:val="15"/>
          <w:b w:val="1"/>
          <w:bCs w:val="1"/>
          <w:color w:val="auto"/>
        </w:rPr>
      </w:pPr>
    </w:p>
    <w:p>
      <w:pPr>
        <w:jc w:val="both"/>
        <w:ind w:left="120" w:firstLine="530"/>
        <w:spacing w:after="0" w:line="257" w:lineRule="auto"/>
        <w:tabs>
          <w:tab w:leader="none" w:pos="844" w:val="left"/>
        </w:tabs>
        <w:numPr>
          <w:ilvl w:val="1"/>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Stockholder Rights. </w:t>
      </w:r>
      <w:r>
        <w:rPr>
          <w:rFonts w:ascii="Times New Roman" w:cs="Times New Roman" w:eastAsia="Times New Roman" w:hAnsi="Times New Roman"/>
          <w:sz w:val="15"/>
          <w:szCs w:val="15"/>
          <w:color w:val="auto"/>
        </w:rPr>
        <w:t>No Participant will be deemed to be the holder of, or to have any of the rights of a holder with respect to, any shares of Common Stock subject to an Award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unless and until (i) such Participant has satisfied all requirements for exercise of, or the issuance of shares under, the Award pursuant to its terms, and (ii) the issuance of the Common Stock subject to such Award has been entered into the books and records of the Company.</w:t>
      </w:r>
    </w:p>
    <w:p>
      <w:pPr>
        <w:spacing w:after="0" w:line="146" w:lineRule="exact"/>
        <w:rPr>
          <w:rFonts w:ascii="Times New Roman" w:cs="Times New Roman" w:eastAsia="Times New Roman" w:hAnsi="Times New Roman"/>
          <w:sz w:val="15"/>
          <w:szCs w:val="15"/>
          <w:b w:val="1"/>
          <w:bCs w:val="1"/>
          <w:color w:val="auto"/>
        </w:rPr>
      </w:pPr>
    </w:p>
    <w:p>
      <w:pPr>
        <w:jc w:val="both"/>
        <w:ind w:left="120" w:firstLine="530"/>
        <w:spacing w:after="0" w:line="250" w:lineRule="auto"/>
        <w:tabs>
          <w:tab w:leader="none" w:pos="868" w:val="left"/>
        </w:tabs>
        <w:numPr>
          <w:ilvl w:val="1"/>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Employment or Other Service Rights. </w:t>
      </w:r>
      <w:r>
        <w:rPr>
          <w:rFonts w:ascii="Times New Roman" w:cs="Times New Roman" w:eastAsia="Times New Roman" w:hAnsi="Times New Roman"/>
          <w:sz w:val="15"/>
          <w:szCs w:val="15"/>
          <w:color w:val="auto"/>
        </w:rPr>
        <w:t>Nothing in the Plan, any Award Agreement or any other instrument executed thereunder or in connection with any Award granted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both"/>
        <w:ind w:left="120" w:firstLine="530"/>
        <w:spacing w:after="0" w:line="249" w:lineRule="auto"/>
        <w:tabs>
          <w:tab w:leader="none" w:pos="853"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Change in Time Commitment. </w:t>
      </w:r>
      <w:r>
        <w:rPr>
          <w:rFonts w:ascii="Times New Roman" w:cs="Times New Roman" w:eastAsia="Times New Roman" w:hAnsi="Times New Roman"/>
          <w:sz w:val="15"/>
          <w:szCs w:val="15"/>
          <w:color w:val="auto"/>
        </w:rPr>
        <w:t>In the event a Participant’s regular level of time commitment in the performance of his or her services for the Company and any Affiliates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or extension, the Participant will have no right with respect to any portion of the Award that is so reduced or extended.</w:t>
      </w:r>
    </w:p>
    <w:p>
      <w:pPr>
        <w:spacing w:after="0" w:line="153" w:lineRule="exact"/>
        <w:rPr>
          <w:rFonts w:ascii="Times New Roman" w:cs="Times New Roman" w:eastAsia="Times New Roman" w:hAnsi="Times New Roman"/>
          <w:sz w:val="15"/>
          <w:szCs w:val="15"/>
          <w:b w:val="1"/>
          <w:bCs w:val="1"/>
          <w:color w:val="auto"/>
        </w:rPr>
      </w:pPr>
    </w:p>
    <w:p>
      <w:pPr>
        <w:jc w:val="both"/>
        <w:ind w:left="120" w:firstLine="530"/>
        <w:spacing w:after="0" w:line="250" w:lineRule="auto"/>
        <w:tabs>
          <w:tab w:leader="none" w:pos="839"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Incentive Stock Option Limitations. </w:t>
      </w:r>
      <w:r>
        <w:rPr>
          <w:rFonts w:ascii="Times New Roman" w:cs="Times New Roman" w:eastAsia="Times New Roman" w:hAnsi="Times New Roman"/>
          <w:sz w:val="15"/>
          <w:szCs w:val="15"/>
          <w:color w:val="auto"/>
        </w:rPr>
        <w:t>To the extent that the aggregate Fair Market Value (determined at the time of grant) of Common Stock with respect to which Incentive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3" w:lineRule="exact"/>
        <w:rPr>
          <w:rFonts w:ascii="Times New Roman" w:cs="Times New Roman" w:eastAsia="Times New Roman" w:hAnsi="Times New Roman"/>
          <w:sz w:val="15"/>
          <w:szCs w:val="15"/>
          <w:b w:val="1"/>
          <w:bCs w:val="1"/>
          <w:color w:val="auto"/>
        </w:rPr>
      </w:pPr>
    </w:p>
    <w:p>
      <w:pPr>
        <w:jc w:val="both"/>
        <w:ind w:left="120" w:firstLine="530"/>
        <w:spacing w:after="0" w:line="247" w:lineRule="auto"/>
        <w:tabs>
          <w:tab w:leader="none" w:pos="864"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Investment Assurances. </w:t>
      </w:r>
      <w:r>
        <w:rPr>
          <w:rFonts w:ascii="Times New Roman" w:cs="Times New Roman" w:eastAsia="Times New Roman" w:hAnsi="Times New Roman"/>
          <w:sz w:val="15"/>
          <w:szCs w:val="15"/>
          <w:color w:val="auto"/>
        </w:rPr>
        <w:t>The Company may require a Participant, as a condition of exercising or acquiring Common Stock under any Award, (i) to give written assurances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55" w:lineRule="exact"/>
        <w:rPr>
          <w:rFonts w:ascii="Times New Roman" w:cs="Times New Roman" w:eastAsia="Times New Roman" w:hAnsi="Times New Roman"/>
          <w:sz w:val="15"/>
          <w:szCs w:val="15"/>
          <w:b w:val="1"/>
          <w:bCs w:val="1"/>
          <w:color w:val="auto"/>
        </w:rPr>
      </w:pPr>
    </w:p>
    <w:p>
      <w:pPr>
        <w:jc w:val="both"/>
        <w:ind w:left="120" w:firstLine="530"/>
        <w:spacing w:after="0" w:line="249" w:lineRule="auto"/>
        <w:tabs>
          <w:tab w:leader="none" w:pos="866"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Withholding Obligations. </w:t>
      </w:r>
      <w:r>
        <w:rPr>
          <w:rFonts w:ascii="Times New Roman" w:cs="Times New Roman" w:eastAsia="Times New Roman" w:hAnsi="Times New Roman"/>
          <w:sz w:val="15"/>
          <w:szCs w:val="15"/>
          <w:color w:val="auto"/>
        </w:rPr>
        <w:t>Unless prohibited by the terms of an Award Agreement, the Company or any subsidiary may, in its sole discretion, satisfy any federal, state or local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no shares of Common Stock are withheld with a value exceeding the amount of tax required to be withheld by law based on the minimum statutory withholding rates (or such other rate, not to exceed the maximum statutory withholding rate, as may be determined by the Company after considering any accounting consequences or costs); (iii) withholding cash from an Award settled in cash; (iv) withholding payment from any amounts otherwise payable to the Participant; or (v) by such other method as may be set forth in the Award Agreement.</w:t>
      </w:r>
    </w:p>
    <w:p>
      <w:pPr>
        <w:spacing w:after="0" w:line="153" w:lineRule="exact"/>
        <w:rPr>
          <w:rFonts w:ascii="Times New Roman" w:cs="Times New Roman" w:eastAsia="Times New Roman" w:hAnsi="Times New Roman"/>
          <w:sz w:val="15"/>
          <w:szCs w:val="15"/>
          <w:b w:val="1"/>
          <w:bCs w:val="1"/>
          <w:color w:val="auto"/>
        </w:rPr>
      </w:pPr>
    </w:p>
    <w:p>
      <w:pPr>
        <w:ind w:left="120" w:firstLine="530"/>
        <w:spacing w:after="0" w:line="271" w:lineRule="auto"/>
        <w:tabs>
          <w:tab w:leader="none" w:pos="820"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Electronic Delivery</w:t>
      </w:r>
      <w:r>
        <w:rPr>
          <w:rFonts w:ascii="Times New Roman" w:cs="Times New Roman" w:eastAsia="Times New Roman" w:hAnsi="Times New Roman"/>
          <w:sz w:val="15"/>
          <w:szCs w:val="15"/>
          <w:color w:val="auto"/>
        </w:rPr>
        <w:t>. Any reference herein to a “written” agreement or document will include any agreement or document delivered electronically, filed publicly 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any successor website thereto) or posted on the Company’s intranet (or other shared electronic medium controlled by the Company to which the Participant has access).</w:t>
      </w:r>
    </w:p>
    <w:p>
      <w:pPr>
        <w:spacing w:after="0" w:line="136" w:lineRule="exact"/>
        <w:rPr>
          <w:rFonts w:ascii="Times New Roman" w:cs="Times New Roman" w:eastAsia="Times New Roman" w:hAnsi="Times New Roman"/>
          <w:sz w:val="15"/>
          <w:szCs w:val="15"/>
          <w:b w:val="1"/>
          <w:bCs w:val="1"/>
          <w:color w:val="auto"/>
        </w:rPr>
      </w:pPr>
    </w:p>
    <w:p>
      <w:pPr>
        <w:jc w:val="both"/>
        <w:ind w:left="120" w:firstLine="530"/>
        <w:spacing w:after="0" w:line="249" w:lineRule="auto"/>
        <w:tabs>
          <w:tab w:leader="none" w:pos="839"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Deferrals. </w:t>
      </w:r>
      <w:r>
        <w:rPr>
          <w:rFonts w:ascii="Times New Roman" w:cs="Times New Roman" w:eastAsia="Times New Roman" w:hAnsi="Times New Roman"/>
          <w:sz w:val="15"/>
          <w:szCs w:val="15"/>
          <w:color w:val="auto"/>
        </w:rPr>
        <w:t>To the extent permitted by applicable law, the Board, in its sole discretion, may determine that the delivery of Common Stock or the payment of cash, upon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both"/>
        <w:ind w:left="120" w:firstLine="530"/>
        <w:spacing w:after="0" w:line="246" w:lineRule="auto"/>
        <w:tabs>
          <w:tab w:leader="none" w:pos="874" w:val="left"/>
        </w:tabs>
        <w:numPr>
          <w:ilvl w:val="1"/>
          <w:numId w:val="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Compliance with Section 409A. </w:t>
      </w:r>
      <w:r>
        <w:rPr>
          <w:rFonts w:ascii="Times New Roman" w:cs="Times New Roman" w:eastAsia="Times New Roman" w:hAnsi="Times New Roman"/>
          <w:sz w:val="15"/>
          <w:szCs w:val="15"/>
          <w:color w:val="auto"/>
        </w:rPr>
        <w:t>Unless otherwise expressly provided for in an Award Agreement, the Plan and Award Agreements will be interpreted to the greatest extent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60" w:lineRule="exact"/>
        <w:rPr>
          <w:rFonts w:ascii="Times New Roman" w:cs="Times New Roman" w:eastAsia="Times New Roman" w:hAnsi="Times New Roman"/>
          <w:sz w:val="15"/>
          <w:szCs w:val="15"/>
          <w:b w:val="1"/>
          <w:bCs w:val="1"/>
          <w:color w:val="auto"/>
        </w:rPr>
      </w:pPr>
    </w:p>
    <w:p>
      <w:pPr>
        <w:jc w:val="both"/>
        <w:ind w:left="120" w:firstLine="530"/>
        <w:spacing w:after="0" w:line="247" w:lineRule="auto"/>
        <w:tabs>
          <w:tab w:leader="none" w:pos="831" w:val="left"/>
        </w:tabs>
        <w:numPr>
          <w:ilvl w:val="1"/>
          <w:numId w:val="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Clawback/Recovery</w:t>
      </w:r>
      <w:r>
        <w:rPr>
          <w:rFonts w:ascii="Times New Roman" w:cs="Times New Roman" w:eastAsia="Times New Roman" w:hAnsi="Times New Roman"/>
          <w:sz w:val="15"/>
          <w:szCs w:val="15"/>
          <w:color w:val="auto"/>
        </w:rPr>
        <w:t>. All Awards (including, without limitation, any proceeds, gains or other economic benefit actually or constructively received by a Participant upon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receipt or exercise of the Award or upon the receipt or sale of any shares of Common Stock underlying the Award)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(including, without limitation, the Company’s Policy for Recovery of Erroneously Awarded Compensation). In addition, the Board may impose such other clawback, recovery or recoupment provisions, including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57" w:lineRule="exact"/>
        <w:rPr>
          <w:rFonts w:ascii="Times New Roman" w:cs="Times New Roman" w:eastAsia="Times New Roman" w:hAnsi="Times New Roman"/>
          <w:sz w:val="15"/>
          <w:szCs w:val="15"/>
          <w:b w:val="1"/>
          <w:bCs w:val="1"/>
          <w:color w:val="auto"/>
        </w:rPr>
      </w:pPr>
    </w:p>
    <w:p>
      <w:pPr>
        <w:ind w:left="280" w:hanging="156"/>
        <w:spacing w:after="0"/>
        <w:tabs>
          <w:tab w:leader="none" w:pos="280" w:val="left"/>
        </w:tabs>
        <w:numPr>
          <w:ilvl w:val="0"/>
          <w:numId w:val="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Adjustments upon Changes in Common Stock; Other Corporate Events.</w:t>
      </w:r>
    </w:p>
    <w:p>
      <w:pPr>
        <w:spacing w:after="0" w:line="178" w:lineRule="exact"/>
        <w:rPr>
          <w:rFonts w:ascii="Times New Roman" w:cs="Times New Roman" w:eastAsia="Times New Roman" w:hAnsi="Times New Roman"/>
          <w:sz w:val="15"/>
          <w:szCs w:val="15"/>
          <w:b w:val="1"/>
          <w:bCs w:val="1"/>
          <w:color w:val="auto"/>
        </w:rPr>
      </w:pPr>
    </w:p>
    <w:p>
      <w:pPr>
        <w:jc w:val="both"/>
        <w:ind w:left="120" w:firstLine="530"/>
        <w:spacing w:after="0" w:line="252" w:lineRule="auto"/>
        <w:tabs>
          <w:tab w:leader="none" w:pos="864" w:val="left"/>
        </w:tabs>
        <w:numPr>
          <w:ilvl w:val="1"/>
          <w:numId w:val="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Capitalization Adjustments</w:t>
      </w:r>
      <w:r>
        <w:rPr>
          <w:rFonts w:ascii="Times New Roman" w:cs="Times New Roman" w:eastAsia="Times New Roman" w:hAnsi="Times New Roman"/>
          <w:sz w:val="15"/>
          <w:szCs w:val="15"/>
          <w:color w:val="auto"/>
        </w:rPr>
        <w:t>. In the event of a Capitalization Adjustment, the Board will appropriately and proportionately adjust: (i) the class(es) and maximum number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securities subject to the Plan pursuant to Section 3(a), (ii) the class(es) and maximum number of securities that may be issued pursuant to the exercise of Incentive Stock Options pursuant to Section 3(c), (iii) the class(es) and maximum number of securities that may be awarded to any person pursuant to Sections 3(d), and (iv) the class(es) and number of securities and price per share of stock subject to outstanding Stock Awards. The Board will make such adjustments, and its determination will be final, binding and conclusive.</w:t>
      </w:r>
    </w:p>
    <w:p>
      <w:pPr>
        <w:spacing w:after="0" w:line="151" w:lineRule="exact"/>
        <w:rPr>
          <w:rFonts w:ascii="Times New Roman" w:cs="Times New Roman" w:eastAsia="Times New Roman" w:hAnsi="Times New Roman"/>
          <w:sz w:val="15"/>
          <w:szCs w:val="15"/>
          <w:b w:val="1"/>
          <w:bCs w:val="1"/>
          <w:color w:val="auto"/>
        </w:rPr>
      </w:pPr>
    </w:p>
    <w:p>
      <w:pPr>
        <w:jc w:val="both"/>
        <w:ind w:left="120" w:firstLine="530"/>
        <w:spacing w:after="0" w:line="249" w:lineRule="auto"/>
        <w:tabs>
          <w:tab w:leader="none" w:pos="872" w:val="left"/>
        </w:tabs>
        <w:numPr>
          <w:ilvl w:val="1"/>
          <w:numId w:val="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Dissolution or Liquidation</w:t>
      </w:r>
      <w:r>
        <w:rPr>
          <w:rFonts w:ascii="Times New Roman" w:cs="Times New Roman" w:eastAsia="Times New Roman" w:hAnsi="Times New Roman"/>
          <w:sz w:val="15"/>
          <w:szCs w:val="15"/>
          <w:color w:val="auto"/>
        </w:rPr>
        <w:t>. Except as otherwise provided in the Stock Award Agreement, in the event of a dissolution or liquidation of the Company, all outstanding Stock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jc w:val="both"/>
        <w:ind w:left="120" w:firstLine="530"/>
        <w:spacing w:after="0" w:line="252" w:lineRule="auto"/>
        <w:tabs>
          <w:tab w:leader="none" w:pos="844" w:val="left"/>
        </w:tabs>
        <w:numPr>
          <w:ilvl w:val="0"/>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Corporate Transaction. </w:t>
      </w:r>
      <w:r>
        <w:rPr>
          <w:rFonts w:ascii="Times New Roman" w:cs="Times New Roman" w:eastAsia="Times New Roman" w:hAnsi="Times New Roman"/>
          <w:sz w:val="15"/>
          <w:szCs w:val="15"/>
          <w:color w:val="auto"/>
        </w:rPr>
        <w:t>The following provisions will apply to Stock Awards in the event of a Corporate Transaction unless otherwise provided in the instrument evidencing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will take one or more of the following actions with respect to Stock Awards, contingent upon the closing or completion of the Corporate Transaction:</w:t>
      </w:r>
    </w:p>
    <w:p>
      <w:pPr>
        <w:spacing w:after="0" w:line="153" w:lineRule="exact"/>
        <w:rPr>
          <w:rFonts w:ascii="Times New Roman" w:cs="Times New Roman" w:eastAsia="Times New Roman" w:hAnsi="Times New Roman"/>
          <w:sz w:val="15"/>
          <w:szCs w:val="15"/>
          <w:b w:val="1"/>
          <w:bCs w:val="1"/>
          <w:color w:val="auto"/>
        </w:rPr>
      </w:pPr>
    </w:p>
    <w:p>
      <w:pPr>
        <w:jc w:val="both"/>
        <w:ind w:left="120" w:firstLine="1056"/>
        <w:spacing w:after="0" w:line="256" w:lineRule="auto"/>
        <w:tabs>
          <w:tab w:leader="none" w:pos="1350" w:val="left"/>
        </w:tabs>
        <w:numPr>
          <w:ilvl w:val="1"/>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49" w:lineRule="exact"/>
        <w:rPr>
          <w:rFonts w:ascii="Times New Roman" w:cs="Times New Roman" w:eastAsia="Times New Roman" w:hAnsi="Times New Roman"/>
          <w:sz w:val="15"/>
          <w:szCs w:val="15"/>
          <w:b w:val="1"/>
          <w:bCs w:val="1"/>
          <w:color w:val="auto"/>
        </w:rPr>
      </w:pPr>
    </w:p>
    <w:p>
      <w:pPr>
        <w:ind w:left="120" w:firstLine="1056"/>
        <w:spacing w:after="0" w:line="268" w:lineRule="auto"/>
        <w:tabs>
          <w:tab w:leader="none" w:pos="1404" w:val="left"/>
        </w:tabs>
        <w:numPr>
          <w:ilvl w:val="1"/>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40" w:lineRule="exact"/>
        <w:rPr>
          <w:rFonts w:ascii="Times New Roman" w:cs="Times New Roman" w:eastAsia="Times New Roman" w:hAnsi="Times New Roman"/>
          <w:sz w:val="15"/>
          <w:szCs w:val="15"/>
          <w:b w:val="1"/>
          <w:bCs w:val="1"/>
          <w:color w:val="auto"/>
        </w:rPr>
      </w:pPr>
    </w:p>
    <w:p>
      <w:pPr>
        <w:jc w:val="both"/>
        <w:ind w:left="120" w:firstLine="1056"/>
        <w:spacing w:after="0" w:line="256" w:lineRule="auto"/>
        <w:tabs>
          <w:tab w:leader="none" w:pos="1433" w:val="left"/>
        </w:tabs>
        <w:numPr>
          <w:ilvl w:val="1"/>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accelerate the vesting, in whole or in part, of the Stock Award (and, if applicable, the time at which the Stock Award may be exercised) to a date prior to the effective time of such Corporate Transaction as the Board will determine (or, if the Board will not determine such a date, to the date that is five days prior to the effective date of the Corporate Transaction), with such Stock Award terminating if not exercised (if applicable) at or prior to the effective time of the Corporate Transaction;</w:t>
      </w:r>
    </w:p>
    <w:p>
      <w:pPr>
        <w:spacing w:after="0" w:line="149" w:lineRule="exact"/>
        <w:rPr>
          <w:rFonts w:ascii="Times New Roman" w:cs="Times New Roman" w:eastAsia="Times New Roman" w:hAnsi="Times New Roman"/>
          <w:sz w:val="15"/>
          <w:szCs w:val="15"/>
          <w:b w:val="1"/>
          <w:bCs w:val="1"/>
          <w:color w:val="auto"/>
        </w:rPr>
      </w:pPr>
    </w:p>
    <w:p>
      <w:pPr>
        <w:ind w:left="1420" w:hanging="244"/>
        <w:spacing w:after="0"/>
        <w:tabs>
          <w:tab w:leader="none" w:pos="1420" w:val="left"/>
        </w:tabs>
        <w:numPr>
          <w:ilvl w:val="1"/>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arrange for the lapse, in whole or in part, of any reacquisition or repurchase rights held by the Company with respect to the Stock Award;</w:t>
      </w:r>
    </w:p>
    <w:p>
      <w:pPr>
        <w:spacing w:after="0" w:line="178" w:lineRule="exact"/>
        <w:rPr>
          <w:rFonts w:ascii="Times New Roman" w:cs="Times New Roman" w:eastAsia="Times New Roman" w:hAnsi="Times New Roman"/>
          <w:sz w:val="15"/>
          <w:szCs w:val="15"/>
          <w:b w:val="1"/>
          <w:bCs w:val="1"/>
          <w:color w:val="auto"/>
        </w:rPr>
      </w:pPr>
    </w:p>
    <w:p>
      <w:pPr>
        <w:ind w:left="120" w:firstLine="1056"/>
        <w:spacing w:after="0" w:line="268" w:lineRule="auto"/>
        <w:tabs>
          <w:tab w:leader="none" w:pos="1384" w:val="left"/>
        </w:tabs>
        <w:numPr>
          <w:ilvl w:val="1"/>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140" w:lineRule="exact"/>
        <w:rPr>
          <w:rFonts w:ascii="Times New Roman" w:cs="Times New Roman" w:eastAsia="Times New Roman" w:hAnsi="Times New Roman"/>
          <w:sz w:val="15"/>
          <w:szCs w:val="15"/>
          <w:b w:val="1"/>
          <w:bCs w:val="1"/>
          <w:color w:val="auto"/>
        </w:rPr>
      </w:pPr>
    </w:p>
    <w:p>
      <w:pPr>
        <w:ind w:left="120" w:right="20" w:firstLine="1056"/>
        <w:spacing w:after="0" w:line="304" w:lineRule="auto"/>
        <w:tabs>
          <w:tab w:leader="none" w:pos="1421" w:val="left"/>
        </w:tabs>
        <w:numPr>
          <w:ilvl w:val="1"/>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w:t>
      </w:r>
    </w:p>
    <w:p>
      <w:pPr>
        <w:spacing w:after="0" w:line="118" w:lineRule="exact"/>
        <w:rPr>
          <w:sz w:val="20"/>
          <w:szCs w:val="20"/>
          <w:color w:val="auto"/>
        </w:rPr>
      </w:pPr>
    </w:p>
    <w:p>
      <w:pPr>
        <w:ind w:left="120" w:firstLine="526"/>
        <w:spacing w:after="0" w:line="268" w:lineRule="auto"/>
        <w:rPr>
          <w:sz w:val="20"/>
          <w:szCs w:val="20"/>
          <w:color w:val="auto"/>
        </w:rPr>
      </w:pPr>
      <w:r>
        <w:rPr>
          <w:rFonts w:ascii="Times New Roman" w:cs="Times New Roman" w:eastAsia="Times New Roman" w:hAnsi="Times New Roman"/>
          <w:sz w:val="15"/>
          <w:szCs w:val="15"/>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39" w:lineRule="exact"/>
        <w:rPr>
          <w:sz w:val="20"/>
          <w:szCs w:val="20"/>
          <w:color w:val="auto"/>
        </w:rPr>
      </w:pPr>
    </w:p>
    <w:p>
      <w:pPr>
        <w:jc w:val="both"/>
        <w:ind w:left="120" w:firstLine="530"/>
        <w:spacing w:after="0" w:line="257" w:lineRule="auto"/>
        <w:tabs>
          <w:tab w:leader="none" w:pos="868" w:val="left"/>
        </w:tabs>
        <w:numPr>
          <w:ilvl w:val="1"/>
          <w:numId w:val="6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Change in Control. </w:t>
      </w:r>
      <w:r>
        <w:rPr>
          <w:rFonts w:ascii="Times New Roman" w:cs="Times New Roman" w:eastAsia="Times New Roman" w:hAnsi="Times New Roman"/>
          <w:sz w:val="15"/>
          <w:szCs w:val="15"/>
          <w:color w:val="auto"/>
        </w:rPr>
        <w:t>A Stock Award may be subject to additional acceleration of vesting and exercisability upon or after a Change in Control as may be provided in the Stock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Award Agreement for such Stock Award or as may be provided in any other written agreement between the Company or any Affiliate and the Participant, but in the absence of such provision, no such acceleration will occur.</w:t>
      </w:r>
    </w:p>
    <w:p>
      <w:pPr>
        <w:spacing w:after="0" w:line="146" w:lineRule="exact"/>
        <w:rPr>
          <w:rFonts w:ascii="Times New Roman" w:cs="Times New Roman" w:eastAsia="Times New Roman" w:hAnsi="Times New Roman"/>
          <w:sz w:val="15"/>
          <w:szCs w:val="15"/>
          <w:b w:val="1"/>
          <w:bCs w:val="1"/>
          <w:color w:val="auto"/>
        </w:rPr>
      </w:pPr>
    </w:p>
    <w:p>
      <w:pPr>
        <w:ind w:left="340" w:hanging="216"/>
        <w:spacing w:after="0"/>
        <w:tabs>
          <w:tab w:leader="none" w:pos="340" w:val="left"/>
        </w:tabs>
        <w:numPr>
          <w:ilvl w:val="0"/>
          <w:numId w:val="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Plan Term; Earlier Termination or Suspension of the Plan.</w:t>
      </w:r>
    </w:p>
    <w:p>
      <w:pPr>
        <w:spacing w:after="0" w:line="180" w:lineRule="exact"/>
        <w:rPr>
          <w:sz w:val="20"/>
          <w:szCs w:val="20"/>
          <w:color w:val="auto"/>
        </w:rPr>
      </w:pPr>
    </w:p>
    <w:p>
      <w:pPr>
        <w:jc w:val="both"/>
        <w:ind w:left="120" w:firstLine="526"/>
        <w:spacing w:after="0" w:line="252" w:lineRule="auto"/>
        <w:rPr>
          <w:sz w:val="20"/>
          <w:szCs w:val="20"/>
          <w:color w:val="auto"/>
        </w:rPr>
      </w:pPr>
      <w:r>
        <w:rPr>
          <w:rFonts w:ascii="Times New Roman" w:cs="Times New Roman" w:eastAsia="Times New Roman" w:hAnsi="Times New Roman"/>
          <w:sz w:val="15"/>
          <w:szCs w:val="15"/>
          <w:color w:val="auto"/>
        </w:rPr>
        <w:t>The Board may suspend or terminate the Plan at any time. No Incentive Stock Options may be granted after the tenth anniversary of the earlier of (i) the date the Plan (as amended and restated) is adopted by the Board or (ii) the date the Plan (as amended and restated) is approved by the stockholders of the Company. No Awards may be granted under the Plan while the Plan is suspended or after it is terminated. For the avoidance of doubt, any Awards granted prior to the Amendment Date shall remain subject to the terms of the Award Agreement governing such Award, and the effectiveness of this Plan shall not constitute an amendment of such Award Agreement.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11. Effective Date of the Plan.</w:t>
      </w:r>
    </w:p>
    <w:p>
      <w:pPr>
        <w:spacing w:after="0" w:line="180" w:lineRule="exact"/>
        <w:rPr>
          <w:sz w:val="20"/>
          <w:szCs w:val="20"/>
          <w:color w:val="auto"/>
        </w:rPr>
      </w:pPr>
    </w:p>
    <w:p>
      <w:pPr>
        <w:ind w:left="120" w:firstLine="526"/>
        <w:spacing w:after="0" w:line="268" w:lineRule="auto"/>
        <w:rPr>
          <w:sz w:val="20"/>
          <w:szCs w:val="20"/>
          <w:color w:val="auto"/>
        </w:rPr>
      </w:pPr>
      <w:r>
        <w:rPr>
          <w:rFonts w:ascii="Times New Roman" w:cs="Times New Roman" w:eastAsia="Times New Roman" w:hAnsi="Times New Roman"/>
          <w:sz w:val="15"/>
          <w:szCs w:val="15"/>
          <w:color w:val="auto"/>
        </w:rPr>
        <w:t>The Plan, as amended and restated, shall become effective on the Amendment Date. In the event that the Company’s shareholders do not approve this Plan, Awards granted under the Existing Plan will continue to be subject to the terms and conditions of the Existing Plan as in effect immediately prior to the date this Plan is approved by the Board.</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12. Choice of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law of the State of Delaware will govern all questions concerning the construction, validity and interpretation of the Plan, without regard to that state’s conflict of laws rules.</w:t>
      </w:r>
    </w:p>
    <w:p>
      <w:pPr>
        <w:spacing w:after="0" w:line="188" w:lineRule="exact"/>
        <w:rPr>
          <w:sz w:val="20"/>
          <w:szCs w:val="20"/>
          <w:color w:val="auto"/>
        </w:rPr>
      </w:pPr>
    </w:p>
    <w:p>
      <w:pPr>
        <w:ind w:left="340" w:hanging="216"/>
        <w:spacing w:after="0"/>
        <w:tabs>
          <w:tab w:leader="none" w:pos="340" w:val="left"/>
        </w:tabs>
        <w:numPr>
          <w:ilvl w:val="0"/>
          <w:numId w:val="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Definitions. </w:t>
      </w:r>
      <w:r>
        <w:rPr>
          <w:rFonts w:ascii="Times New Roman" w:cs="Times New Roman" w:eastAsia="Times New Roman" w:hAnsi="Times New Roman"/>
          <w:sz w:val="15"/>
          <w:szCs w:val="15"/>
          <w:color w:val="auto"/>
        </w:rPr>
        <w:t>As used in the Plan, the following definitions will apply to the capitalized terms indicated below:</w:t>
      </w:r>
    </w:p>
    <w:p>
      <w:pPr>
        <w:spacing w:after="0" w:line="176" w:lineRule="exact"/>
        <w:rPr>
          <w:rFonts w:ascii="Times New Roman" w:cs="Times New Roman" w:eastAsia="Times New Roman" w:hAnsi="Times New Roman"/>
          <w:sz w:val="15"/>
          <w:szCs w:val="15"/>
          <w:b w:val="1"/>
          <w:bCs w:val="1"/>
          <w:color w:val="auto"/>
        </w:rPr>
      </w:pPr>
    </w:p>
    <w:p>
      <w:pPr>
        <w:ind w:left="120" w:firstLine="530"/>
        <w:spacing w:after="0" w:line="273" w:lineRule="auto"/>
        <w:tabs>
          <w:tab w:leader="none" w:pos="852" w:val="left"/>
        </w:tabs>
        <w:numPr>
          <w:ilvl w:val="1"/>
          <w:numId w:val="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Affiliate</w:t>
      </w:r>
      <w:r>
        <w:rPr>
          <w:rFonts w:ascii="Times New Roman" w:cs="Times New Roman" w:eastAsia="Times New Roman" w:hAnsi="Times New Roman"/>
          <w:sz w:val="15"/>
          <w:szCs w:val="15"/>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33" w:lineRule="exact"/>
        <w:rPr>
          <w:rFonts w:ascii="Times New Roman" w:cs="Times New Roman" w:eastAsia="Times New Roman" w:hAnsi="Times New Roman"/>
          <w:sz w:val="15"/>
          <w:szCs w:val="15"/>
          <w:b w:val="1"/>
          <w:bCs w:val="1"/>
          <w:color w:val="auto"/>
        </w:rPr>
      </w:pPr>
    </w:p>
    <w:p>
      <w:pPr>
        <w:ind w:left="860" w:hanging="210"/>
        <w:spacing w:after="0"/>
        <w:tabs>
          <w:tab w:leader="none" w:pos="860" w:val="left"/>
        </w:tabs>
        <w:numPr>
          <w:ilvl w:val="1"/>
          <w:numId w:val="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Amendment Date</w:t>
      </w:r>
      <w:r>
        <w:rPr>
          <w:rFonts w:ascii="Times New Roman" w:cs="Times New Roman" w:eastAsia="Times New Roman" w:hAnsi="Times New Roman"/>
          <w:sz w:val="15"/>
          <w:szCs w:val="15"/>
          <w:color w:val="auto"/>
        </w:rPr>
        <w:t>” means the date on which the Plan, as amended and restated, is approved by the Board, subject to approval of this Plan by the Company’s stockholders.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Award</w:t>
      </w:r>
      <w:r>
        <w:rPr>
          <w:rFonts w:ascii="Times New Roman" w:cs="Times New Roman" w:eastAsia="Times New Roman" w:hAnsi="Times New Roman"/>
          <w:sz w:val="15"/>
          <w:szCs w:val="15"/>
          <w:color w:val="auto"/>
        </w:rPr>
        <w:t>” means a Stock Award or a Performance Cash Award.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Award Agreement</w:t>
      </w:r>
      <w:r>
        <w:rPr>
          <w:rFonts w:ascii="Times New Roman" w:cs="Times New Roman" w:eastAsia="Times New Roman" w:hAnsi="Times New Roman"/>
          <w:sz w:val="15"/>
          <w:szCs w:val="15"/>
          <w:color w:val="auto"/>
        </w:rPr>
        <w:t>” means a written or electronic agreement between the Company and a Participant evidencing the terms and conditions of an Award.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means the Board of Directors of the Company.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Capital Stock</w:t>
      </w:r>
      <w:r>
        <w:rPr>
          <w:rFonts w:ascii="Times New Roman" w:cs="Times New Roman" w:eastAsia="Times New Roman" w:hAnsi="Times New Roman"/>
          <w:sz w:val="15"/>
          <w:szCs w:val="15"/>
          <w:color w:val="auto"/>
        </w:rPr>
        <w:t>” means each and every class of common stock of the Company, regardless of the number of votes per share.</w:t>
      </w:r>
    </w:p>
    <w:p>
      <w:pPr>
        <w:spacing w:after="0" w:line="178" w:lineRule="exact"/>
        <w:rPr>
          <w:sz w:val="20"/>
          <w:szCs w:val="20"/>
          <w:color w:val="auto"/>
        </w:rPr>
      </w:pPr>
    </w:p>
    <w:p>
      <w:pPr>
        <w:jc w:val="both"/>
        <w:ind w:left="120" w:firstLine="530"/>
        <w:spacing w:after="0" w:line="251" w:lineRule="auto"/>
        <w:tabs>
          <w:tab w:leader="none" w:pos="852"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Capitalization Adjustment</w:t>
      </w:r>
      <w:r>
        <w:rPr>
          <w:rFonts w:ascii="Times New Roman" w:cs="Times New Roman" w:eastAsia="Times New Roman" w:hAnsi="Times New Roman"/>
          <w:sz w:val="15"/>
          <w:szCs w:val="15"/>
          <w:color w:val="auto"/>
        </w:rPr>
        <w:t>” means any change that is made in, or other events that occur with respect to, the Common Stock subject to the Plan or subject to any Stock Award after the Amendment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50" w:lineRule="exact"/>
        <w:rPr>
          <w:sz w:val="20"/>
          <w:szCs w:val="20"/>
          <w:color w:val="auto"/>
        </w:rPr>
      </w:pPr>
    </w:p>
    <w:p>
      <w:pPr>
        <w:jc w:val="both"/>
        <w:ind w:left="120" w:firstLine="526"/>
        <w:spacing w:after="0" w:line="275" w:lineRule="auto"/>
        <w:rPr>
          <w:sz w:val="20"/>
          <w:szCs w:val="20"/>
          <w:color w:val="auto"/>
        </w:rPr>
      </w:pP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Cause</w:t>
      </w:r>
      <w:r>
        <w:rPr>
          <w:rFonts w:ascii="Times New Roman" w:cs="Times New Roman" w:eastAsia="Times New Roman" w:hAnsi="Times New Roman"/>
          <w:sz w:val="14"/>
          <w:szCs w:val="14"/>
          <w:color w:val="auto"/>
        </w:rPr>
        <w:t>” will have the meaning ascribed to such term in any written agreement between the Participant and the Company defining such term and, in the absence of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such term shall mean, with respect to a Participant, the occurrence of any of the following events that has a material negative impact on the business or reputation of the Company:</w:t>
      </w:r>
    </w:p>
    <w:p>
      <w:pPr>
        <w:jc w:val="both"/>
        <w:ind w:left="120" w:firstLine="4"/>
        <w:spacing w:after="0" w:line="266" w:lineRule="auto"/>
        <w:tabs>
          <w:tab w:leader="none" w:pos="30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Change in Control</w:t>
      </w:r>
      <w:r>
        <w:rPr>
          <w:rFonts w:ascii="Times New Roman" w:cs="Times New Roman" w:eastAsia="Times New Roman" w:hAnsi="Times New Roman"/>
          <w:sz w:val="15"/>
          <w:szCs w:val="15"/>
          <w:color w:val="auto"/>
        </w:rPr>
        <w:t>” means the occurrence, in a single transaction or in a series of related transactions, of any one or more of the following events:</w:t>
      </w:r>
    </w:p>
    <w:p>
      <w:pPr>
        <w:spacing w:after="0" w:line="182" w:lineRule="exact"/>
        <w:rPr>
          <w:sz w:val="20"/>
          <w:szCs w:val="20"/>
          <w:color w:val="auto"/>
        </w:rPr>
      </w:pPr>
    </w:p>
    <w:p>
      <w:pPr>
        <w:jc w:val="both"/>
        <w:ind w:left="120" w:firstLine="1056"/>
        <w:spacing w:after="0" w:line="272" w:lineRule="auto"/>
        <w:tabs>
          <w:tab w:leader="none" w:pos="1359" w:val="left"/>
        </w:tabs>
        <w:numPr>
          <w:ilvl w:val="1"/>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w:t>
      </w:r>
    </w:p>
    <w:p>
      <w:pPr>
        <w:jc w:val="both"/>
        <w:ind w:left="120" w:firstLine="4"/>
        <w:spacing w:after="0" w:line="244" w:lineRule="auto"/>
        <w:tabs>
          <w:tab w:leader="none" w:pos="362"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5"/>
          <w:szCs w:val="15"/>
          <w:b w:val="1"/>
          <w:bCs w:val="1"/>
          <w:i w:val="1"/>
          <w:iCs w:val="1"/>
          <w:color w:val="auto"/>
        </w:rPr>
        <w:t>Subject Person</w:t>
      </w:r>
      <w:r>
        <w:rPr>
          <w:rFonts w:ascii="Times New Roman" w:cs="Times New Roman" w:eastAsia="Times New Roman" w:hAnsi="Times New Roman"/>
          <w:sz w:val="15"/>
          <w:szCs w:val="15"/>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59" w:lineRule="exact"/>
        <w:rPr>
          <w:rFonts w:ascii="Times New Roman" w:cs="Times New Roman" w:eastAsia="Times New Roman" w:hAnsi="Times New Roman"/>
          <w:sz w:val="15"/>
          <w:szCs w:val="15"/>
          <w:color w:val="auto"/>
        </w:rPr>
      </w:pPr>
    </w:p>
    <w:p>
      <w:pPr>
        <w:jc w:val="both"/>
        <w:ind w:left="120" w:firstLine="1056"/>
        <w:spacing w:after="0" w:line="247" w:lineRule="auto"/>
        <w:tabs>
          <w:tab w:leader="none" w:pos="1398" w:val="left"/>
        </w:tabs>
        <w:numPr>
          <w:ilvl w:val="1"/>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159" w:lineRule="exact"/>
        <w:rPr>
          <w:rFonts w:ascii="Times New Roman" w:cs="Times New Roman" w:eastAsia="Times New Roman" w:hAnsi="Times New Roman"/>
          <w:sz w:val="15"/>
          <w:szCs w:val="15"/>
          <w:b w:val="1"/>
          <w:bCs w:val="1"/>
          <w:color w:val="auto"/>
        </w:rPr>
      </w:pPr>
    </w:p>
    <w:p>
      <w:pPr>
        <w:jc w:val="both"/>
        <w:ind w:left="120" w:firstLine="1056"/>
        <w:spacing w:after="0" w:line="248" w:lineRule="auto"/>
        <w:tabs>
          <w:tab w:leader="none" w:pos="1431" w:val="left"/>
        </w:tabs>
        <w:numPr>
          <w:ilvl w:val="1"/>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 or</w:t>
      </w:r>
    </w:p>
    <w:p>
      <w:pPr>
        <w:spacing w:after="0" w:line="153" w:lineRule="exact"/>
        <w:rPr>
          <w:rFonts w:ascii="Times New Roman" w:cs="Times New Roman" w:eastAsia="Times New Roman" w:hAnsi="Times New Roman"/>
          <w:sz w:val="15"/>
          <w:szCs w:val="15"/>
          <w:b w:val="1"/>
          <w:bCs w:val="1"/>
          <w:color w:val="auto"/>
        </w:rPr>
      </w:pPr>
    </w:p>
    <w:p>
      <w:pPr>
        <w:jc w:val="both"/>
        <w:ind w:left="120" w:firstLine="1056"/>
        <w:spacing w:after="0" w:line="258" w:lineRule="auto"/>
        <w:tabs>
          <w:tab w:leader="none" w:pos="1421" w:val="left"/>
        </w:tabs>
        <w:numPr>
          <w:ilvl w:val="1"/>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individuals who, on the date the Plan is adopted by the Board, are members of the Board (the “</w:t>
      </w:r>
      <w:r>
        <w:rPr>
          <w:rFonts w:ascii="Times New Roman" w:cs="Times New Roman" w:eastAsia="Times New Roman" w:hAnsi="Times New Roman"/>
          <w:sz w:val="15"/>
          <w:szCs w:val="15"/>
          <w:b w:val="1"/>
          <w:bCs w:val="1"/>
          <w:i w:val="1"/>
          <w:iCs w:val="1"/>
          <w:color w:val="auto"/>
        </w:rPr>
        <w:t>Incumbent Board</w:t>
      </w:r>
      <w:r>
        <w:rPr>
          <w:rFonts w:ascii="Times New Roman" w:cs="Times New Roman" w:eastAsia="Times New Roman" w:hAnsi="Times New Roman"/>
          <w:sz w:val="15"/>
          <w:szCs w:val="15"/>
          <w:color w:val="auto"/>
        </w:rPr>
        <w:t xml:space="preserve">”) cease for any reason to constitute at least a majority of the members of the Board;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49" w:lineRule="exact"/>
        <w:rPr>
          <w:sz w:val="20"/>
          <w:szCs w:val="20"/>
          <w:color w:val="auto"/>
        </w:rPr>
      </w:pPr>
    </w:p>
    <w:p>
      <w:pPr>
        <w:jc w:val="both"/>
        <w:ind w:left="120" w:firstLine="526"/>
        <w:spacing w:after="0" w:line="252" w:lineRule="auto"/>
        <w:rPr>
          <w:sz w:val="20"/>
          <w:szCs w:val="20"/>
          <w:color w:val="auto"/>
        </w:rPr>
      </w:pPr>
      <w:r>
        <w:rPr>
          <w:rFonts w:ascii="Times New Roman" w:cs="Times New Roman" w:eastAsia="Times New Roman" w:hAnsi="Times New Roman"/>
          <w:sz w:val="15"/>
          <w:szCs w:val="15"/>
          <w:color w:val="auto"/>
        </w:rPr>
        <w:t xml:space="preserve">Notwithstanding the foregoing definition or any other provision of this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if no definition of Change in Control or any analogous term is set forth in such an individual written agreement, the foregoing definition will apply.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(j)</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means the Internal Revenue Code of 1986, as amended, including any applicable regulations and guidance thereunder.</w:t>
      </w:r>
    </w:p>
    <w:p>
      <w:pPr>
        <w:spacing w:after="0" w:line="178" w:lineRule="exact"/>
        <w:rPr>
          <w:sz w:val="20"/>
          <w:szCs w:val="20"/>
          <w:color w:val="auto"/>
        </w:rPr>
      </w:pPr>
    </w:p>
    <w:p>
      <w:pPr>
        <w:ind w:left="860" w:hanging="210"/>
        <w:spacing w:after="0"/>
        <w:tabs>
          <w:tab w:leader="none" w:pos="860"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means a committee of one or more Directors to whom authority has been delegated by the Board in accordance with Section 2(c).</w:t>
      </w:r>
    </w:p>
    <w:p>
      <w:pPr>
        <w:spacing w:after="0" w:line="178" w:lineRule="exact"/>
        <w:rPr>
          <w:rFonts w:ascii="Times New Roman" w:cs="Times New Roman" w:eastAsia="Times New Roman" w:hAnsi="Times New Roman"/>
          <w:sz w:val="15"/>
          <w:szCs w:val="15"/>
          <w:b w:val="1"/>
          <w:bCs w:val="1"/>
          <w:color w:val="auto"/>
        </w:rPr>
      </w:pPr>
    </w:p>
    <w:p>
      <w:pPr>
        <w:ind w:left="820" w:hanging="170"/>
        <w:spacing w:after="0"/>
        <w:tabs>
          <w:tab w:leader="none" w:pos="820"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means, as of the Amendment Date, the common stock of the Company.</w:t>
      </w:r>
    </w:p>
    <w:p>
      <w:pPr>
        <w:spacing w:after="0" w:line="178" w:lineRule="exact"/>
        <w:rPr>
          <w:rFonts w:ascii="Times New Roman" w:cs="Times New Roman" w:eastAsia="Times New Roman" w:hAnsi="Times New Roman"/>
          <w:sz w:val="15"/>
          <w:szCs w:val="15"/>
          <w:b w:val="1"/>
          <w:bCs w:val="1"/>
          <w:color w:val="auto"/>
        </w:rPr>
      </w:pPr>
    </w:p>
    <w:p>
      <w:pPr>
        <w:ind w:left="900" w:hanging="250"/>
        <w:spacing w:after="0"/>
        <w:tabs>
          <w:tab w:leader="none" w:pos="900"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Zevra Therapeutics, Inc., a Delaware corporation.</w:t>
      </w:r>
    </w:p>
    <w:p>
      <w:pPr>
        <w:spacing w:after="0" w:line="178" w:lineRule="exact"/>
        <w:rPr>
          <w:sz w:val="20"/>
          <w:szCs w:val="20"/>
          <w:color w:val="auto"/>
        </w:rPr>
      </w:pPr>
    </w:p>
    <w:p>
      <w:pPr>
        <w:jc w:val="both"/>
        <w:ind w:left="120" w:firstLine="526"/>
        <w:spacing w:after="0" w:line="253" w:lineRule="auto"/>
        <w:rPr>
          <w:sz w:val="20"/>
          <w:szCs w:val="20"/>
          <w:color w:val="auto"/>
        </w:rPr>
      </w:pP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Consultant</w:t>
      </w:r>
      <w:r>
        <w:rPr>
          <w:rFonts w:ascii="Times New Roman" w:cs="Times New Roman" w:eastAsia="Times New Roman" w:hAnsi="Times New Roman"/>
          <w:sz w:val="15"/>
          <w:szCs w:val="15"/>
          <w:color w:val="auto"/>
        </w:rPr>
        <w:t>” means any person, including an advisor, who is (i) engaged by the Company or an Affiliate to render consulting or advisory services and is compensated for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49" w:lineRule="exact"/>
        <w:rPr>
          <w:sz w:val="20"/>
          <w:szCs w:val="20"/>
          <w:color w:val="auto"/>
        </w:rPr>
      </w:pPr>
    </w:p>
    <w:p>
      <w:pPr>
        <w:jc w:val="both"/>
        <w:ind w:left="120" w:firstLine="526"/>
        <w:spacing w:after="0" w:line="247" w:lineRule="auto"/>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Continuous Service</w:t>
      </w:r>
      <w:r>
        <w:rPr>
          <w:rFonts w:ascii="Times New Roman" w:cs="Times New Roman" w:eastAsia="Times New Roman" w:hAnsi="Times New Roman"/>
          <w:sz w:val="15"/>
          <w:szCs w:val="15"/>
          <w:color w:val="auto"/>
        </w:rPr>
        <w:t>” means that the Participant’s service with the Company or an Affiliate, whether as an Employee, Director or Consultant, is not interrupted or terminated.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if the Entity for which a Participant is rendering services ceases to qualify as an Affiliate, as determined by the Board, in its sole discretion, such Participant’s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Corporate Transaction</w:t>
      </w:r>
      <w:r>
        <w:rPr>
          <w:rFonts w:ascii="Times New Roman" w:cs="Times New Roman" w:eastAsia="Times New Roman" w:hAnsi="Times New Roman"/>
          <w:sz w:val="15"/>
          <w:szCs w:val="15"/>
          <w:color w:val="auto"/>
        </w:rPr>
        <w:t>” means the consummation, in a single transaction or in a series of related transactions, of any one or more of the following events:</w:t>
      </w:r>
    </w:p>
    <w:p>
      <w:pPr>
        <w:spacing w:after="0" w:line="182" w:lineRule="exact"/>
        <w:rPr>
          <w:sz w:val="20"/>
          <w:szCs w:val="20"/>
          <w:color w:val="auto"/>
        </w:rPr>
      </w:pPr>
    </w:p>
    <w:p>
      <w:pPr>
        <w:ind w:left="1360" w:hanging="184"/>
        <w:spacing w:after="0"/>
        <w:tabs>
          <w:tab w:leader="none" w:pos="1360"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sale or other disposition of all or substantially all, as determined by the Board, in its sole discretion, of the consolidated assets of the Company and its Subsidiaries;</w:t>
      </w:r>
    </w:p>
    <w:p>
      <w:pPr>
        <w:spacing w:after="0" w:line="178" w:lineRule="exact"/>
        <w:rPr>
          <w:rFonts w:ascii="Times New Roman" w:cs="Times New Roman" w:eastAsia="Times New Roman" w:hAnsi="Times New Roman"/>
          <w:sz w:val="15"/>
          <w:szCs w:val="15"/>
          <w:b w:val="1"/>
          <w:bCs w:val="1"/>
          <w:color w:val="auto"/>
        </w:rPr>
      </w:pPr>
    </w:p>
    <w:p>
      <w:pPr>
        <w:ind w:left="1400" w:hanging="224"/>
        <w:spacing w:after="0"/>
        <w:tabs>
          <w:tab w:leader="none" w:pos="1400"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sale or other disposition of at least 50% of the outstanding securities of the Company;</w:t>
      </w:r>
    </w:p>
    <w:p>
      <w:pPr>
        <w:spacing w:after="0" w:line="178" w:lineRule="exact"/>
        <w:rPr>
          <w:rFonts w:ascii="Times New Roman" w:cs="Times New Roman" w:eastAsia="Times New Roman" w:hAnsi="Times New Roman"/>
          <w:sz w:val="15"/>
          <w:szCs w:val="15"/>
          <w:b w:val="1"/>
          <w:bCs w:val="1"/>
          <w:color w:val="auto"/>
        </w:rPr>
      </w:pPr>
    </w:p>
    <w:p>
      <w:pPr>
        <w:ind w:left="1440" w:hanging="264"/>
        <w:spacing w:after="0"/>
        <w:tabs>
          <w:tab w:leader="none" w:pos="1440"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merger, consolidation or similar transaction following which the Company is not the surviving corporation; or</w:t>
      </w:r>
    </w:p>
    <w:p>
      <w:pPr>
        <w:spacing w:after="0" w:line="178" w:lineRule="exact"/>
        <w:rPr>
          <w:rFonts w:ascii="Times New Roman" w:cs="Times New Roman" w:eastAsia="Times New Roman" w:hAnsi="Times New Roman"/>
          <w:sz w:val="15"/>
          <w:szCs w:val="15"/>
          <w:b w:val="1"/>
          <w:bCs w:val="1"/>
          <w:color w:val="auto"/>
        </w:rPr>
      </w:pPr>
    </w:p>
    <w:p>
      <w:pPr>
        <w:jc w:val="both"/>
        <w:ind w:left="120" w:firstLine="1056"/>
        <w:spacing w:after="0" w:line="256" w:lineRule="auto"/>
        <w:tabs>
          <w:tab w:leader="none" w:pos="1433"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(q)</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Director</w:t>
      </w:r>
      <w:r>
        <w:rPr>
          <w:rFonts w:ascii="Times New Roman" w:cs="Times New Roman" w:eastAsia="Times New Roman" w:hAnsi="Times New Roman"/>
          <w:sz w:val="15"/>
          <w:szCs w:val="15"/>
          <w:color w:val="auto"/>
        </w:rPr>
        <w:t>” means a member of the Board.</w:t>
      </w:r>
    </w:p>
    <w:p>
      <w:pPr>
        <w:spacing w:after="0" w:line="178" w:lineRule="exact"/>
        <w:rPr>
          <w:sz w:val="20"/>
          <w:szCs w:val="20"/>
          <w:color w:val="auto"/>
        </w:rPr>
      </w:pPr>
    </w:p>
    <w:p>
      <w:pPr>
        <w:jc w:val="both"/>
        <w:ind w:left="120" w:firstLine="526"/>
        <w:spacing w:after="0" w:line="258" w:lineRule="auto"/>
        <w:rPr>
          <w:sz w:val="20"/>
          <w:szCs w:val="20"/>
          <w:color w:val="auto"/>
        </w:rPr>
      </w:pPr>
      <w:r>
        <w:rPr>
          <w:rFonts w:ascii="Times New Roman" w:cs="Times New Roman" w:eastAsia="Times New Roman" w:hAnsi="Times New Roman"/>
          <w:sz w:val="15"/>
          <w:szCs w:val="15"/>
          <w:b w:val="1"/>
          <w:bCs w:val="1"/>
          <w:color w:val="auto"/>
        </w:rPr>
        <w:t>(r)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Disability</w:t>
      </w:r>
      <w:r>
        <w:rPr>
          <w:rFonts w:ascii="Times New Roman" w:cs="Times New Roman" w:eastAsia="Times New Roman" w:hAnsi="Times New Roman"/>
          <w:sz w:val="15"/>
          <w:szCs w:val="15"/>
          <w:color w:val="auto"/>
        </w:rPr>
        <w:t>” means, with respect to a Participant, the inability of such Participant to engage in any substantial gainful activity by reason of any medically determinable physical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4" w:lineRule="exact"/>
        <w:rPr>
          <w:sz w:val="20"/>
          <w:szCs w:val="20"/>
          <w:color w:val="auto"/>
        </w:rPr>
      </w:pPr>
    </w:p>
    <w:p>
      <w:pPr>
        <w:jc w:val="both"/>
        <w:ind w:left="120" w:firstLine="526"/>
        <w:spacing w:after="0" w:line="273" w:lineRule="auto"/>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Employee</w:t>
      </w:r>
      <w:r>
        <w:rPr>
          <w:rFonts w:ascii="Times New Roman" w:cs="Times New Roman" w:eastAsia="Times New Roman" w:hAnsi="Times New Roman"/>
          <w:sz w:val="15"/>
          <w:szCs w:val="15"/>
          <w:color w:val="auto"/>
        </w:rPr>
        <w:t>” means any person employed by the Company or an Affiliate. However, service solely as a Director, or payment of a fee for such services, will not cause a Director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 considered an “Employee” for purposes of the Plan.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Entity</w:t>
      </w:r>
      <w:r>
        <w:rPr>
          <w:rFonts w:ascii="Times New Roman" w:cs="Times New Roman" w:eastAsia="Times New Roman" w:hAnsi="Times New Roman"/>
          <w:sz w:val="15"/>
          <w:szCs w:val="15"/>
          <w:color w:val="auto"/>
        </w:rPr>
        <w:t>” means a corporation, partnership, limited liability company or other entity.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(u)</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 and the rules and regulations promulgated thereunder.</w:t>
      </w:r>
    </w:p>
    <w:p>
      <w:pPr>
        <w:spacing w:after="0" w:line="178" w:lineRule="exact"/>
        <w:rPr>
          <w:sz w:val="20"/>
          <w:szCs w:val="20"/>
          <w:color w:val="auto"/>
        </w:rPr>
      </w:pPr>
    </w:p>
    <w:p>
      <w:pPr>
        <w:jc w:val="both"/>
        <w:ind w:left="120" w:firstLine="526"/>
        <w:spacing w:after="0" w:line="249" w:lineRule="auto"/>
        <w:rPr>
          <w:sz w:val="20"/>
          <w:szCs w:val="20"/>
          <w:color w:val="auto"/>
        </w:rPr>
      </w:pPr>
      <w:r>
        <w:rPr>
          <w:rFonts w:ascii="Times New Roman" w:cs="Times New Roman" w:eastAsia="Times New Roman" w:hAnsi="Times New Roman"/>
          <w:sz w:val="15"/>
          <w:szCs w:val="15"/>
          <w:b w:val="1"/>
          <w:bCs w:val="1"/>
          <w:color w:val="auto"/>
        </w:rPr>
        <w:t>(v)</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Exchange Act Person</w:t>
      </w:r>
      <w:r>
        <w:rPr>
          <w:rFonts w:ascii="Times New Roman" w:cs="Times New Roman" w:eastAsia="Times New Roman" w:hAnsi="Times New Roman"/>
          <w:sz w:val="15"/>
          <w:szCs w:val="15"/>
          <w:color w:val="auto"/>
        </w:rPr>
        <w:t>” means any natural person, Entity or “group” (within the meaning of Section 13(d) or 14(d) of the Exchange Act), except that “Exchange Act Person”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Amendment Date, is the Owner, directly or indirectly, of securities of the Company representing more than 50% of the combined voting power of the Company’s then outstanding securities.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Fair Market Value</w:t>
      </w:r>
      <w:r>
        <w:rPr>
          <w:rFonts w:ascii="Times New Roman" w:cs="Times New Roman" w:eastAsia="Times New Roman" w:hAnsi="Times New Roman"/>
          <w:sz w:val="15"/>
          <w:szCs w:val="15"/>
          <w:color w:val="auto"/>
        </w:rPr>
        <w:t>” means, as of any date, the value of the Common Stock determined as follows:</w:t>
      </w:r>
    </w:p>
    <w:p>
      <w:pPr>
        <w:spacing w:after="0" w:line="182" w:lineRule="exact"/>
        <w:rPr>
          <w:sz w:val="20"/>
          <w:szCs w:val="20"/>
          <w:color w:val="auto"/>
        </w:rPr>
      </w:pPr>
    </w:p>
    <w:p>
      <w:pPr>
        <w:jc w:val="both"/>
        <w:ind w:left="120" w:firstLine="1056"/>
        <w:spacing w:after="0" w:line="256" w:lineRule="auto"/>
        <w:tabs>
          <w:tab w:leader="none" w:pos="1349"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49" w:lineRule="exact"/>
        <w:rPr>
          <w:rFonts w:ascii="Times New Roman" w:cs="Times New Roman" w:eastAsia="Times New Roman" w:hAnsi="Times New Roman"/>
          <w:sz w:val="15"/>
          <w:szCs w:val="15"/>
          <w:b w:val="1"/>
          <w:bCs w:val="1"/>
          <w:color w:val="auto"/>
        </w:rPr>
      </w:pPr>
    </w:p>
    <w:p>
      <w:pPr>
        <w:ind w:left="120" w:firstLine="1056"/>
        <w:spacing w:after="0" w:line="268" w:lineRule="auto"/>
        <w:tabs>
          <w:tab w:leader="none" w:pos="1396"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40" w:lineRule="exact"/>
        <w:rPr>
          <w:rFonts w:ascii="Times New Roman" w:cs="Times New Roman" w:eastAsia="Times New Roman" w:hAnsi="Times New Roman"/>
          <w:sz w:val="15"/>
          <w:szCs w:val="15"/>
          <w:b w:val="1"/>
          <w:bCs w:val="1"/>
          <w:color w:val="auto"/>
        </w:rPr>
      </w:pPr>
    </w:p>
    <w:p>
      <w:pPr>
        <w:ind w:left="120" w:firstLine="1056"/>
        <w:spacing w:after="0" w:line="268" w:lineRule="auto"/>
        <w:tabs>
          <w:tab w:leader="none" w:pos="1427"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absence of such markets for the Common Stock, the Fair Market Value will be determined by the Board in good faith and in a manner that complies with Sections 409A and 422 of the Code.</w:t>
      </w:r>
    </w:p>
    <w:p>
      <w:pPr>
        <w:spacing w:after="0" w:line="137" w:lineRule="exact"/>
        <w:rPr>
          <w:sz w:val="20"/>
          <w:szCs w:val="20"/>
          <w:color w:val="auto"/>
        </w:rPr>
      </w:pPr>
    </w:p>
    <w:p>
      <w:pPr>
        <w:jc w:val="both"/>
        <w:ind w:left="120" w:firstLine="526"/>
        <w:spacing w:after="0" w:line="273" w:lineRule="auto"/>
        <w:rPr>
          <w:sz w:val="20"/>
          <w:szCs w:val="20"/>
          <w:color w:val="auto"/>
        </w:rPr>
      </w:pPr>
      <w:r>
        <w:rPr>
          <w:rFonts w:ascii="Times New Roman" w:cs="Times New Roman" w:eastAsia="Times New Roman" w:hAnsi="Times New Roman"/>
          <w:sz w:val="15"/>
          <w:szCs w:val="15"/>
          <w:b w:val="1"/>
          <w:bCs w:val="1"/>
          <w:color w:val="auto"/>
        </w:rPr>
        <w:t>(x)</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Incentive Stock Option</w:t>
      </w:r>
      <w:r>
        <w:rPr>
          <w:rFonts w:ascii="Times New Roman" w:cs="Times New Roman" w:eastAsia="Times New Roman" w:hAnsi="Times New Roman"/>
          <w:sz w:val="15"/>
          <w:szCs w:val="15"/>
          <w:color w:val="auto"/>
        </w:rPr>
        <w:t>” means an option granted pursuant to Section 5 of the Plan that is intended to be, and qualifies as, an “incentive stock option” within the meaning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Section 422 of the Code.</w:t>
      </w:r>
    </w:p>
    <w:p>
      <w:pPr>
        <w:spacing w:after="0" w:line="133" w:lineRule="exact"/>
        <w:rPr>
          <w:sz w:val="20"/>
          <w:szCs w:val="20"/>
          <w:color w:val="auto"/>
        </w:rPr>
      </w:pPr>
    </w:p>
    <w:p>
      <w:pPr>
        <w:jc w:val="both"/>
        <w:ind w:left="120" w:firstLine="526"/>
        <w:spacing w:after="0" w:line="251" w:lineRule="auto"/>
        <w:rPr>
          <w:sz w:val="20"/>
          <w:szCs w:val="20"/>
          <w:color w:val="auto"/>
        </w:rPr>
      </w:pPr>
      <w:r>
        <w:rPr>
          <w:rFonts w:ascii="Times New Roman" w:cs="Times New Roman" w:eastAsia="Times New Roman" w:hAnsi="Times New Roman"/>
          <w:sz w:val="15"/>
          <w:szCs w:val="15"/>
          <w:b w:val="1"/>
          <w:bCs w:val="1"/>
          <w:color w:val="auto"/>
        </w:rPr>
        <w:t>(y)</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Non-Employee Director</w:t>
      </w:r>
      <w:r>
        <w:rPr>
          <w:rFonts w:ascii="Times New Roman" w:cs="Times New Roman" w:eastAsia="Times New Roman" w:hAnsi="Times New Roman"/>
          <w:sz w:val="15"/>
          <w:szCs w:val="15"/>
          <w:color w:val="auto"/>
        </w:rPr>
        <w:t>” means a Director who either (i) is not a current employee or officer of the Company or an Affiliate, does not receive compensation, either directly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5"/>
          <w:szCs w:val="15"/>
          <w:b w:val="1"/>
          <w:bCs w:val="1"/>
          <w:i w:val="1"/>
          <w:iCs w:val="1"/>
          <w:color w:val="auto"/>
        </w:rPr>
        <w:t>Regulation S-K</w:t>
      </w:r>
      <w:r>
        <w:rPr>
          <w:rFonts w:ascii="Times New Roman" w:cs="Times New Roman" w:eastAsia="Times New Roman" w:hAnsi="Times New Roman"/>
          <w:sz w:val="15"/>
          <w:szCs w:val="15"/>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(z)</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Nonstatutory Stock Option</w:t>
      </w:r>
      <w:r>
        <w:rPr>
          <w:rFonts w:ascii="Times New Roman" w:cs="Times New Roman" w:eastAsia="Times New Roman" w:hAnsi="Times New Roman"/>
          <w:sz w:val="15"/>
          <w:szCs w:val="15"/>
          <w:color w:val="auto"/>
        </w:rPr>
        <w:t>” means any Option granted pursuant to Section 5 of the Plan that does not qualify as an Incentive Stock Option.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(aa)</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Officer</w:t>
      </w:r>
      <w:r>
        <w:rPr>
          <w:rFonts w:ascii="Times New Roman" w:cs="Times New Roman" w:eastAsia="Times New Roman" w:hAnsi="Times New Roman"/>
          <w:sz w:val="15"/>
          <w:szCs w:val="15"/>
          <w:color w:val="auto"/>
        </w:rPr>
        <w:t>” means a person who is an officer of the Company within the meaning of Section 16 of the Exchange Act.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(bb)</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means an Incentive Stock Option or a Nonstatutory Stock Option to purchase shares of Common Stock granted pursuant to the Plan.</w:t>
      </w:r>
    </w:p>
    <w:p>
      <w:pPr>
        <w:spacing w:after="0" w:line="178" w:lineRule="exact"/>
        <w:rPr>
          <w:sz w:val="20"/>
          <w:szCs w:val="20"/>
          <w:color w:val="auto"/>
        </w:rPr>
      </w:pPr>
    </w:p>
    <w:p>
      <w:pPr>
        <w:jc w:val="both"/>
        <w:ind w:left="120" w:firstLine="526"/>
        <w:spacing w:after="0" w:line="273" w:lineRule="auto"/>
        <w:rPr>
          <w:sz w:val="20"/>
          <w:szCs w:val="20"/>
          <w:color w:val="auto"/>
        </w:rPr>
      </w:pPr>
      <w:r>
        <w:rPr>
          <w:rFonts w:ascii="Times New Roman" w:cs="Times New Roman" w:eastAsia="Times New Roman" w:hAnsi="Times New Roman"/>
          <w:sz w:val="15"/>
          <w:szCs w:val="15"/>
          <w:b w:val="1"/>
          <w:bCs w:val="1"/>
          <w:color w:val="auto"/>
        </w:rPr>
        <w:t>(cc)</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Option Agreement</w:t>
      </w:r>
      <w:r>
        <w:rPr>
          <w:rFonts w:ascii="Times New Roman" w:cs="Times New Roman" w:eastAsia="Times New Roman" w:hAnsi="Times New Roman"/>
          <w:sz w:val="15"/>
          <w:szCs w:val="15"/>
          <w:color w:val="auto"/>
        </w:rPr>
        <w:t>” means a written agreement between the Company and an Optionholder evidencing the terms and conditions of an Option grant. Each Option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will be subject to the terms and conditions of the Plan.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(dd)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Optionholder</w:t>
      </w:r>
      <w:r>
        <w:rPr>
          <w:rFonts w:ascii="Times New Roman" w:cs="Times New Roman" w:eastAsia="Times New Roman" w:hAnsi="Times New Roman"/>
          <w:sz w:val="15"/>
          <w:szCs w:val="15"/>
          <w:color w:val="auto"/>
        </w:rPr>
        <w:t>” means a person to whom an Option is granted pursuant to the Plan or, if applicable, such other person who holds an outstanding Option.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(ee)</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Other Stock Award</w:t>
      </w:r>
      <w:r>
        <w:rPr>
          <w:rFonts w:ascii="Times New Roman" w:cs="Times New Roman" w:eastAsia="Times New Roman" w:hAnsi="Times New Roman"/>
          <w:sz w:val="15"/>
          <w:szCs w:val="15"/>
          <w:color w:val="auto"/>
        </w:rPr>
        <w:t>” means an award based in whole or in part by reference to the Common Stock which is granted pursuant to the terms and conditions of Section 6(d).</w:t>
      </w:r>
    </w:p>
    <w:p>
      <w:pPr>
        <w:spacing w:after="0" w:line="178" w:lineRule="exact"/>
        <w:rPr>
          <w:sz w:val="20"/>
          <w:szCs w:val="20"/>
          <w:color w:val="auto"/>
        </w:rPr>
      </w:pPr>
    </w:p>
    <w:p>
      <w:pPr>
        <w:jc w:val="both"/>
        <w:ind w:left="120" w:firstLine="526"/>
        <w:spacing w:after="0" w:line="273" w:lineRule="auto"/>
        <w:rPr>
          <w:sz w:val="20"/>
          <w:szCs w:val="20"/>
          <w:color w:val="auto"/>
        </w:rPr>
      </w:pPr>
      <w:r>
        <w:rPr>
          <w:rFonts w:ascii="Times New Roman" w:cs="Times New Roman" w:eastAsia="Times New Roman" w:hAnsi="Times New Roman"/>
          <w:sz w:val="15"/>
          <w:szCs w:val="15"/>
          <w:b w:val="1"/>
          <w:bCs w:val="1"/>
          <w:color w:val="auto"/>
        </w:rPr>
        <w:t>(ff)</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Other Stock Award Agreement</w:t>
      </w:r>
      <w:r>
        <w:rPr>
          <w:rFonts w:ascii="Times New Roman" w:cs="Times New Roman" w:eastAsia="Times New Roman" w:hAnsi="Times New Roman"/>
          <w:sz w:val="15"/>
          <w:szCs w:val="15"/>
          <w:color w:val="auto"/>
        </w:rPr>
        <w:t>” means a written agreement between the Company and a holder of an Other Stock Award evidencing the terms and conditions of an Other Stock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Award grant. Each Other Stock Award Agreement will be subject to the terms and conditions of the Plan.</w:t>
      </w:r>
    </w:p>
    <w:p>
      <w:pPr>
        <w:spacing w:after="0" w:line="133" w:lineRule="exact"/>
        <w:rPr>
          <w:sz w:val="20"/>
          <w:szCs w:val="20"/>
          <w:color w:val="auto"/>
        </w:rPr>
      </w:pPr>
    </w:p>
    <w:p>
      <w:pPr>
        <w:jc w:val="both"/>
        <w:ind w:left="120" w:firstLine="526"/>
        <w:spacing w:after="0" w:line="258" w:lineRule="auto"/>
        <w:rPr>
          <w:sz w:val="20"/>
          <w:szCs w:val="20"/>
          <w:color w:val="auto"/>
        </w:rPr>
      </w:pPr>
      <w:r>
        <w:rPr>
          <w:rFonts w:ascii="Times New Roman" w:cs="Times New Roman" w:eastAsia="Times New Roman" w:hAnsi="Times New Roman"/>
          <w:sz w:val="15"/>
          <w:szCs w:val="15"/>
          <w:b w:val="1"/>
          <w:bCs w:val="1"/>
          <w:color w:val="auto"/>
        </w:rPr>
        <w:t>(gg)</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Own,</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Owned,</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Owner,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Ownership</w:t>
      </w:r>
      <w:r>
        <w:rPr>
          <w:rFonts w:ascii="Times New Roman" w:cs="Times New Roman" w:eastAsia="Times New Roman" w:hAnsi="Times New Roman"/>
          <w:sz w:val="15"/>
          <w:szCs w:val="15"/>
          <w:color w:val="auto"/>
        </w:rPr>
        <w:t>” means a person or Entity will be deemed to “Own,” to have “Owned,” to be the “Owner” of, or to have acquired “Ownership”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(hh)</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means a person to whom an Award is granted pursuant to the Plan or, if applicable, such other person who holds an outstanding Stock Award.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(ii)</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Performance Cash Award</w:t>
      </w:r>
      <w:r>
        <w:rPr>
          <w:rFonts w:ascii="Times New Roman" w:cs="Times New Roman" w:eastAsia="Times New Roman" w:hAnsi="Times New Roman"/>
          <w:sz w:val="15"/>
          <w:szCs w:val="15"/>
          <w:color w:val="auto"/>
        </w:rPr>
        <w:t>” means an award of cash granted pursuant to the terms and conditions of Section 6(c)(ii).</w:t>
      </w:r>
    </w:p>
    <w:p>
      <w:pPr>
        <w:spacing w:after="0" w:line="178" w:lineRule="exact"/>
        <w:rPr>
          <w:sz w:val="20"/>
          <w:szCs w:val="20"/>
          <w:color w:val="auto"/>
        </w:rPr>
      </w:pPr>
    </w:p>
    <w:p>
      <w:pPr>
        <w:jc w:val="both"/>
        <w:ind w:left="120" w:firstLine="526"/>
        <w:spacing w:after="0" w:line="264" w:lineRule="auto"/>
        <w:rPr>
          <w:sz w:val="20"/>
          <w:szCs w:val="20"/>
          <w:color w:val="auto"/>
        </w:rPr>
      </w:pPr>
      <w:r>
        <w:rPr>
          <w:rFonts w:ascii="Times New Roman" w:cs="Times New Roman" w:eastAsia="Times New Roman" w:hAnsi="Times New Roman"/>
          <w:sz w:val="14"/>
          <w:szCs w:val="14"/>
          <w:b w:val="1"/>
          <w:bCs w:val="1"/>
          <w:color w:val="auto"/>
        </w:rPr>
        <w:t>(jj)</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Performance Criteria</w:t>
      </w:r>
      <w:r>
        <w:rPr>
          <w:rFonts w:ascii="Times New Roman" w:cs="Times New Roman" w:eastAsia="Times New Roman" w:hAnsi="Times New Roman"/>
          <w:sz w:val="14"/>
          <w:szCs w:val="14"/>
          <w:color w:val="auto"/>
        </w:rPr>
        <w:t>” means the one or more criteria that the Board will select for purposes of establishing the Performance Goals for a Performance Period. The Performance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Criteria that will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total stockholder return; (ix) return on equity or average stockholder’s equity; (x) return on assets, investment, or capital employed; (xi) stock price; (xii) margin (including gross margin); (xiii) income (before or after taxes); (xiv) operating income; (xv) operating income after taxes; (xvi) pre-tax profit; (xvii) operating cash flow; (xviii) sales or revenue targets; (xix) increases in revenue or product revenue; (xx) expenses and cost reduction goals; (xxi) improvement in or attainment of working capital levels; (xxii) economic value added (or an equivalent metric); (xxiii) market share; (xxiv) cash flow; (xxv) cash flow per share; (xxvi) share price performance;</w:t>
      </w:r>
    </w:p>
    <w:p>
      <w:pPr>
        <w:spacing w:after="0" w:line="3" w:lineRule="exact"/>
        <w:rPr>
          <w:sz w:val="20"/>
          <w:szCs w:val="20"/>
          <w:color w:val="auto"/>
        </w:rPr>
      </w:pPr>
    </w:p>
    <w:p>
      <w:pPr>
        <w:ind w:left="560" w:hanging="436"/>
        <w:spacing w:after="0"/>
        <w:tabs>
          <w:tab w:leader="none" w:pos="5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reduction; (xxviii) implementation or completion of projects or processes; (xxix) customer satisfaction; (xxx) stockholders’ equity; (xxxi) capital expenditures; (xxxii) debt levels;</w:t>
      </w:r>
    </w:p>
    <w:p>
      <w:pPr>
        <w:spacing w:after="0" w:line="14" w:lineRule="exact"/>
        <w:rPr>
          <w:rFonts w:ascii="Times New Roman" w:cs="Times New Roman" w:eastAsia="Times New Roman" w:hAnsi="Times New Roman"/>
          <w:sz w:val="14"/>
          <w:szCs w:val="14"/>
          <w:color w:val="auto"/>
        </w:rPr>
      </w:pPr>
    </w:p>
    <w:p>
      <w:pPr>
        <w:jc w:val="both"/>
        <w:ind w:left="120" w:firstLine="4"/>
        <w:spacing w:after="0" w:line="263" w:lineRule="auto"/>
        <w:tabs>
          <w:tab w:leader="none" w:pos="604"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or net operating profit; (xxxiv) workforce diversity; (xxxv) growth of net income or operating income; (xxxvi) billings; (xxxvii) bookings; (xxxviii) the number of customers, including but not limited to customers users; (xxxix) employee retention; (xl) pre-clinical development related compound goals; (xli) financing; (xlii) regulatory milestones, including approval of a compound; (xliii) stockholder liquidity; (xliv) corporate governance and compliance; (xlv) product commercialization; (xlvi) intellectual property; (xlvii) personnel matters; (xlviii) progress of internal research or clinical programs; (xlix) progress of partnered programs; (l) implementation or completion of projects and processes; (li) partner satisfaction; (lii) budget management; (liii) clinical achievements; (liv) completing phases of a clinical study (including the treatment phase); (lv) announcing or presenting preliminary or final data from clinical studies; in each case, whether on particular timelines or generally; (lvi) timely completion of clinical trials; (lvii) submission of INDs and NDAs and other regulatory achievements; (lviii) partner or collaborator achievements; (lix) internal controls, including those related to the Sarbanes-Oxley Act of 2002; (lx) research progress, including the development of programs; (lxi) investor relations, analysts and communication; (lxii) manufacturing achievements (including obtaining particular yields from manufacturing runs and other measurable objectives related to process development activities); (lxiii) strategic partnerships or transactions (including in-licensing and out-licensing of intellectual property; (lxiv) establishing relationships with commercial entities with respect to the marketing, distribution and sale of the Company’s products (including with group purchasing organizations, distributors and other vendors); (lxv) supply chain achievements (including establishing relationships with manufacturers or suppliers of active pharmaceutical ingredients and other component materials and manufacturers of the Company’s products); (lxvi) co-development, co-marketing, profit sharing, joint venture or other similar arrangements; and (lxvii) and other measures of performance selected by the Board.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4" w:lineRule="exact"/>
        <w:rPr>
          <w:sz w:val="20"/>
          <w:szCs w:val="20"/>
          <w:color w:val="auto"/>
        </w:rPr>
      </w:pPr>
    </w:p>
    <w:p>
      <w:pPr>
        <w:jc w:val="both"/>
        <w:ind w:left="120" w:firstLine="526"/>
        <w:spacing w:after="0" w:line="245" w:lineRule="auto"/>
        <w:rPr>
          <w:sz w:val="20"/>
          <w:szCs w:val="20"/>
          <w:color w:val="auto"/>
        </w:rPr>
      </w:pPr>
      <w:r>
        <w:rPr>
          <w:rFonts w:ascii="Times New Roman" w:cs="Times New Roman" w:eastAsia="Times New Roman" w:hAnsi="Times New Roman"/>
          <w:sz w:val="15"/>
          <w:szCs w:val="15"/>
          <w:b w:val="1"/>
          <w:bCs w:val="1"/>
          <w:color w:val="auto"/>
        </w:rPr>
        <w:t>(kk)</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Performance Goals</w:t>
      </w:r>
      <w:r>
        <w:rPr>
          <w:rFonts w:ascii="Times New Roman" w:cs="Times New Roman" w:eastAsia="Times New Roman" w:hAnsi="Times New Roman"/>
          <w:sz w:val="15"/>
          <w:szCs w:val="15"/>
          <w:color w:val="auto"/>
        </w:rPr>
        <w:t>” means, for a Performance Period, the one or more goals established by the Board for the Performance Period based upon the Performance Criteria.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“extraordinary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(12) to exclude the effects of the timing of acceptance for review and/or approval of submissions to the Food and Drug Administration or any other regulatory body and (13) to exclude the effect of any other unusual, non-recurring gain or loss or other extraordinary item.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62" w:lineRule="exact"/>
        <w:rPr>
          <w:sz w:val="20"/>
          <w:szCs w:val="20"/>
          <w:color w:val="auto"/>
        </w:rPr>
      </w:pPr>
    </w:p>
    <w:p>
      <w:pPr>
        <w:jc w:val="both"/>
        <w:ind w:left="120" w:firstLine="526"/>
        <w:spacing w:after="0" w:line="258" w:lineRule="auto"/>
        <w:rPr>
          <w:sz w:val="20"/>
          <w:szCs w:val="20"/>
          <w:color w:val="auto"/>
        </w:rPr>
      </w:pPr>
      <w:r>
        <w:rPr>
          <w:rFonts w:ascii="Times New Roman" w:cs="Times New Roman" w:eastAsia="Times New Roman" w:hAnsi="Times New Roman"/>
          <w:sz w:val="15"/>
          <w:szCs w:val="15"/>
          <w:b w:val="1"/>
          <w:bCs w:val="1"/>
          <w:color w:val="auto"/>
        </w:rPr>
        <w:t>(ll)</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Performance Period</w:t>
      </w:r>
      <w:r>
        <w:rPr>
          <w:rFonts w:ascii="Times New Roman" w:cs="Times New Roman" w:eastAsia="Times New Roman" w:hAnsi="Times New Roman"/>
          <w:sz w:val="15"/>
          <w:szCs w:val="15"/>
          <w:color w:val="auto"/>
        </w:rPr>
        <w:t>” means the period of time selected by the Board over which the attainment of one or more Performance Goals will be measured for the purpose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determining a Participant’s right to and the payment of a Stock Award or a Performance Cash Award. Performance Periods may be of varying and overlapping duration, at the sole discretion of the Board.</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(mm)</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Performance Stock Award</w:t>
      </w:r>
      <w:r>
        <w:rPr>
          <w:rFonts w:ascii="Times New Roman" w:cs="Times New Roman" w:eastAsia="Times New Roman" w:hAnsi="Times New Roman"/>
          <w:sz w:val="15"/>
          <w:szCs w:val="15"/>
          <w:color w:val="auto"/>
        </w:rPr>
        <w:t>” means a Stock Award granted under the terms and conditions of Section 6(c)(i).</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(nn)</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means this Amended and Restated Zevra Therapeutics, Inc. 2014 Equity Incentive Plan, as it may be amended and/or restated from time to time.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(oo)</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Restricted Stock Award</w:t>
      </w:r>
      <w:r>
        <w:rPr>
          <w:rFonts w:ascii="Times New Roman" w:cs="Times New Roman" w:eastAsia="Times New Roman" w:hAnsi="Times New Roman"/>
          <w:sz w:val="15"/>
          <w:szCs w:val="15"/>
          <w:color w:val="auto"/>
        </w:rPr>
        <w:t>” means an award of shares of Common Stock which is granted pursuant to the terms and conditions of Section 6(a).</w:t>
      </w:r>
    </w:p>
    <w:p>
      <w:pPr>
        <w:spacing w:after="0" w:line="178" w:lineRule="exact"/>
        <w:rPr>
          <w:sz w:val="20"/>
          <w:szCs w:val="20"/>
          <w:color w:val="auto"/>
        </w:rPr>
      </w:pPr>
    </w:p>
    <w:p>
      <w:pPr>
        <w:jc w:val="both"/>
        <w:ind w:left="120" w:firstLine="526"/>
        <w:spacing w:after="0" w:line="273" w:lineRule="auto"/>
        <w:rPr>
          <w:sz w:val="20"/>
          <w:szCs w:val="20"/>
          <w:color w:val="auto"/>
        </w:rPr>
      </w:pPr>
      <w:r>
        <w:rPr>
          <w:rFonts w:ascii="Times New Roman" w:cs="Times New Roman" w:eastAsia="Times New Roman" w:hAnsi="Times New Roman"/>
          <w:sz w:val="15"/>
          <w:szCs w:val="15"/>
          <w:b w:val="1"/>
          <w:bCs w:val="1"/>
          <w:color w:val="auto"/>
        </w:rPr>
        <w:t>(pp)</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Restricted Stock Award Agreement</w:t>
      </w:r>
      <w:r>
        <w:rPr>
          <w:rFonts w:ascii="Times New Roman" w:cs="Times New Roman" w:eastAsia="Times New Roman" w:hAnsi="Times New Roman"/>
          <w:sz w:val="15"/>
          <w:szCs w:val="15"/>
          <w:color w:val="auto"/>
        </w:rPr>
        <w:t>” means a written agreement between the Company and a holder of a Restricted Stock Award evidencing the terms and conditions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Restricted Stock Award grant. Each Restricted Stock Award Agreement will be subject to the terms and conditions of the Plan.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(qq)</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Restricted Stock Unit Award</w:t>
      </w:r>
      <w:r>
        <w:rPr>
          <w:rFonts w:ascii="Times New Roman" w:cs="Times New Roman" w:eastAsia="Times New Roman" w:hAnsi="Times New Roman"/>
          <w:sz w:val="15"/>
          <w:szCs w:val="15"/>
          <w:color w:val="auto"/>
        </w:rPr>
        <w:t>” means a right to receive shares of Common Stock which is granted pursuant to the terms and conditions of Section 6(b).</w:t>
      </w:r>
    </w:p>
    <w:p>
      <w:pPr>
        <w:spacing w:after="0" w:line="178" w:lineRule="exact"/>
        <w:rPr>
          <w:sz w:val="20"/>
          <w:szCs w:val="20"/>
          <w:color w:val="auto"/>
        </w:rPr>
      </w:pPr>
    </w:p>
    <w:p>
      <w:pPr>
        <w:jc w:val="both"/>
        <w:ind w:left="120" w:firstLine="526"/>
        <w:spacing w:after="0" w:line="273" w:lineRule="auto"/>
        <w:rPr>
          <w:sz w:val="20"/>
          <w:szCs w:val="20"/>
          <w:color w:val="auto"/>
        </w:rPr>
      </w:pPr>
      <w:r>
        <w:rPr>
          <w:rFonts w:ascii="Times New Roman" w:cs="Times New Roman" w:eastAsia="Times New Roman" w:hAnsi="Times New Roman"/>
          <w:sz w:val="15"/>
          <w:szCs w:val="15"/>
          <w:b w:val="1"/>
          <w:bCs w:val="1"/>
          <w:color w:val="auto"/>
        </w:rPr>
        <w:t>(rr)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Restricted Stock Unit Award Agreement</w:t>
      </w:r>
      <w:r>
        <w:rPr>
          <w:rFonts w:ascii="Times New Roman" w:cs="Times New Roman" w:eastAsia="Times New Roman" w:hAnsi="Times New Roman"/>
          <w:sz w:val="15"/>
          <w:szCs w:val="15"/>
          <w:color w:val="auto"/>
        </w:rPr>
        <w:t>” means a written agreement between the Company and a holder of a Restricted Stock Unit Award evidencing the terms and conditions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a Restricted Stock Unit Award grant. Each Restricted Stock Unit Award Agreement will be subject to the terms and conditions of the Plan.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(ss)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Rule 16b-3</w:t>
      </w:r>
      <w:r>
        <w:rPr>
          <w:rFonts w:ascii="Times New Roman" w:cs="Times New Roman" w:eastAsia="Times New Roman" w:hAnsi="Times New Roman"/>
          <w:sz w:val="15"/>
          <w:szCs w:val="15"/>
          <w:color w:val="auto"/>
        </w:rPr>
        <w:t>” means Rule 16b-3 promulgated under the Exchange Act or any successor to Rule 16b-3, as in effect from time to time.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(tt)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(uu)</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Stock Appreciation Right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SAR</w:t>
      </w:r>
      <w:r>
        <w:rPr>
          <w:rFonts w:ascii="Times New Roman" w:cs="Times New Roman" w:eastAsia="Times New Roman" w:hAnsi="Times New Roman"/>
          <w:sz w:val="15"/>
          <w:szCs w:val="15"/>
          <w:color w:val="auto"/>
        </w:rPr>
        <w:t>” means a right to receive the appreciation on Common Stock that is granted pursuant to the terms and conditions of Section 5.</w:t>
      </w:r>
    </w:p>
    <w:p>
      <w:pPr>
        <w:spacing w:after="0" w:line="178" w:lineRule="exact"/>
        <w:rPr>
          <w:sz w:val="20"/>
          <w:szCs w:val="20"/>
          <w:color w:val="auto"/>
        </w:rPr>
      </w:pPr>
    </w:p>
    <w:p>
      <w:pPr>
        <w:jc w:val="both"/>
        <w:ind w:left="120" w:firstLine="526"/>
        <w:spacing w:after="0" w:line="273" w:lineRule="auto"/>
        <w:rPr>
          <w:sz w:val="20"/>
          <w:szCs w:val="20"/>
          <w:color w:val="auto"/>
        </w:rPr>
      </w:pPr>
      <w:r>
        <w:rPr>
          <w:rFonts w:ascii="Times New Roman" w:cs="Times New Roman" w:eastAsia="Times New Roman" w:hAnsi="Times New Roman"/>
          <w:sz w:val="15"/>
          <w:szCs w:val="15"/>
          <w:b w:val="1"/>
          <w:bCs w:val="1"/>
          <w:color w:val="auto"/>
        </w:rPr>
        <w:t>(vv)</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Stock Appreciation Right Agreement</w:t>
      </w:r>
      <w:r>
        <w:rPr>
          <w:rFonts w:ascii="Times New Roman" w:cs="Times New Roman" w:eastAsia="Times New Roman" w:hAnsi="Times New Roman"/>
          <w:sz w:val="15"/>
          <w:szCs w:val="15"/>
          <w:color w:val="auto"/>
        </w:rPr>
        <w:t>” means a written agreement between the Company and a holder of a Stock Appreciation Right evidencing the terms and conditions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 Appreciation Right grant. Each Stock Appreciation Right Agreement will be subject to the terms and conditions of the Plan.</w:t>
      </w:r>
    </w:p>
    <w:p>
      <w:pPr>
        <w:spacing w:after="0" w:line="133" w:lineRule="exact"/>
        <w:rPr>
          <w:sz w:val="20"/>
          <w:szCs w:val="20"/>
          <w:color w:val="auto"/>
        </w:rPr>
      </w:pPr>
    </w:p>
    <w:p>
      <w:pPr>
        <w:jc w:val="both"/>
        <w:ind w:left="120" w:firstLine="526"/>
        <w:spacing w:after="0" w:line="273" w:lineRule="auto"/>
        <w:rPr>
          <w:sz w:val="20"/>
          <w:szCs w:val="20"/>
          <w:color w:val="auto"/>
        </w:rPr>
      </w:pPr>
      <w:r>
        <w:rPr>
          <w:rFonts w:ascii="Times New Roman" w:cs="Times New Roman" w:eastAsia="Times New Roman" w:hAnsi="Times New Roman"/>
          <w:sz w:val="15"/>
          <w:szCs w:val="15"/>
          <w:b w:val="1"/>
          <w:bCs w:val="1"/>
          <w:color w:val="auto"/>
        </w:rPr>
        <w:t>(ww)</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Stock Award</w:t>
      </w:r>
      <w:r>
        <w:rPr>
          <w:rFonts w:ascii="Times New Roman" w:cs="Times New Roman" w:eastAsia="Times New Roman" w:hAnsi="Times New Roman"/>
          <w:sz w:val="15"/>
          <w:szCs w:val="15"/>
          <w:color w:val="auto"/>
        </w:rPr>
        <w:t>” means any right to receive Common Stock granted under the Plan, including an Incentive Stock Option, a Nonstatutory Stock Option, a Restricted Stock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Award, a Restricted Stock Unit Award, a Stock Appreciation Right, a Performance Stock Award or any Other Stock Award.</w:t>
      </w:r>
    </w:p>
    <w:p>
      <w:pPr>
        <w:spacing w:after="0" w:line="133" w:lineRule="exact"/>
        <w:rPr>
          <w:sz w:val="20"/>
          <w:szCs w:val="20"/>
          <w:color w:val="auto"/>
        </w:rPr>
      </w:pPr>
    </w:p>
    <w:p>
      <w:pPr>
        <w:jc w:val="both"/>
        <w:ind w:left="120" w:firstLine="526"/>
        <w:spacing w:after="0" w:line="273" w:lineRule="auto"/>
        <w:rPr>
          <w:sz w:val="20"/>
          <w:szCs w:val="20"/>
          <w:color w:val="auto"/>
        </w:rPr>
      </w:pPr>
      <w:r>
        <w:rPr>
          <w:rFonts w:ascii="Times New Roman" w:cs="Times New Roman" w:eastAsia="Times New Roman" w:hAnsi="Times New Roman"/>
          <w:sz w:val="15"/>
          <w:szCs w:val="15"/>
          <w:b w:val="1"/>
          <w:bCs w:val="1"/>
          <w:color w:val="auto"/>
        </w:rPr>
        <w:t>(xx)</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Stock Award Agreement</w:t>
      </w:r>
      <w:r>
        <w:rPr>
          <w:rFonts w:ascii="Times New Roman" w:cs="Times New Roman" w:eastAsia="Times New Roman" w:hAnsi="Times New Roman"/>
          <w:sz w:val="15"/>
          <w:szCs w:val="15"/>
          <w:color w:val="auto"/>
        </w:rPr>
        <w:t>” means a written agreement between the Company and a Participant evidencing the terms and conditions of a Stock Award grant. Each Stock Award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will be subject to the terms and conditions of the Plan.</w:t>
      </w:r>
    </w:p>
    <w:p>
      <w:pPr>
        <w:spacing w:after="0" w:line="133" w:lineRule="exact"/>
        <w:rPr>
          <w:sz w:val="20"/>
          <w:szCs w:val="20"/>
          <w:color w:val="auto"/>
        </w:rPr>
      </w:pPr>
    </w:p>
    <w:p>
      <w:pPr>
        <w:jc w:val="both"/>
        <w:ind w:left="120" w:firstLine="526"/>
        <w:spacing w:after="0" w:line="253" w:lineRule="auto"/>
        <w:rPr>
          <w:sz w:val="20"/>
          <w:szCs w:val="20"/>
          <w:color w:val="auto"/>
        </w:rPr>
      </w:pPr>
      <w:r>
        <w:rPr>
          <w:rFonts w:ascii="Times New Roman" w:cs="Times New Roman" w:eastAsia="Times New Roman" w:hAnsi="Times New Roman"/>
          <w:sz w:val="15"/>
          <w:szCs w:val="15"/>
          <w:b w:val="1"/>
          <w:bCs w:val="1"/>
          <w:color w:val="auto"/>
        </w:rPr>
        <w:t>(yy)</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Subsidiary</w:t>
      </w:r>
      <w:r>
        <w:rPr>
          <w:rFonts w:ascii="Times New Roman" w:cs="Times New Roman" w:eastAsia="Times New Roman" w:hAnsi="Times New Roman"/>
          <w:sz w:val="15"/>
          <w:szCs w:val="15"/>
          <w:color w:val="auto"/>
        </w:rPr>
        <w:t>” means, with respect to the Company, (i) any corporation of which more than 50% of the outstanding capital stock having ordinary voting power to elect a majority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49" w:lineRule="exact"/>
        <w:rPr>
          <w:sz w:val="20"/>
          <w:szCs w:val="20"/>
          <w:color w:val="auto"/>
        </w:rPr>
      </w:pPr>
    </w:p>
    <w:p>
      <w:pPr>
        <w:jc w:val="both"/>
        <w:ind w:left="120" w:firstLine="526"/>
        <w:spacing w:after="0" w:line="273" w:lineRule="auto"/>
        <w:rPr>
          <w:sz w:val="20"/>
          <w:szCs w:val="20"/>
          <w:color w:val="auto"/>
        </w:rPr>
      </w:pPr>
      <w:r>
        <w:rPr>
          <w:rFonts w:ascii="Times New Roman" w:cs="Times New Roman" w:eastAsia="Times New Roman" w:hAnsi="Times New Roman"/>
          <w:sz w:val="15"/>
          <w:szCs w:val="15"/>
          <w:b w:val="1"/>
          <w:bCs w:val="1"/>
          <w:color w:val="auto"/>
        </w:rPr>
        <w:t>(zz)</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Ten Percent Stockholder</w:t>
      </w:r>
      <w:r>
        <w:rPr>
          <w:rFonts w:ascii="Times New Roman" w:cs="Times New Roman" w:eastAsia="Times New Roman" w:hAnsi="Times New Roman"/>
          <w:sz w:val="15"/>
          <w:szCs w:val="15"/>
          <w:color w:val="auto"/>
        </w:rPr>
        <w:t>” means a person who Owns (or is deemed to Own pursuant to Section 424(d) of the Code) stock possessing more than ten percent of the total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combined voting power of all classes of stock of the Company or any Affiliate.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58355"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58355" cy="9307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93078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129540</wp:posOffset>
            </wp:positionV>
            <wp:extent cx="6956425" cy="9001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56425" cy="9001760"/>
                    </a:xfrm>
                    <a:prstGeom prst="rect">
                      <a:avLst/>
                    </a:prstGeom>
                    <a:noFill/>
                  </pic:spPr>
                </pic:pic>
              </a:graphicData>
            </a:graphic>
          </wp:anchor>
        </w:drawing>
      </w:r>
    </w:p>
    <w:sectPr>
      <w:pgSz w:w="11900" w:h="16838" w:orient="portrait"/>
      <w:cols w:equalWidth="0" w:num="1">
        <w:col w:w="10159"/>
      </w:cols>
      <w:pgMar w:left="3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lowerRoman"/>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1)"/>
      <w:numFmt w:val="lowerRoman"/>
      <w:start w:val="5"/>
    </w:lvl>
  </w:abstractNum>
  <w:abstractNum w:abstractNumId="20">
    <w:nsid w:val="4B588F54"/>
    <w:multiLevelType w:val="hybridMultilevel"/>
    <w:lvl w:ilvl="0">
      <w:lvlJc w:val="left"/>
      <w:lvlText w:val="(%1)"/>
      <w:numFmt w:val="lowerRoman"/>
      <w:start w:val="39"/>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8"/>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1"/>
    </w:lvl>
  </w:abstractNum>
  <w:abstractNum w:abstractNumId="33">
    <w:nsid w:val="12E685FB"/>
    <w:multiLevelType w:val="hybridMultilevel"/>
    <w:lvl w:ilvl="0">
      <w:lvlJc w:val="left"/>
      <w:lvlText w:val="(%1)"/>
      <w:numFmt w:val="decimal"/>
      <w:start w:val="3"/>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
    <w:nsid w:val="4F4EF005"/>
    <w:multiLevelType w:val="hybridMultilevel"/>
    <w:lvl w:ilvl="0">
      <w:lvlJc w:val="left"/>
      <w:lvlText w:val="(%1)"/>
      <w:numFmt w:val="lowerRoman"/>
      <w:start w:val="5"/>
    </w:lvl>
  </w:abstractNum>
  <w:abstractNum w:abstractNumId="38">
    <w:nsid w:val="23F9C1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39">
    <w:nsid w:val="649BB77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40">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1">
    <w:nsid w:val="39386575"/>
    <w:multiLevelType w:val="hybridMultilevel"/>
    <w:lvl w:ilvl="0">
      <w:lvlJc w:val="left"/>
      <w:lvlText w:val="%1"/>
      <w:numFmt w:val="decimal"/>
      <w:start w:val="1"/>
    </w:lvl>
    <w:lvl w:ilvl="1">
      <w:lvlJc w:val="left"/>
      <w:lvlText w:val="(%2)"/>
      <w:numFmt w:val="lowerLetter"/>
      <w:start w:val="2"/>
    </w:lvl>
  </w:abstractNum>
  <w:abstractNum w:abstractNumId="42">
    <w:nsid w:val="1CF10FD8"/>
    <w:multiLevelType w:val="hybridMultilevel"/>
    <w:lvl w:ilvl="0">
      <w:lvlJc w:val="left"/>
      <w:lvlText w:val="%1."/>
      <w:numFmt w:val="decimal"/>
      <w:start w:val="4"/>
    </w:lvl>
    <w:lvl w:ilvl="1">
      <w:lvlJc w:val="left"/>
      <w:lvlText w:val="(%2)"/>
      <w:numFmt w:val="lowerLetter"/>
      <w:start w:val="1"/>
    </w:lvl>
  </w:abstractNum>
  <w:abstractNum w:abstractNumId="43">
    <w:nsid w:val="180115BE"/>
    <w:multiLevelType w:val="hybridMultilevel"/>
    <w:lvl w:ilvl="0">
      <w:lvlJc w:val="left"/>
      <w:lvlText w:val="%1"/>
      <w:numFmt w:val="decimal"/>
      <w:start w:val="1"/>
    </w:lvl>
    <w:lvl w:ilvl="1">
      <w:lvlJc w:val="left"/>
      <w:lvlText w:val="(%2)"/>
      <w:numFmt w:val="lowerLetter"/>
      <w:start w:val="2"/>
    </w:lvl>
  </w:abstractNum>
  <w:abstractNum w:abstractNumId="44">
    <w:nsid w:val="235BA861"/>
    <w:multiLevelType w:val="hybridMultilevel"/>
    <w:lvl w:ilvl="0">
      <w:lvlJc w:val="left"/>
      <w:lvlText w:val="%1."/>
      <w:numFmt w:val="decimal"/>
      <w:start w:val="5"/>
    </w:lvl>
    <w:lvl w:ilvl="1">
      <w:lvlJc w:val="left"/>
      <w:lvlText w:val="%2"/>
      <w:numFmt w:val="lowerLetter"/>
      <w:start w:val="1"/>
    </w:lvl>
  </w:abstractNum>
  <w:abstractNum w:abstractNumId="45">
    <w:nsid w:val="47398C89"/>
    <w:multiLevelType w:val="hybridMultilevel"/>
    <w:lvl w:ilvl="0">
      <w:lvlJc w:val="left"/>
      <w:lvlText w:val="(%1)"/>
      <w:numFmt w:val="lowerLetter"/>
      <w:start w:val="1"/>
    </w:lvl>
    <w:lvl w:ilvl="1">
      <w:lvlJc w:val="left"/>
      <w:lvlText w:val="(%2)"/>
      <w:numFmt w:val="lowerRoman"/>
      <w:start w:val="1"/>
    </w:lvl>
  </w:abstractNum>
  <w:abstractNum w:abstractNumId="46">
    <w:nsid w:val="354FE9F9"/>
    <w:multiLevelType w:val="hybridMultilevel"/>
    <w:lvl w:ilvl="0">
      <w:lvlJc w:val="left"/>
      <w:lvlText w:val="%1"/>
      <w:numFmt w:val="lowerLetter"/>
      <w:start w:val="1"/>
    </w:lvl>
    <w:lvl w:ilvl="1">
      <w:lvlJc w:val="left"/>
      <w:lvlText w:val="(%2)"/>
      <w:numFmt w:val="lowerLetter"/>
      <w:start w:val="22"/>
    </w:lvl>
  </w:abstractNum>
  <w:abstractNum w:abstractNumId="47">
    <w:nsid w:val="15B5AF5C"/>
    <w:multiLevelType w:val="hybridMultilevel"/>
    <w:lvl w:ilvl="0">
      <w:lvlJc w:val="left"/>
      <w:lvlText w:val="(%1)"/>
      <w:numFmt w:val="lowerLetter"/>
      <w:start w:val="4"/>
    </w:lvl>
    <w:lvl w:ilvl="1">
      <w:lvlJc w:val="left"/>
      <w:lvlText w:val="(%2)"/>
      <w:numFmt w:val="lowerLetter"/>
      <w:start w:val="9"/>
    </w:lvl>
  </w:abstractNum>
  <w:abstractNum w:abstractNumId="48">
    <w:nsid w:val="741226BB"/>
    <w:multiLevelType w:val="hybridMultilevel"/>
    <w:lvl w:ilvl="0">
      <w:lvlJc w:val="left"/>
      <w:lvlText w:val="%1"/>
      <w:numFmt w:val="lowerLetter"/>
      <w:start w:val="1"/>
    </w:lvl>
    <w:lvl w:ilvl="1">
      <w:lvlJc w:val="left"/>
      <w:lvlText w:val="(%2)"/>
      <w:numFmt w:val="lowerRoman"/>
      <w:start w:val="2"/>
    </w:lvl>
  </w:abstractNum>
  <w:abstractNum w:abstractNumId="49">
    <w:nsid w:val="D34B6A8"/>
    <w:multiLevelType w:val="hybridMultilevel"/>
    <w:lvl w:ilvl="0">
      <w:lvlJc w:val="left"/>
      <w:lvlText w:val="(%1)"/>
      <w:numFmt w:val="lowerLetter"/>
      <w:start w:val="6"/>
    </w:lvl>
    <w:lvl w:ilvl="1">
      <w:lvlJc w:val="left"/>
      <w:lvlText w:val="%2"/>
      <w:numFmt w:val="lowerRoman"/>
      <w:start w:val="1"/>
    </w:lvl>
  </w:abstractNum>
  <w:abstractNum w:abstractNumId="50">
    <w:nsid w:val="10233C99"/>
    <w:multiLevelType w:val="hybridMultilevel"/>
    <w:lvl w:ilvl="0">
      <w:lvlJc w:val="left"/>
      <w:lvlText w:val="(%1)"/>
      <w:numFmt w:val="lowerLetter"/>
      <w:start w:val="8"/>
    </w:lvl>
  </w:abstractNum>
  <w:abstractNum w:abstractNumId="51">
    <w:nsid w:val="3F6AB60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2">
    <w:nsid w:val="61574095"/>
    <w:multiLevelType w:val="hybridMultilevel"/>
    <w:lvl w:ilvl="0">
      <w:lvlJc w:val="left"/>
      <w:lvlText w:val="%1"/>
      <w:numFmt w:val="lowerLetter"/>
      <w:start w:val="1"/>
    </w:lvl>
    <w:lvl w:ilvl="1">
      <w:lvlJc w:val="left"/>
      <w:lvlText w:val="(%2)"/>
      <w:numFmt w:val="lowerRoman"/>
      <w:start w:val="2"/>
    </w:lvl>
  </w:abstractNum>
  <w:abstractNum w:abstractNumId="53">
    <w:nsid w:val="7E0C57B1"/>
    <w:multiLevelType w:val="hybridMultilevel"/>
    <w:lvl w:ilvl="0">
      <w:lvlJc w:val="left"/>
      <w:lvlText w:val="(%1)"/>
      <w:numFmt w:val="lowerLetter"/>
      <w:start w:val="3"/>
    </w:lvl>
    <w:lvl w:ilvl="1">
      <w:lvlJc w:val="left"/>
      <w:lvlText w:val="(%2)"/>
      <w:numFmt w:val="lowerRoman"/>
      <w:start w:val="1"/>
    </w:lvl>
  </w:abstractNum>
  <w:abstractNum w:abstractNumId="54">
    <w:nsid w:val="77AE35EB"/>
    <w:multiLevelType w:val="hybridMultilevel"/>
    <w:lvl w:ilvl="0">
      <w:lvlJc w:val="left"/>
      <w:lvlText w:val="%1."/>
      <w:numFmt w:val="decimal"/>
      <w:start w:val="7"/>
    </w:lvl>
    <w:lvl w:ilvl="1">
      <w:lvlJc w:val="left"/>
      <w:lvlText w:val="(%2)"/>
      <w:numFmt w:val="lowerLetter"/>
      <w:start w:val="1"/>
    </w:lvl>
  </w:abstractNum>
  <w:abstractNum w:abstractNumId="55">
    <w:nsid w:val="579BE4F1"/>
    <w:multiLevelType w:val="hybridMultilevel"/>
    <w:lvl w:ilvl="0">
      <w:lvlJc w:val="left"/>
      <w:lvlText w:val="(%1)"/>
      <w:numFmt w:val="lowerLetter"/>
      <w:start w:val="5"/>
    </w:lvl>
  </w:abstractNum>
  <w:abstractNum w:abstractNumId="56">
    <w:nsid w:val="310C50B3"/>
    <w:multiLevelType w:val="hybridMultilevel"/>
    <w:lvl w:ilvl="0">
      <w:lvlJc w:val="left"/>
      <w:lvlText w:val="%1"/>
      <w:numFmt w:val="decimal"/>
      <w:start w:val="1"/>
    </w:lvl>
    <w:lvl w:ilvl="1">
      <w:lvlJc w:val="left"/>
      <w:lvlText w:val="(%2)"/>
      <w:numFmt w:val="lowerLetter"/>
      <w:start w:val="11"/>
    </w:lvl>
  </w:abstractNum>
  <w:abstractNum w:abstractNumId="57">
    <w:nsid w:val="5FF87E05"/>
    <w:multiLevelType w:val="hybridMultilevel"/>
    <w:lvl w:ilvl="0">
      <w:lvlJc w:val="left"/>
      <w:lvlText w:val="%1."/>
      <w:numFmt w:val="decimal"/>
      <w:start w:val="9"/>
    </w:lvl>
    <w:lvl w:ilvl="1">
      <w:lvlJc w:val="left"/>
      <w:lvlText w:val="(%2)"/>
      <w:numFmt w:val="lowerLetter"/>
      <w:start w:val="1"/>
    </w:lvl>
  </w:abstractNum>
  <w:abstractNum w:abstractNumId="58">
    <w:nsid w:val="2F305DEF"/>
    <w:multiLevelType w:val="hybridMultilevel"/>
    <w:lvl w:ilvl="0">
      <w:lvlJc w:val="left"/>
      <w:lvlText w:val="(%1)"/>
      <w:numFmt w:val="lowerLetter"/>
      <w:start w:val="3"/>
    </w:lvl>
    <w:lvl w:ilvl="1">
      <w:lvlJc w:val="left"/>
      <w:lvlText w:val="(%2)"/>
      <w:numFmt w:val="lowerRoman"/>
      <w:start w:val="1"/>
    </w:lvl>
  </w:abstractNum>
  <w:abstractNum w:abstractNumId="59">
    <w:nsid w:val="25A70BF7"/>
    <w:multiLevelType w:val="hybridMultilevel"/>
    <w:lvl w:ilvl="0">
      <w:lvlJc w:val="left"/>
      <w:lvlText w:val="%1"/>
      <w:numFmt w:val="decimal"/>
      <w:start w:val="1"/>
    </w:lvl>
    <w:lvl w:ilvl="1">
      <w:lvlJc w:val="left"/>
      <w:lvlText w:val="(%2)"/>
      <w:numFmt w:val="lowerLetter"/>
      <w:start w:val="4"/>
    </w:lvl>
  </w:abstractNum>
  <w:abstractNum w:abstractNumId="60">
    <w:nsid w:val="1DBABF00"/>
    <w:multiLevelType w:val="hybridMultilevel"/>
    <w:lvl w:ilvl="0">
      <w:lvlJc w:val="left"/>
      <w:lvlText w:val="%1."/>
      <w:numFmt w:val="decimal"/>
      <w:start w:val="10"/>
    </w:lvl>
    <w:lvl w:ilvl="1">
      <w:lvlJc w:val="left"/>
      <w:lvlText w:val="%2"/>
      <w:numFmt w:val="lowerLetter"/>
      <w:start w:val="1"/>
    </w:lvl>
  </w:abstractNum>
  <w:abstractNum w:abstractNumId="61">
    <w:nsid w:val="4AD084E9"/>
    <w:multiLevelType w:val="hybridMultilevel"/>
    <w:lvl w:ilvl="0">
      <w:lvlJc w:val="left"/>
      <w:lvlText w:val="%1."/>
      <w:numFmt w:val="decimal"/>
      <w:start w:val="13"/>
    </w:lvl>
    <w:lvl w:ilvl="1">
      <w:lvlJc w:val="left"/>
      <w:lvlText w:val="(%2)"/>
      <w:numFmt w:val="lowerLetter"/>
      <w:start w:val="1"/>
    </w:lvl>
  </w:abstractNum>
  <w:abstractNum w:abstractNumId="62">
    <w:nsid w:val="1F48EAA1"/>
    <w:multiLevelType w:val="hybridMultilevel"/>
    <w:lvl w:ilvl="0">
      <w:lvlJc w:val="left"/>
      <w:lvlText w:val="(%1)"/>
      <w:numFmt w:val="lowerLetter"/>
      <w:start w:val="7"/>
    </w:lvl>
  </w:abstractNum>
  <w:abstractNum w:abstractNumId="63">
    <w:nsid w:val="1381823A"/>
    <w:multiLevelType w:val="hybridMultilevel"/>
    <w:lvl w:ilvl="0">
      <w:lvlJc w:val="left"/>
      <w:lvlText w:val="(%1)"/>
      <w:numFmt w:val="lowerRoman"/>
      <w:start w:val="1"/>
    </w:lvl>
  </w:abstractNum>
  <w:abstractNum w:abstractNumId="64">
    <w:nsid w:val="5DB70AE5"/>
    <w:multiLevelType w:val="hybridMultilevel"/>
    <w:lvl w:ilvl="0">
      <w:lvlJc w:val="left"/>
      <w:lvlText w:val="%1"/>
      <w:numFmt w:val="upperLetter"/>
      <w:start w:val="1"/>
    </w:lvl>
    <w:lvl w:ilvl="1">
      <w:lvlJc w:val="left"/>
      <w:lvlText w:val="(%2)"/>
      <w:numFmt w:val="lowerRoman"/>
      <w:start w:val="1"/>
    </w:lvl>
  </w:abstractNum>
  <w:abstractNum w:abstractNumId="65">
    <w:nsid w:val="100F8FCA"/>
    <w:multiLevelType w:val="hybridMultilevel"/>
    <w:lvl w:ilvl="0">
      <w:lvlJc w:val="left"/>
      <w:lvlText w:val="(%1)"/>
      <w:numFmt w:val="upperLetter"/>
      <w:start w:val="1"/>
    </w:lvl>
    <w:lvl w:ilvl="1">
      <w:lvlJc w:val="left"/>
      <w:lvlText w:val="(%2)"/>
      <w:numFmt w:val="lowerRoman"/>
      <w:start w:val="2"/>
    </w:lvl>
  </w:abstractNum>
  <w:abstractNum w:abstractNumId="66">
    <w:nsid w:val="6590700B"/>
    <w:multiLevelType w:val="hybridMultilevel"/>
    <w:lvl w:ilvl="0">
      <w:lvlJc w:val="left"/>
      <w:lvlText w:val="(%1)"/>
      <w:numFmt w:val="lowerLetter"/>
      <w:start w:val="11"/>
    </w:lvl>
  </w:abstractNum>
  <w:abstractNum w:abstractNumId="67">
    <w:nsid w:val="15014ACB"/>
    <w:multiLevelType w:val="hybridMultilevel"/>
    <w:lvl w:ilvl="0">
      <w:lvlJc w:val="left"/>
      <w:lvlText w:val="(%1)"/>
      <w:numFmt w:val="lowerRoman"/>
      <w:start w:val="1"/>
    </w:lvl>
  </w:abstractNum>
  <w:abstractNum w:abstractNumId="68">
    <w:nsid w:val="5F5E7FD0"/>
    <w:multiLevelType w:val="hybridMultilevel"/>
    <w:lvl w:ilvl="0">
      <w:lvlJc w:val="left"/>
      <w:lvlText w:val="(%1)"/>
      <w:numFmt w:val="lowerRoman"/>
      <w:start w:val="1"/>
    </w:lvl>
  </w:abstractNum>
  <w:abstractNum w:abstractNumId="69">
    <w:nsid w:val="98A3148"/>
    <w:multiLevelType w:val="hybridMultilevel"/>
    <w:lvl w:ilvl="0">
      <w:lvlJc w:val="left"/>
      <w:lvlText w:val="(%1)"/>
      <w:numFmt w:val="lowerRoman"/>
      <w:start w:val="27"/>
    </w:lvl>
  </w:abstractNum>
  <w:abstractNum w:abstractNumId="70">
    <w:nsid w:val="799D0247"/>
    <w:multiLevelType w:val="hybridMultilevel"/>
    <w:lvl w:ilvl="0">
      <w:lvlJc w:val="left"/>
      <w:lvlText w:val="(%1)"/>
      <w:numFmt w:val="lowerRoman"/>
      <w:start w:val="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2024-04-03T15:30:30Z</dcterms:created>
  <dcterms:modified xsi:type="dcterms:W3CDTF">2024-04-03T15:30:30Z</dcterms:modified>
</cp:coreProperties>
</file>