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345440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405130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175260</wp:posOffset>
            </wp:positionV>
            <wp:extent cx="1778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194310</wp:posOffset>
            </wp:positionV>
            <wp:extent cx="1778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920" w:right="2120" w:hanging="3912"/>
        <w:spacing w:after="0" w:line="483" w:lineRule="auto"/>
        <w:tabs>
          <w:tab w:leader="none" w:pos="3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9" w:lineRule="exact"/>
        <w:rPr>
          <w:sz w:val="24"/>
          <w:szCs w:val="24"/>
          <w:color w:val="auto"/>
        </w:rPr>
      </w:pPr>
    </w:p>
    <w:p>
      <w:pPr>
        <w:ind w:left="4420" w:right="1740" w:hanging="4412"/>
        <w:spacing w:after="0" w:line="531" w:lineRule="auto"/>
        <w:tabs>
          <w:tab w:leader="none" w:pos="3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11430</wp:posOffset>
            </wp:positionV>
            <wp:extent cx="1778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175260</wp:posOffset>
            </wp:positionV>
            <wp:extent cx="1778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420" w:type="dxa"/>
        <w:tblCellMar>
          <w:top w:w="0" w:type="dxa"/>
          <w:left w:w="0" w:type="dxa"/>
          <w:bottom w:w="0" w:type="dxa"/>
          <w:right w:w="0" w:type="dxa"/>
        </w:tblCellMar>
      </w:tblPr>
      <w:tr>
        <w:trPr>
          <w:trHeight w:val="215"/>
        </w:trPr>
        <w:tc>
          <w:tcPr>
            <w:tcW w:w="534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780" w:type="dxa"/>
            <w:vAlign w:val="bottom"/>
          </w:tcPr>
          <w:p>
            <w:pPr>
              <w:jc w:val="right"/>
              <w:ind w:right="159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53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78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3"/>
        </w:trPr>
        <w:tc>
          <w:tcPr>
            <w:tcW w:w="534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1180 Celebration Boulevard, Suite 103, Celebration, FL 34747</w:t>
            </w:r>
          </w:p>
        </w:tc>
        <w:tc>
          <w:tcPr>
            <w:tcW w:w="4780" w:type="dxa"/>
            <w:vAlign w:val="bottom"/>
          </w:tcPr>
          <w:p>
            <w:pPr>
              <w:jc w:val="right"/>
              <w:ind w:right="1450"/>
              <w:spacing w:after="0"/>
              <w:rPr>
                <w:sz w:val="20"/>
                <w:szCs w:val="20"/>
                <w:color w:val="auto"/>
              </w:rPr>
            </w:pPr>
            <w:r>
              <w:rPr>
                <w:rFonts w:ascii="Arial" w:cs="Arial" w:eastAsia="Arial" w:hAnsi="Arial"/>
                <w:sz w:val="18"/>
                <w:szCs w:val="18"/>
                <w:b w:val="1"/>
                <w:bCs w:val="1"/>
                <w:color w:val="auto"/>
              </w:rPr>
              <w:t>(321) 939-3416</w:t>
            </w:r>
          </w:p>
        </w:tc>
      </w:tr>
      <w:tr>
        <w:trPr>
          <w:trHeight w:val="234"/>
        </w:trPr>
        <w:tc>
          <w:tcPr>
            <w:tcW w:w="534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47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Trading Symbol</w:t>
            </w:r>
          </w:p>
        </w:tc>
        <w:tc>
          <w:tcPr>
            <w:tcW w:w="580" w:type="dxa"/>
            <w:vAlign w:val="bottom"/>
          </w:tcPr>
          <w:p>
            <w:pPr>
              <w:spacing w:after="0"/>
              <w:rPr>
                <w:sz w:val="18"/>
                <w:szCs w:val="18"/>
                <w:color w:val="auto"/>
              </w:rPr>
            </w:pPr>
          </w:p>
        </w:tc>
        <w:tc>
          <w:tcPr>
            <w:tcW w:w="36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Common Stock, $0.0001 par value</w:t>
            </w: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KMPH</w:t>
            </w:r>
          </w:p>
        </w:tc>
        <w:tc>
          <w:tcPr>
            <w:tcW w:w="580" w:type="dxa"/>
            <w:vAlign w:val="bottom"/>
          </w:tcPr>
          <w:p>
            <w:pPr>
              <w:spacing w:after="0"/>
              <w:rPr>
                <w:sz w:val="18"/>
                <w:szCs w:val="18"/>
                <w:color w:val="auto"/>
              </w:rPr>
            </w:pPr>
          </w:p>
        </w:tc>
        <w:tc>
          <w:tcPr>
            <w:tcW w:w="3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6"/>
          </w:tcPr>
          <w:p>
            <w:pPr>
              <w:jc w:val="center"/>
              <w:ind w:right="49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20" w:type="dxa"/>
            <w:vAlign w:val="bottom"/>
            <w:gridSpan w:val="2"/>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0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98"/>
        </w:trPr>
        <w:tc>
          <w:tcPr>
            <w:tcW w:w="8640" w:type="dxa"/>
            <w:vAlign w:val="bottom"/>
            <w:gridSpan w:val="9"/>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640" w:type="dxa"/>
            <w:vAlign w:val="bottom"/>
            <w:gridSpan w:val="9"/>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20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9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2"/>
        </w:trPr>
        <w:tc>
          <w:tcPr>
            <w:tcW w:w="1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p>
      <w:pPr>
        <w:spacing w:after="0" w:line="207" w:lineRule="exact"/>
        <w:tabs>
          <w:tab w:leader="none" w:pos="2020" w:val="left"/>
          <w:tab w:leader="none" w:pos="3660" w:val="left"/>
          <w:tab w:leader="none" w:pos="5620" w:val="left"/>
          <w:tab w:leader="none" w:pos="8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0"/>
          <w:szCs w:val="20"/>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9" w:lineRule="exact"/>
        <w:rPr>
          <w:sz w:val="20"/>
          <w:szCs w:val="20"/>
          <w:color w:val="auto"/>
        </w:rPr>
      </w:pPr>
    </w:p>
    <w:p>
      <w:pPr>
        <w:spacing w:after="0" w:line="207" w:lineRule="exact"/>
        <w:tabs>
          <w:tab w:leader="none" w:pos="836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342900</wp:posOffset>
            </wp:positionV>
            <wp:extent cx="1778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the registrant’s most recently completed second fiscal quarter, was approximately $446.2 million, based upon the closing sales price for the registrant’s common stock, as reported on the Nasdaq Capital Market on June 30, 2021. The calculation of the aggregate market value of voting and non-voting common equity excludes 173,553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2022, the registrant had 34,422,503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185420</wp:posOffset>
            </wp:positionV>
            <wp:extent cx="1778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3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675"/>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80" w:type="dxa"/>
            <w:vAlign w:val="bottom"/>
            <w:gridSpan w:val="16"/>
          </w:tcPr>
          <w:p>
            <w:pPr>
              <w:jc w:val="center"/>
              <w:ind w:right="4100"/>
              <w:spacing w:after="0"/>
              <w:rPr>
                <w:sz w:val="20"/>
                <w:szCs w:val="20"/>
                <w:color w:val="auto"/>
              </w:rPr>
            </w:pPr>
            <w:r>
              <w:rPr>
                <w:rFonts w:ascii="Arial" w:cs="Arial" w:eastAsia="Arial" w:hAnsi="Arial"/>
                <w:sz w:val="18"/>
                <w:szCs w:val="18"/>
                <w:b w:val="1"/>
                <w:bCs w:val="1"/>
                <w:color w:val="auto"/>
              </w:rPr>
              <w:t>KEMPHARM,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5"/>
          </w:tcPr>
          <w:p>
            <w:pPr>
              <w:jc w:val="center"/>
              <w:ind w:right="4340"/>
              <w:spacing w:after="0"/>
              <w:rPr>
                <w:sz w:val="20"/>
                <w:szCs w:val="20"/>
                <w:color w:val="auto"/>
              </w:rPr>
            </w:pPr>
            <w:r>
              <w:rPr>
                <w:rFonts w:ascii="Arial" w:cs="Arial" w:eastAsia="Arial" w:hAnsi="Arial"/>
                <w:sz w:val="18"/>
                <w:szCs w:val="18"/>
                <w:b w:val="1"/>
                <w:bCs w:val="1"/>
                <w:color w:val="auto"/>
              </w:rPr>
              <w:t>FORM 10-K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1"/>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Page</w:t>
            </w:r>
          </w:p>
        </w:tc>
      </w:tr>
      <w:tr>
        <w:trPr>
          <w:trHeight w:val="384"/>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2"/>
          </w:tcPr>
          <w:p>
            <w:pPr>
              <w:jc w:val="center"/>
              <w:ind w:right="4600"/>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PART I</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1"/>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gridSpan w:val="2"/>
          </w:tcPr>
          <w:p>
            <w:pPr>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Business</w:t>
              </w:r>
            </w:hyperlink>
          </w:p>
        </w:tc>
        <w:tc>
          <w:tcPr>
            <w:tcW w:w="4000" w:type="dxa"/>
            <w:vAlign w:val="bottom"/>
            <w:gridSpan w:val="18"/>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640" w:type="dxa"/>
            <w:vAlign w:val="bottom"/>
            <w:gridSpan w:val="9"/>
          </w:tcPr>
          <w:p>
            <w:pPr>
              <w:spacing w:after="0"/>
              <w:rPr>
                <w:sz w:val="24"/>
                <w:szCs w:val="24"/>
                <w:color w:val="auto"/>
              </w:rPr>
            </w:pPr>
          </w:p>
        </w:tc>
        <w:tc>
          <w:tcPr>
            <w:tcW w:w="440" w:type="dxa"/>
            <w:vAlign w:val="bottom"/>
            <w:gridSpan w:val="3"/>
          </w:tcPr>
          <w:p>
            <w:pPr>
              <w:jc w:val="center"/>
              <w:ind w:left="1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4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900" w:type="dxa"/>
            <w:vAlign w:val="bottom"/>
            <w:gridSpan w:val="5"/>
          </w:tcPr>
          <w:p>
            <w:pPr>
              <w:spacing w:after="0" w:line="195"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8960" w:type="dxa"/>
            <w:vAlign w:val="bottom"/>
            <w:gridSpan w:val="26"/>
          </w:tcPr>
          <w:p>
            <w:pPr>
              <w:spacing w:after="0"/>
              <w:rPr>
                <w:sz w:val="17"/>
                <w:szCs w:val="17"/>
                <w:color w:val="auto"/>
              </w:rPr>
            </w:pPr>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gridSpan w:val="11"/>
          </w:tcPr>
          <w:p>
            <w:pPr>
              <w:spacing w:after="0" w:line="195"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Unresolved Staff Comments</w:t>
              </w:r>
            </w:hyperlink>
          </w:p>
        </w:tc>
        <w:tc>
          <w:tcPr>
            <w:tcW w:w="7820" w:type="dxa"/>
            <w:vAlign w:val="bottom"/>
            <w:gridSpan w:val="20"/>
          </w:tcPr>
          <w:p>
            <w:pPr>
              <w:spacing w:after="0"/>
              <w:rPr>
                <w:sz w:val="17"/>
                <w:szCs w:val="17"/>
                <w:color w:val="auto"/>
              </w:rPr>
            </w:pPr>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2040" w:type="dxa"/>
            <w:vAlign w:val="bottom"/>
            <w:gridSpan w:val="11"/>
          </w:tcPr>
          <w:p>
            <w:pPr>
              <w:spacing w:after="0" w:line="195" w:lineRule="exact"/>
              <w:rPr>
                <w:rFonts w:ascii="Arial" w:cs="Arial" w:eastAsia="Arial" w:hAnsi="Arial"/>
                <w:sz w:val="18"/>
                <w:szCs w:val="18"/>
                <w:color w:val="0000EE"/>
              </w:rPr>
            </w:pPr>
            <w:hyperlink w:anchor="page94">
              <w:r>
                <w:rPr>
                  <w:rFonts w:ascii="Arial" w:cs="Arial" w:eastAsia="Arial" w:hAnsi="Arial"/>
                  <w:sz w:val="18"/>
                  <w:szCs w:val="18"/>
                  <w:color w:val="0000EE"/>
                </w:rPr>
                <w:t>Properties</w:t>
              </w:r>
            </w:hyperlink>
          </w:p>
        </w:tc>
        <w:tc>
          <w:tcPr>
            <w:tcW w:w="7820" w:type="dxa"/>
            <w:vAlign w:val="bottom"/>
            <w:gridSpan w:val="20"/>
          </w:tcPr>
          <w:p>
            <w:pPr>
              <w:spacing w:after="0"/>
              <w:rPr>
                <w:sz w:val="17"/>
                <w:szCs w:val="17"/>
                <w:color w:val="auto"/>
              </w:rPr>
            </w:pPr>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9860" w:type="dxa"/>
            <w:vAlign w:val="bottom"/>
            <w:gridSpan w:val="31"/>
          </w:tcPr>
          <w:p>
            <w:pPr>
              <w:spacing w:after="0" w:line="195" w:lineRule="exact"/>
              <w:rPr>
                <w:rFonts w:ascii="Arial" w:cs="Arial" w:eastAsia="Arial" w:hAnsi="Arial"/>
                <w:sz w:val="18"/>
                <w:szCs w:val="18"/>
                <w:color w:val="0000EE"/>
              </w:rPr>
            </w:pPr>
            <w:hyperlink w:anchor="page94">
              <w:r>
                <w:rPr>
                  <w:rFonts w:ascii="Arial" w:cs="Arial" w:eastAsia="Arial" w:hAnsi="Arial"/>
                  <w:sz w:val="18"/>
                  <w:szCs w:val="18"/>
                  <w:color w:val="0000EE"/>
                </w:rPr>
                <w:t>Legal Proceedings</w:t>
              </w:r>
            </w:hyperlink>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860" w:type="dxa"/>
            <w:vAlign w:val="bottom"/>
            <w:gridSpan w:val="31"/>
          </w:tcPr>
          <w:p>
            <w:pPr>
              <w:spacing w:after="0" w:line="195" w:lineRule="exact"/>
              <w:rPr>
                <w:rFonts w:ascii="Arial" w:cs="Arial" w:eastAsia="Arial" w:hAnsi="Arial"/>
                <w:sz w:val="18"/>
                <w:szCs w:val="18"/>
                <w:color w:val="0000EE"/>
              </w:rPr>
            </w:pPr>
            <w:hyperlink w:anchor="page94">
              <w:r>
                <w:rPr>
                  <w:rFonts w:ascii="Arial" w:cs="Arial" w:eastAsia="Arial" w:hAnsi="Arial"/>
                  <w:sz w:val="18"/>
                  <w:szCs w:val="18"/>
                  <w:color w:val="0000EE"/>
                </w:rPr>
                <w:t>Mine Safety Disclosures</w:t>
              </w:r>
            </w:hyperlink>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240" w:type="dxa"/>
            <w:vAlign w:val="bottom"/>
          </w:tcPr>
          <w:p>
            <w:pPr>
              <w:spacing w:after="0"/>
              <w:rPr>
                <w:sz w:val="17"/>
                <w:szCs w:val="17"/>
                <w:color w:val="auto"/>
              </w:rPr>
            </w:pPr>
          </w:p>
        </w:tc>
      </w:tr>
      <w:tr>
        <w:trPr>
          <w:trHeight w:val="411"/>
        </w:trPr>
        <w:tc>
          <w:tcPr>
            <w:tcW w:w="7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w:t>
              </w:r>
            </w:hyperlink>
          </w:p>
        </w:tc>
        <w:tc>
          <w:tcPr>
            <w:tcW w:w="460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411"/>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30"/>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Market for Registrant's Common Equity, Related Stockholder Matters, and Issuer Purchases of Equity Securities</w:t>
              </w:r>
            </w:hyperlink>
          </w:p>
        </w:tc>
        <w:tc>
          <w:tcPr>
            <w:tcW w:w="1780" w:type="dxa"/>
            <w:vAlign w:val="bottom"/>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95</w:t>
              </w:r>
            </w:hyperlink>
          </w:p>
        </w:tc>
        <w:tc>
          <w:tcPr>
            <w:tcW w:w="24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8080" w:type="dxa"/>
            <w:vAlign w:val="bottom"/>
            <w:gridSpan w:val="30"/>
          </w:tcPr>
          <w:p>
            <w:pPr>
              <w:spacing w:after="0" w:line="195" w:lineRule="exact"/>
              <w:rPr>
                <w:rFonts w:ascii="Arial" w:cs="Arial" w:eastAsia="Arial" w:hAnsi="Arial"/>
                <w:sz w:val="18"/>
                <w:szCs w:val="18"/>
                <w:color w:val="0000EE"/>
              </w:rPr>
            </w:pPr>
            <w:hyperlink w:anchor="page96">
              <w:r>
                <w:rPr>
                  <w:rFonts w:ascii="Arial" w:cs="Arial" w:eastAsia="Arial" w:hAnsi="Arial"/>
                  <w:sz w:val="18"/>
                  <w:szCs w:val="18"/>
                  <w:color w:val="0000EE"/>
                </w:rPr>
                <w:t>[Reserved]</w:t>
              </w:r>
            </w:hyperlink>
          </w:p>
        </w:tc>
        <w:tc>
          <w:tcPr>
            <w:tcW w:w="1780" w:type="dxa"/>
            <w:vAlign w:val="bottom"/>
          </w:tcPr>
          <w:p>
            <w:pPr>
              <w:spacing w:after="0"/>
              <w:rPr>
                <w:sz w:val="17"/>
                <w:szCs w:val="17"/>
                <w:color w:val="auto"/>
              </w:rPr>
            </w:pPr>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96</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gridSpan w:val="27"/>
          </w:tcPr>
          <w:p>
            <w:pPr>
              <w:spacing w:after="0" w:line="195"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4"/>
          </w:tcPr>
          <w:p>
            <w:pPr>
              <w:spacing w:after="0"/>
              <w:rPr>
                <w:sz w:val="17"/>
                <w:szCs w:val="17"/>
                <w:color w:val="auto"/>
              </w:rPr>
            </w:pPr>
          </w:p>
        </w:tc>
        <w:tc>
          <w:tcPr>
            <w:tcW w:w="440" w:type="dxa"/>
            <w:vAlign w:val="bottom"/>
            <w:gridSpan w:val="3"/>
          </w:tcPr>
          <w:p>
            <w:pPr>
              <w:jc w:val="center"/>
              <w:ind w:left="170"/>
              <w:spacing w:after="0" w:line="195"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97</w:t>
              </w:r>
            </w:hyperlink>
          </w:p>
        </w:tc>
        <w:tc>
          <w:tcPr>
            <w:tcW w:w="2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7A.</w:t>
            </w:r>
          </w:p>
        </w:tc>
        <w:tc>
          <w:tcPr>
            <w:tcW w:w="6420" w:type="dxa"/>
            <w:vAlign w:val="bottom"/>
            <w:gridSpan w:val="27"/>
          </w:tcPr>
          <w:p>
            <w:pPr>
              <w:spacing w:after="0" w:line="195" w:lineRule="exact"/>
              <w:rPr>
                <w:rFonts w:ascii="Arial" w:cs="Arial" w:eastAsia="Arial" w:hAnsi="Arial"/>
                <w:sz w:val="18"/>
                <w:szCs w:val="18"/>
                <w:color w:val="0000EE"/>
              </w:rPr>
            </w:pPr>
            <w:hyperlink w:anchor="page120">
              <w:r>
                <w:rPr>
                  <w:rFonts w:ascii="Arial" w:cs="Arial" w:eastAsia="Arial" w:hAnsi="Arial"/>
                  <w:sz w:val="18"/>
                  <w:szCs w:val="18"/>
                  <w:color w:val="0000EE"/>
                </w:rPr>
                <w:t>Quantitative and Qualitative Disclosures About Market Risk</w:t>
              </w:r>
            </w:hyperlink>
          </w:p>
        </w:tc>
        <w:tc>
          <w:tcPr>
            <w:tcW w:w="3440" w:type="dxa"/>
            <w:vAlign w:val="bottom"/>
            <w:gridSpan w:val="4"/>
          </w:tcPr>
          <w:p>
            <w:pPr>
              <w:spacing w:after="0"/>
              <w:rPr>
                <w:sz w:val="17"/>
                <w:szCs w:val="17"/>
                <w:color w:val="auto"/>
              </w:rPr>
            </w:pPr>
          </w:p>
        </w:tc>
        <w:tc>
          <w:tcPr>
            <w:tcW w:w="680" w:type="dxa"/>
            <w:vAlign w:val="bottom"/>
            <w:gridSpan w:val="4"/>
          </w:tcPr>
          <w:p>
            <w:pPr>
              <w:jc w:val="center"/>
              <w:spacing w:after="0" w:line="195"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120</w:t>
              </w:r>
            </w:hyperlink>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520" w:type="dxa"/>
            <w:vAlign w:val="bottom"/>
            <w:gridSpan w:val="15"/>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120</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28"/>
          </w:tcPr>
          <w:p>
            <w:pPr>
              <w:spacing w:after="0" w:line="195"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Changes in and Disagreements With Accountants on Accounting and Financial Disclosures</w:t>
              </w:r>
            </w:hyperlink>
          </w:p>
        </w:tc>
        <w:tc>
          <w:tcPr>
            <w:tcW w:w="330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120</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Controls and Procedures</w:t>
              </w:r>
            </w:hyperlink>
          </w:p>
        </w:tc>
        <w:tc>
          <w:tcPr>
            <w:tcW w:w="8100" w:type="dxa"/>
            <w:vAlign w:val="bottom"/>
            <w:gridSpan w:val="23"/>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20">
              <w:r>
                <w:rPr>
                  <w:rFonts w:ascii="Arial" w:cs="Arial" w:eastAsia="Arial" w:hAnsi="Arial"/>
                  <w:sz w:val="15"/>
                  <w:szCs w:val="15"/>
                  <w:color w:val="0000EE"/>
                  <w:w w:val="71"/>
                </w:rPr>
                <w:t>120</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9B.</w:t>
            </w:r>
          </w:p>
        </w:tc>
        <w:tc>
          <w:tcPr>
            <w:tcW w:w="9860" w:type="dxa"/>
            <w:vAlign w:val="bottom"/>
            <w:gridSpan w:val="31"/>
          </w:tcPr>
          <w:p>
            <w:pPr>
              <w:spacing w:after="0" w:line="195" w:lineRule="exact"/>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680" w:type="dxa"/>
            <w:vAlign w:val="bottom"/>
            <w:gridSpan w:val="4"/>
          </w:tcPr>
          <w:p>
            <w:pPr>
              <w:jc w:val="center"/>
              <w:spacing w:after="0" w:line="195"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r>
      <w:tr>
        <w:trPr>
          <w:trHeight w:val="20"/>
        </w:trPr>
        <w:tc>
          <w:tcPr>
            <w:tcW w:w="7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w w:val="99"/>
              </w:rPr>
              <w:t>Item 9C.</w:t>
            </w:r>
          </w:p>
        </w:tc>
        <w:tc>
          <w:tcPr>
            <w:tcW w:w="9860" w:type="dxa"/>
            <w:vAlign w:val="bottom"/>
            <w:gridSpan w:val="31"/>
          </w:tcPr>
          <w:p>
            <w:pPr>
              <w:spacing w:after="0" w:line="195" w:lineRule="exact"/>
              <w:rPr>
                <w:rFonts w:ascii="Arial" w:cs="Arial" w:eastAsia="Arial" w:hAnsi="Arial"/>
                <w:sz w:val="18"/>
                <w:szCs w:val="18"/>
                <w:color w:val="0000EE"/>
              </w:rPr>
            </w:pPr>
            <w:hyperlink w:anchor="page121">
              <w:r>
                <w:rPr>
                  <w:rFonts w:ascii="Arial" w:cs="Arial" w:eastAsia="Arial" w:hAnsi="Arial"/>
                  <w:sz w:val="18"/>
                  <w:szCs w:val="18"/>
                  <w:color w:val="0000EE"/>
                </w:rPr>
                <w:t>Disclosure Regarding Foreign Jurisdictions that Prevent Inspections</w:t>
              </w:r>
            </w:hyperlink>
          </w:p>
        </w:tc>
        <w:tc>
          <w:tcPr>
            <w:tcW w:w="680" w:type="dxa"/>
            <w:vAlign w:val="bottom"/>
            <w:gridSpan w:val="4"/>
          </w:tcPr>
          <w:p>
            <w:pPr>
              <w:jc w:val="center"/>
              <w:spacing w:after="0" w:line="195"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1"/>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III</w:t>
              </w:r>
            </w:hyperlink>
          </w:p>
        </w:tc>
        <w:tc>
          <w:tcPr>
            <w:tcW w:w="456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1"/>
        </w:trPr>
        <w:tc>
          <w:tcPr>
            <w:tcW w:w="700" w:type="dxa"/>
            <w:vAlign w:val="bottom"/>
          </w:tcPr>
          <w:p>
            <w:pPr>
              <w:spacing w:after="0"/>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Directors, Executive Officers and Corporate Governance</w:t>
              </w:r>
            </w:hyperlink>
          </w:p>
        </w:tc>
        <w:tc>
          <w:tcPr>
            <w:tcW w:w="5780" w:type="dxa"/>
            <w:vAlign w:val="bottom"/>
            <w:gridSpan w:val="16"/>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22">
              <w:r>
                <w:rPr>
                  <w:rFonts w:ascii="Arial" w:cs="Arial" w:eastAsia="Arial" w:hAnsi="Arial"/>
                  <w:sz w:val="15"/>
                  <w:szCs w:val="15"/>
                  <w:color w:val="0000EE"/>
                  <w:w w:val="71"/>
                </w:rPr>
                <w:t>122</w:t>
              </w:r>
            </w:hyperlink>
          </w:p>
        </w:tc>
        <w:tc>
          <w:tcPr>
            <w:tcW w:w="240" w:type="dxa"/>
            <w:vAlign w:val="bottom"/>
          </w:tcPr>
          <w:p>
            <w:pPr>
              <w:spacing w:after="0"/>
              <w:rPr>
                <w:sz w:val="24"/>
                <w:szCs w:val="24"/>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8060" w:type="dxa"/>
            <w:vAlign w:val="bottom"/>
            <w:gridSpan w:val="21"/>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25">
              <w:r>
                <w:rPr>
                  <w:rFonts w:ascii="Arial" w:cs="Arial" w:eastAsia="Arial" w:hAnsi="Arial"/>
                  <w:sz w:val="15"/>
                  <w:szCs w:val="15"/>
                  <w:color w:val="0000EE"/>
                  <w:w w:val="71"/>
                </w:rPr>
                <w:t>125</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12.</w:t>
            </w:r>
          </w:p>
        </w:tc>
        <w:tc>
          <w:tcPr>
            <w:tcW w:w="9860" w:type="dxa"/>
            <w:vAlign w:val="bottom"/>
            <w:gridSpan w:val="31"/>
          </w:tcPr>
          <w:p>
            <w:pPr>
              <w:spacing w:after="0" w:line="195" w:lineRule="exact"/>
              <w:rPr>
                <w:rFonts w:ascii="Arial" w:cs="Arial" w:eastAsia="Arial" w:hAnsi="Arial"/>
                <w:sz w:val="18"/>
                <w:szCs w:val="18"/>
                <w:color w:val="0000EE"/>
              </w:rPr>
            </w:pPr>
            <w:hyperlink w:anchor="page141">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4"/>
          </w:tcPr>
          <w:p>
            <w:pPr>
              <w:jc w:val="center"/>
              <w:spacing w:after="0" w:line="195"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141</w:t>
              </w:r>
            </w:hyperlink>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13.</w:t>
            </w:r>
          </w:p>
        </w:tc>
        <w:tc>
          <w:tcPr>
            <w:tcW w:w="5440" w:type="dxa"/>
            <w:vAlign w:val="bottom"/>
            <w:tcBorders>
              <w:top w:val="single" w:sz="8" w:color="0000EE"/>
              <w:bottom w:val="single" w:sz="8" w:color="0000EE"/>
            </w:tcBorders>
            <w:gridSpan w:val="26"/>
          </w:tcPr>
          <w:p>
            <w:pPr>
              <w:spacing w:after="0" w:line="195"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Certain Relationships and Related Transactions, and Director Independence</w:t>
              </w:r>
            </w:hyperlink>
          </w:p>
        </w:tc>
        <w:tc>
          <w:tcPr>
            <w:tcW w:w="1820" w:type="dxa"/>
            <w:vAlign w:val="bottom"/>
            <w:tcBorders>
              <w:top w:val="single" w:sz="8" w:color="0000EE"/>
            </w:tcBorders>
            <w:gridSpan w:val="3"/>
          </w:tcPr>
          <w:p>
            <w:pPr>
              <w:spacing w:after="0"/>
              <w:rPr>
                <w:sz w:val="17"/>
                <w:szCs w:val="17"/>
                <w:color w:val="auto"/>
              </w:rPr>
            </w:pPr>
          </w:p>
        </w:tc>
        <w:tc>
          <w:tcPr>
            <w:tcW w:w="2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144">
              <w:r>
                <w:rPr>
                  <w:rFonts w:ascii="Arial" w:cs="Arial" w:eastAsia="Arial" w:hAnsi="Arial"/>
                  <w:sz w:val="15"/>
                  <w:szCs w:val="15"/>
                  <w:color w:val="0000EE"/>
                  <w:w w:val="71"/>
                </w:rPr>
                <w:t>144</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14.</w:t>
            </w:r>
          </w:p>
        </w:tc>
        <w:tc>
          <w:tcPr>
            <w:tcW w:w="9860" w:type="dxa"/>
            <w:vAlign w:val="bottom"/>
            <w:gridSpan w:val="31"/>
          </w:tcPr>
          <w:p>
            <w:pPr>
              <w:spacing w:after="0" w:line="195" w:lineRule="exact"/>
              <w:rPr>
                <w:rFonts w:ascii="Arial" w:cs="Arial" w:eastAsia="Arial" w:hAnsi="Arial"/>
                <w:sz w:val="18"/>
                <w:szCs w:val="18"/>
                <w:color w:val="0000EE"/>
              </w:rPr>
            </w:pPr>
            <w:hyperlink w:anchor="page146">
              <w:r>
                <w:rPr>
                  <w:rFonts w:ascii="Arial" w:cs="Arial" w:eastAsia="Arial" w:hAnsi="Arial"/>
                  <w:sz w:val="18"/>
                  <w:szCs w:val="18"/>
                  <w:color w:val="0000EE"/>
                </w:rPr>
                <w:t>Principal Accounting Fees and Services</w:t>
              </w:r>
            </w:hyperlink>
          </w:p>
        </w:tc>
        <w:tc>
          <w:tcPr>
            <w:tcW w:w="680" w:type="dxa"/>
            <w:vAlign w:val="bottom"/>
            <w:gridSpan w:val="4"/>
          </w:tcPr>
          <w:p>
            <w:pPr>
              <w:jc w:val="center"/>
              <w:spacing w:after="0" w:line="195"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146</w:t>
              </w:r>
            </w:hyperlink>
          </w:p>
        </w:tc>
      </w:tr>
      <w:tr>
        <w:trPr>
          <w:trHeight w:val="411"/>
        </w:trPr>
        <w:tc>
          <w:tcPr>
            <w:tcW w:w="7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14"/>
          </w:tcPr>
          <w:p>
            <w:pPr>
              <w:jc w:val="center"/>
              <w:ind w:right="4560"/>
              <w:spacing w:after="0"/>
              <w:rPr>
                <w:rFonts w:ascii="Arial" w:cs="Arial" w:eastAsia="Arial" w:hAnsi="Arial"/>
                <w:sz w:val="18"/>
                <w:szCs w:val="18"/>
                <w:b w:val="1"/>
                <w:bCs w:val="1"/>
                <w:color w:val="0000EE"/>
                <w:w w:val="98"/>
              </w:rPr>
            </w:pPr>
            <w:hyperlink w:anchor="page147">
              <w:r>
                <w:rPr>
                  <w:rFonts w:ascii="Arial" w:cs="Arial" w:eastAsia="Arial" w:hAnsi="Arial"/>
                  <w:sz w:val="18"/>
                  <w:szCs w:val="18"/>
                  <w:b w:val="1"/>
                  <w:bCs w:val="1"/>
                  <w:color w:val="0000EE"/>
                  <w:w w:val="98"/>
                </w:rPr>
                <w:t>PART IV</w:t>
              </w:r>
            </w:hyperlink>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411"/>
        </w:trPr>
        <w:tc>
          <w:tcPr>
            <w:tcW w:w="700" w:type="dxa"/>
            <w:vAlign w:val="bottom"/>
          </w:tcPr>
          <w:p>
            <w:pPr>
              <w:spacing w:after="0"/>
              <w:rPr>
                <w:sz w:val="20"/>
                <w:szCs w:val="20"/>
                <w:color w:val="auto"/>
              </w:rPr>
            </w:pPr>
            <w:r>
              <w:rPr>
                <w:rFonts w:ascii="Arial" w:cs="Arial" w:eastAsia="Arial" w:hAnsi="Arial"/>
                <w:sz w:val="18"/>
                <w:szCs w:val="18"/>
                <w:color w:val="auto"/>
              </w:rPr>
              <w:t>Item 15.</w:t>
            </w:r>
          </w:p>
        </w:tc>
        <w:tc>
          <w:tcPr>
            <w:tcW w:w="4580" w:type="dxa"/>
            <w:vAlign w:val="bottom"/>
            <w:gridSpan w:val="1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580" w:type="dxa"/>
            <w:vAlign w:val="bottom"/>
            <w:gridSpan w:val="7"/>
          </w:tcPr>
          <w:p>
            <w:pPr>
              <w:spacing w:after="0"/>
              <w:rPr>
                <w:sz w:val="24"/>
                <w:szCs w:val="24"/>
                <w:color w:val="auto"/>
              </w:rPr>
            </w:pPr>
          </w:p>
        </w:tc>
        <w:tc>
          <w:tcPr>
            <w:tcW w:w="680" w:type="dxa"/>
            <w:vAlign w:val="bottom"/>
            <w:gridSpan w:val="4"/>
          </w:tcPr>
          <w:p>
            <w:pPr>
              <w:jc w:val="center"/>
              <w:spacing w:after="0"/>
              <w:rPr>
                <w:rFonts w:ascii="Arial" w:cs="Arial" w:eastAsia="Arial" w:hAnsi="Arial"/>
                <w:sz w:val="18"/>
                <w:szCs w:val="18"/>
                <w:color w:val="0000EE"/>
                <w:w w:val="93"/>
              </w:rPr>
            </w:pPr>
            <w:hyperlink w:anchor="page147">
              <w:r>
                <w:rPr>
                  <w:rFonts w:ascii="Arial" w:cs="Arial" w:eastAsia="Arial" w:hAnsi="Arial"/>
                  <w:sz w:val="18"/>
                  <w:szCs w:val="18"/>
                  <w:color w:val="0000EE"/>
                  <w:w w:val="93"/>
                </w:rPr>
                <w:t>147</w:t>
              </w:r>
            </w:hyperlink>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Item 16.</w:t>
            </w:r>
          </w:p>
        </w:tc>
        <w:tc>
          <w:tcPr>
            <w:tcW w:w="3140" w:type="dxa"/>
            <w:vAlign w:val="bottom"/>
            <w:tcBorders>
              <w:top w:val="single" w:sz="8" w:color="0000EE"/>
            </w:tcBorders>
            <w:gridSpan w:val="13"/>
          </w:tcPr>
          <w:p>
            <w:pPr>
              <w:spacing w:after="0" w:line="195" w:lineRule="exact"/>
              <w:rPr>
                <w:rFonts w:ascii="Arial" w:cs="Arial" w:eastAsia="Arial" w:hAnsi="Arial"/>
                <w:sz w:val="18"/>
                <w:szCs w:val="18"/>
                <w:color w:val="0000EE"/>
              </w:rPr>
            </w:pPr>
            <w:hyperlink w:anchor="page198">
              <w:r>
                <w:rPr>
                  <w:rFonts w:ascii="Arial" w:cs="Arial" w:eastAsia="Arial" w:hAnsi="Arial"/>
                  <w:sz w:val="18"/>
                  <w:szCs w:val="18"/>
                  <w:color w:val="0000EE"/>
                </w:rPr>
                <w:t>Form 10-K Summary</w:t>
              </w:r>
            </w:hyperlink>
          </w:p>
        </w:tc>
        <w:tc>
          <w:tcPr>
            <w:tcW w:w="6720" w:type="dxa"/>
            <w:vAlign w:val="bottom"/>
            <w:gridSpan w:val="18"/>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98">
              <w:r>
                <w:rPr>
                  <w:rFonts w:ascii="Arial" w:cs="Arial" w:eastAsia="Arial" w:hAnsi="Arial"/>
                  <w:sz w:val="15"/>
                  <w:szCs w:val="15"/>
                  <w:color w:val="0000EE"/>
                  <w:w w:val="71"/>
                </w:rPr>
                <w:t>197</w:t>
              </w:r>
            </w:hyperlink>
          </w:p>
        </w:tc>
        <w:tc>
          <w:tcPr>
            <w:tcW w:w="240" w:type="dxa"/>
            <w:vAlign w:val="bottom"/>
          </w:tcPr>
          <w:p>
            <w:pPr>
              <w:spacing w:after="0"/>
              <w:rPr>
                <w:sz w:val="17"/>
                <w:szCs w:val="17"/>
                <w:color w:val="auto"/>
              </w:rPr>
            </w:pPr>
          </w:p>
        </w:tc>
      </w:tr>
      <w:tr>
        <w:trPr>
          <w:trHeight w:val="195"/>
        </w:trPr>
        <w:tc>
          <w:tcPr>
            <w:tcW w:w="700" w:type="dxa"/>
            <w:vAlign w:val="bottom"/>
          </w:tcPr>
          <w:p>
            <w:pPr>
              <w:spacing w:after="0"/>
              <w:rPr>
                <w:sz w:val="17"/>
                <w:szCs w:val="17"/>
                <w:color w:val="auto"/>
              </w:rPr>
            </w:pPr>
          </w:p>
        </w:tc>
        <w:tc>
          <w:tcPr>
            <w:tcW w:w="154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w:anchor="page199">
              <w:r>
                <w:rPr>
                  <w:rFonts w:ascii="Arial" w:cs="Arial" w:eastAsia="Arial" w:hAnsi="Arial"/>
                  <w:sz w:val="18"/>
                  <w:szCs w:val="18"/>
                  <w:color w:val="0000EE"/>
                </w:rPr>
                <w:t>Signatures</w:t>
              </w:r>
            </w:hyperlink>
          </w:p>
        </w:tc>
        <w:tc>
          <w:tcPr>
            <w:tcW w:w="8320" w:type="dxa"/>
            <w:vAlign w:val="bottom"/>
            <w:gridSpan w:val="24"/>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99">
              <w:r>
                <w:rPr>
                  <w:rFonts w:ascii="Arial" w:cs="Arial" w:eastAsia="Arial" w:hAnsi="Arial"/>
                  <w:sz w:val="15"/>
                  <w:szCs w:val="15"/>
                  <w:color w:val="0000EE"/>
                  <w:w w:val="71"/>
                </w:rPr>
                <w:t>198</w:t>
              </w:r>
            </w:hyperlink>
          </w:p>
        </w:tc>
        <w:tc>
          <w:tcPr>
            <w:tcW w:w="240" w:type="dxa"/>
            <w:vAlign w:val="bottom"/>
          </w:tcPr>
          <w:p>
            <w:pPr>
              <w:spacing w:after="0"/>
              <w:rPr>
                <w:sz w:val="17"/>
                <w:szCs w:val="17"/>
                <w:color w:val="auto"/>
              </w:rPr>
            </w:pPr>
          </w:p>
        </w:tc>
      </w:tr>
      <w:tr>
        <w:trPr>
          <w:trHeight w:val="593"/>
        </w:trPr>
        <w:tc>
          <w:tcPr>
            <w:tcW w:w="70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2" w:lineRule="exact"/>
        <w:rPr>
          <w:sz w:val="20"/>
          <w:szCs w:val="20"/>
          <w:color w:val="auto"/>
        </w:rPr>
      </w:pPr>
    </w:p>
    <w:p>
      <w:pPr>
        <w:ind w:left="460" w:hanging="223"/>
        <w:spacing w:after="0" w:line="27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5" w:lineRule="exact"/>
        <w:rPr>
          <w:rFonts w:ascii="Arial" w:cs="Arial" w:eastAsia="Arial" w:hAnsi="Arial"/>
          <w:sz w:val="17"/>
          <w:szCs w:val="17"/>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raise additional funds on commercially reasonable terms, or at all, in order to support our continued operations;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results of those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products and product candidates, if approved;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66" w:lineRule="exact"/>
        <w:rPr>
          <w:sz w:val="20"/>
          <w:szCs w:val="20"/>
          <w:color w:val="auto"/>
        </w:rPr>
      </w:pPr>
    </w:p>
    <w:p>
      <w:pPr>
        <w:ind w:left="460" w:hanging="223"/>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research and development activities are focused on discovering and developing proprietary prodrugs, and we are taking an innovative approach to discovering and developing prodrugs, which may never lead to additional marketable prodrug products.</w:t>
      </w:r>
    </w:p>
    <w:p>
      <w:pPr>
        <w:spacing w:after="0" w:line="170" w:lineRule="exact"/>
        <w:rPr>
          <w:rFonts w:ascii="Arial" w:cs="Arial" w:eastAsia="Arial" w:hAnsi="Arial"/>
          <w:sz w:val="18"/>
          <w:szCs w:val="18"/>
          <w:color w:val="auto"/>
        </w:rPr>
      </w:pPr>
    </w:p>
    <w:p>
      <w:pPr>
        <w:jc w:val="both"/>
        <w:ind w:left="460" w:right="20" w:hanging="223"/>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1"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commercialization of AZSTARYS or our product candidates is not successful, or we experience significant delays in commercialization, our business will be harmed.</w:t>
      </w:r>
    </w:p>
    <w:p>
      <w:pPr>
        <w:spacing w:after="0" w:line="170" w:lineRule="exact"/>
        <w:rPr>
          <w:rFonts w:ascii="Arial" w:cs="Arial" w:eastAsia="Arial" w:hAnsi="Arial"/>
          <w:sz w:val="18"/>
          <w:szCs w:val="18"/>
          <w:color w:val="auto"/>
        </w:rPr>
      </w:pPr>
    </w:p>
    <w:p>
      <w:pPr>
        <w:ind w:left="460" w:right="20" w:hanging="223"/>
        <w:spacing w:after="0" w:line="30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rFonts w:ascii="Arial" w:cs="Arial" w:eastAsia="Arial" w:hAnsi="Arial"/>
          <w:sz w:val="17"/>
          <w:szCs w:val="17"/>
          <w:color w:val="auto"/>
        </w:rPr>
      </w:pPr>
    </w:p>
    <w:p>
      <w:pPr>
        <w:ind w:left="460" w:hanging="223"/>
        <w:spacing w:after="0" w:line="30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rFonts w:ascii="Arial" w:cs="Arial" w:eastAsia="Arial" w:hAnsi="Arial"/>
          <w:sz w:val="17"/>
          <w:szCs w:val="17"/>
          <w:color w:val="auto"/>
        </w:rPr>
      </w:pPr>
    </w:p>
    <w:p>
      <w:pPr>
        <w:ind w:left="460" w:hanging="223"/>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170" w:lineRule="exact"/>
        <w:rPr>
          <w:rFonts w:ascii="Arial" w:cs="Arial" w:eastAsia="Arial" w:hAnsi="Arial"/>
          <w:sz w:val="18"/>
          <w:szCs w:val="18"/>
          <w:color w:val="auto"/>
        </w:rPr>
      </w:pPr>
    </w:p>
    <w:p>
      <w:pPr>
        <w:jc w:val="both"/>
        <w:ind w:left="460" w:hanging="223"/>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we are unable to obtain and maintain trade secret protection or patent protection for our technology, AZSTARYS or our product candidates, or if the scope of the patent protection obtained is not sufficiently broad, our competitors could develop and commercialize technology and drugs similar or identical to ours, and our ability to successfully commercialize our technology, AZSTARYS and our product candidates, if approved, may be impaired.</w:t>
      </w:r>
    </w:p>
    <w:p>
      <w:pPr>
        <w:spacing w:after="0" w:line="187"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we, subject to the approval of Commave Therapeutics, S.A.,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89"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FDA may determine that any NDA we may submit under the 505(b)(2) regulatory pathway for any of our product candidates in the future is not sufficiently complete to permit a substantive review.</w:t>
      </w:r>
    </w:p>
    <w:p>
      <w:pPr>
        <w:spacing w:after="0" w:line="170" w:lineRule="exact"/>
        <w:rPr>
          <w:rFonts w:ascii="Arial" w:cs="Arial" w:eastAsia="Arial" w:hAnsi="Arial"/>
          <w:sz w:val="18"/>
          <w:szCs w:val="18"/>
          <w:color w:val="auto"/>
        </w:rPr>
      </w:pPr>
    </w:p>
    <w:p>
      <w:pPr>
        <w:jc w:val="both"/>
        <w:ind w:left="460" w:hanging="223"/>
        <w:spacing w:after="0" w:line="27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have entered into collaborations with Commave to develop, manufacture and commercialize AZSTARYS and KP484 worldwide and KVK-Tech, Inc., or KVK, to manufacture and commercialize APADAZ in the United States. In addition, we may seek collaborations with third parties for the development, manufacturing or commercialization of our other product candidates, or in other territories. If those collaborations are not successful, we may not be able to capitalize on the market potential of AZSTARYS, APADAZ, KP484 or other product candidates, if approved.</w:t>
      </w:r>
    </w:p>
    <w:p>
      <w:pPr>
        <w:spacing w:after="0" w:line="171" w:lineRule="exact"/>
        <w:rPr>
          <w:rFonts w:ascii="Arial" w:cs="Arial" w:eastAsia="Arial" w:hAnsi="Arial"/>
          <w:sz w:val="17"/>
          <w:szCs w:val="17"/>
          <w:color w:val="auto"/>
        </w:rPr>
      </w:pPr>
    </w:p>
    <w:p>
      <w:pPr>
        <w:ind w:left="460" w:hanging="223"/>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trading price of the shares of our common stock is likely to be volatile, and purchasers of our common stock could incur substantial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Unless the context otherwise requires, we use the terms “KemPharm,” “Company,” “we,” “us” and “our” in this Annual Report on Form 10-K to refer to KemPharm, Inc. We have proprietary rights to a number of trademarks used in this Annual Report on Form 10-K that are important to our business, including KemPharm, LAT and the KemPharm logo. All other trademarks, trade names and service marks appearing in this Annual Report on Form 10-K are the property of their respective owners. Solely for convenience, the trademarks and trade names in this Annual Report on Form 10-K are referred to without the ® and ™ symbols, but such references should not be construed as any indicator that their respective owners will not assert, to the fullest extent under applicable law, their rights thereto.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MARKET AND INDUSTRY DATA</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 specialty pharmaceutical company focused on the discovery and development of treatments for central nervous system, or CNS, and rare disease indications that allow us to target high-value areas with significant unmet needs. Our core competency is the discovery and development of proprietary prodrugs to treat serious medical conditions through our proprietary Ligand Activated Therapy, or LAT</w:t>
      </w:r>
      <w:r>
        <w:rPr>
          <w:rFonts w:ascii="Arial" w:cs="Arial" w:eastAsia="Arial" w:hAnsi="Arial"/>
          <w:sz w:val="26"/>
          <w:szCs w:val="26"/>
          <w:color w:val="auto"/>
          <w:vertAlign w:val="superscript"/>
        </w:rPr>
        <w:t>®</w:t>
      </w:r>
      <w:r>
        <w:rPr>
          <w:rFonts w:ascii="Arial" w:cs="Arial" w:eastAsia="Arial" w:hAnsi="Arial"/>
          <w:sz w:val="16"/>
          <w:szCs w:val="16"/>
          <w:color w:val="auto"/>
        </w:rPr>
        <w:t>, platform technology. We utilize our proprietary LAT platform technology to generate improved prodrug versions of drugs approved by the U.S. Food and Drug Administration, or FDA, as well as to generate prodrug versions of existing compounds that may have applications for new disease indications. Our prodrug product candidate pipeline is currently focused on the high need areas of idiopathic hypersomnia, or IH, and other CNS/rare diseases. Our approved product, AZSTARYS</w:t>
      </w:r>
      <w:r>
        <w:rPr>
          <w:rFonts w:ascii="Arial" w:cs="Arial" w:eastAsia="Arial" w:hAnsi="Arial"/>
          <w:sz w:val="26"/>
          <w:szCs w:val="26"/>
          <w:color w:val="auto"/>
          <w:vertAlign w:val="superscript"/>
        </w:rPr>
        <w:t>®</w:t>
      </w:r>
      <w:r>
        <w:rPr>
          <w:rFonts w:ascii="Arial" w:cs="Arial" w:eastAsia="Arial" w:hAnsi="Arial"/>
          <w:sz w:val="16"/>
          <w:szCs w:val="16"/>
          <w:color w:val="auto"/>
        </w:rPr>
        <w:t>, formerly referred to as KP415, a new once-daily treatment for attention deficit hyperactivity disorder, or ADHD, in patients, age six years and older, contains our prodrug, serdexmethylphenidate, or SDX. AZSTARYS is being commercialized in the United States by Corium, Inc., or Corium, an affiliate of Gurnet Point Capital, L.P., which was tasked by Commave to lead all commercialization activities for AZSTARYS under the KP415 License Agreement. Our lead clinical development product candidate, KP1077, is based on SDX, our prodrug of d-methlyphenidate, or d-MPH, and is in development for the treatment of IH and narcolepsy. Our prodrug product candidate for the treatment of stimulant use disorder, or SUD, is KP879.</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strategic focus on CNS/rare disease indications guides our business development efforts to expand our pipeline with the goal of developing and potentially commercializing innovative therapies for patients living with CNS/rare neurological disorders. We intend to target assets that will allow us to leverage the expertise and infrastructure that we have successfully built at KemPharm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shareholders. In addition, we believe that a multi-channel development program with several product candidates addressing various CNS/rare disease indications will diversify risk and potentially create an impactful portfolio of commercial-stage products in the future.</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we announced that we have selected KP1077 for the treatment of IH and narcolepsy as our next clinical development candidate. KP1077 utilizes SDX, our prodrug of d-MPH, as its active pharmaceutical ingredient. We expect to commence a Phase 2 clinical trial with KP1077 in the United States as early as the second half of 2022.</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we announced that the FDA approved the New Drug Application, or NDA, for AZSTARYS, a once-daily product for the treatment of ADHD in patients ranging from six years and older. Commave Therapeutics SA (formerly known as Boston Pharmaceuticals S.A.), or Commave, an affiliate of Gurnet Point Capital, L.P., has licensed the commercial rights for AZSTARYS as provided by the KP415 License Agreement (as defined below),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2020, we entered into a consultation services arrangement, or the Corium Consulting Agreement, under which Corium and Commave, respectively engaged us to guide the product development and regulatory activities for certain current and potential future products in Corium’s portfolio, as well as to continue supporting the commercial launch of AZSTARYS. The initial term of the Corium Consulting Agreement continues through March 2022.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2019, we entered into our collaboration and license agreement, or the KP415 License Agreement, with Commave, for the development, manufacture and commercialization of our product candidates containing SDX and d-MPH, including AZSTARYS and KP484, worldwide. In addition, the KP415 License Agreement provides Commave a right of first negotiation upon the completion of a Phase 1 proof-of-concept study for KP879, KP922 or any other product candidate developed by us containing SDX and intended to treat ADHD or any other central nervous system disorder, or the Additional Product Candidates. In April 2021, we entered into Amendment No. 1 to the KP415 License Agreement, or the KP415 Amendment, pursuant to which we agreed to modify the compensation terms of the KP415 License Agreement and increase the total remaining future regulatory and sales milestone payments related to AZSTARYS. Further, Commave agreed to pay us quarterly, tiered royalty payments. Pursuant to the KP415 Amendment, we also agreed to modify Commave’s right of first refusal such that our product candidate, KP922, is no longer subject to Commave’s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October 2018, we entered into our collaboration and license agreement, or the APADAZ License Agreement, with KVK. Under the APADAZ License Agreement, we granted an exclusive license to KVK to conduct regulatory activities for, manufacture and commercialize APADAZ</w:t>
      </w:r>
      <w:r>
        <w:rPr>
          <w:rFonts w:ascii="Arial" w:cs="Arial" w:eastAsia="Arial" w:hAnsi="Arial"/>
          <w:sz w:val="28"/>
          <w:szCs w:val="28"/>
          <w:color w:val="auto"/>
          <w:vertAlign w:val="superscript"/>
        </w:rPr>
        <w:t>®</w:t>
      </w:r>
      <w:r>
        <w:rPr>
          <w:rFonts w:ascii="Arial" w:cs="Arial" w:eastAsia="Arial" w:hAnsi="Arial"/>
          <w:sz w:val="17"/>
          <w:szCs w:val="17"/>
          <w:color w:val="auto"/>
        </w:rPr>
        <w:t>, an FDA approved immediate-release, or IR, combination product of benzhydrocodone, our prodrug of hydrocodone, and acetaminophen, or APAP, for the short-term (no more than 14 days) management of acute pain severe enough to require an opioid analgesic and for which alternative treatments are inadequate, in the United States. KVK made APADAZ first available for sale nationally beginning in November 2019 and continues to pursue a limited launch strategy designed to introduce APADAZ as a responsible alternative to other immediate release hydrocodone products.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employ our proprietary LAT platform technology to discover and develop prodrugs that are new molecules that can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submit an NDA that relies on the FDA’s previous findings of safety and effectiveness for one or more approved products, if we demonstrate such reliance is scientifically appropriate.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advance our pipeline of prodrug product candidates for the treatment of IH and other CNS/rare diseases, and we reported top-line data from a Phase 1 proof-of-concept study for KP879 in the fourth quarter of 2021 and final data for the Phase 1 proof-of-concept study for KP879 in the first quarter of 2022. We plan to employ our LAT platform technology and development expertise to develop additional product candidates that address significant unmet medical needs in therapeutic indications which have few existing product options. We believe our product candidates may be eligible for composition-of-matter patent protection and we intend to use the 505(b)(2) NDA pathway when available, which we believe has the potential to reduce drug development time and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LAT Platform Technology</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employ our proprietary LAT platform technology to create prodrugs that are new molecules by chemically attaching one or more molecules, referred to as ligands, to an FDA-approved parent drug. We typically use ligands that have been demonstrated to be safe in toxicological studies or that the FDA classifies as Generally Recognized as Safe, or GRAS, for use in foods. When the prodrug is administered, human metabolic processes, such as those in the gastrointestinal, or GI, tract, separate the ligand from the prodrug and release the parent drug, which is then designed to exert its therapeutic effect. We select ligands that, when combined with the parent drug, are designed to create prodrugs that have improved drug attributes while maintaining efficacy potentially equivalent to the parent drug.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proprietary LAT platform technology offers the following potential benefits:</w:t>
      </w:r>
    </w:p>
    <w:p>
      <w:pPr>
        <w:spacing w:after="0" w:line="224" w:lineRule="exact"/>
        <w:rPr>
          <w:sz w:val="20"/>
          <w:szCs w:val="20"/>
          <w:color w:val="auto"/>
        </w:rPr>
      </w:pPr>
    </w:p>
    <w:p>
      <w:pPr>
        <w:ind w:left="460" w:hanging="223"/>
        <w:spacing w:after="0" w:line="30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Improved drug properties. </w:t>
      </w:r>
      <w:r>
        <w:rPr>
          <w:rFonts w:ascii="Arial" w:cs="Arial" w:eastAsia="Arial" w:hAnsi="Arial"/>
          <w:sz w:val="17"/>
          <w:szCs w:val="17"/>
          <w:color w:val="auto"/>
        </w:rPr>
        <w:t>We seek to discover and develop prodrugs that are new molecules with potentially improved attributes over FDA-approved drugs, such as enhanced bioavailability, extended duration of action, increased safety and reduced susceptibility to abuse.</w:t>
      </w:r>
    </w:p>
    <w:p>
      <w:pPr>
        <w:spacing w:after="0" w:line="148"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Composition-of-matter patent protection. </w:t>
      </w:r>
      <w:r>
        <w:rPr>
          <w:rFonts w:ascii="Arial" w:cs="Arial" w:eastAsia="Arial" w:hAnsi="Arial"/>
          <w:sz w:val="18"/>
          <w:szCs w:val="18"/>
          <w:color w:val="auto"/>
        </w:rPr>
        <w:t>Our prodrugs are new molecules and thus may be eligible for patent protection as novel compositions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provided that all other applicable requirements are met. We seek patent protection not only for our product candidates, but also for related compounds with the intention of creating potential heightened barriers to market entry.</w:t>
      </w:r>
    </w:p>
    <w:p>
      <w:pPr>
        <w:spacing w:after="0" w:line="181"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Eligibility for 505(b)(2) NDA pathway. </w:t>
      </w:r>
      <w:r>
        <w:rPr>
          <w:rFonts w:ascii="Arial" w:cs="Arial" w:eastAsia="Arial" w:hAnsi="Arial"/>
          <w:sz w:val="18"/>
          <w:szCs w:val="18"/>
          <w:color w:val="auto"/>
        </w:rPr>
        <w:t>Our proprietary LAT platform technology allows us to discover and develop prodrugs that may be eligible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the 505(b)(2) NDA pathway. Under that regulatory pathway, if we are able to provide an adequate bridge between our product candidates and appropriate FDA-approved drugs, we will then be able to reference the FDA’s previous findings of safety and effectiveness of the approved drugs in our 505(b)(2) NDA submissions. This approach may allow us to avoid some of the significant time and expense of conducting large clinical trials and potentially eliminate the need for some preclinical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Unmet Need for Addressing Early Morning Behavioral Deficits and Maintaining Consistent, Sustained Efficacy in Daily ADHD Treatment</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ADHD market is relatively well-served by a number of methylphenidate and amphetamine stimulant products. However, we believe there is a significant need for longer duration products. While a few of the currently-marketed methylphenidate products are labeled as providing some level symptom control for up to 12 hours post-dose, there is increasing attention to addressing late afternoon/early evening behavioral deficits, while also providing symptom control sooner following dosing.</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study published in a peer-reviewed journal characterized the frequency and severity of ADHD symptoms throughout the day in children and adolescents treated with stable doses of stimulant medications. Results of that particular study indicated that the time from awakening to arriving at school can comprise up to 20% of waking hours per day (2-3 hours), and therefore such symptoms can cause significant distress for both children and caregivers. As a result, we believe there is a need to develop a methylphenidate product that provides early-morning control of symptoms.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early onset, patients require sustained, consistent efficacy throughout the day and into the early evening hours. While currently marketed methylphenidate products offer efficacy for up to 12 hours, this duration may not be sufficient for all patients. Particularly adolescents and adults may often require longer effects as they have longer waking hours compared to younger patients. It has been reported in a peer-reviewed journal that these patients are typically using dose-augmentation strategies by taking additional doses of stimulant later in the day. We believe a single dose therapy that provides effective symptom control without requiring additional doses may have several benefits including, potentially, improved dosage compliance by regularly and consistently taking medication as indicated, reduced social embarrassment by avoiding the need to take medication during working hours, and overall improvement in quality of life through more consistent therapy. Based on this evidence, we believe there is a need to develop a methylphenidate product that can deliver long duration of efficacy. There may also be a need to develop a long-duration stimulant with and without very early onset depending on individual patient preference and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employed our proprietary LAT platform technology to create a portfolio of approved products that we believe will offer, and product candidates that we believe have the potential to offer, significant improvements over currently available FDA-approved drugs.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KemPharm Partnered and Other Development Assets</w:t>
      </w: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Parent Drug (Effect</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Product Candidate /</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Profile)</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(Indication)</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(Status)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Development Status</w:t>
            </w:r>
          </w:p>
        </w:tc>
        <w:tc>
          <w:tcPr>
            <w:tcW w:w="8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Next Milestone(s)</w:t>
            </w:r>
          </w:p>
        </w:tc>
        <w:tc>
          <w:tcPr>
            <w:tcW w:w="0" w:type="dxa"/>
            <w:vAlign w:val="bottom"/>
          </w:tcPr>
          <w:p>
            <w:pPr>
              <w:spacing w:after="0"/>
              <w:rPr>
                <w:sz w:val="1"/>
                <w:szCs w:val="1"/>
                <w:color w:val="auto"/>
              </w:rPr>
            </w:pPr>
          </w:p>
        </w:tc>
      </w:tr>
      <w:tr>
        <w:trPr>
          <w:trHeight w:val="195"/>
        </w:trPr>
        <w:tc>
          <w:tcPr>
            <w:tcW w:w="19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Methylphenidate (ER)</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650"/>
              <w:spacing w:after="0" w:line="195" w:lineRule="exact"/>
              <w:rPr>
                <w:sz w:val="20"/>
                <w:szCs w:val="20"/>
                <w:color w:val="auto"/>
              </w:rPr>
            </w:pPr>
            <w:r>
              <w:rPr>
                <w:rFonts w:ascii="Arial" w:cs="Arial" w:eastAsia="Arial" w:hAnsi="Arial"/>
                <w:sz w:val="18"/>
                <w:szCs w:val="18"/>
                <w:color w:val="auto"/>
              </w:rPr>
              <w:t>KP1077*</w:t>
            </w:r>
          </w:p>
        </w:tc>
        <w:tc>
          <w:tcPr>
            <w:tcW w:w="100" w:type="dxa"/>
            <w:vAlign w:val="bottom"/>
            <w:shd w:val="clear" w:color="auto" w:fill="CCEEFF"/>
          </w:tcPr>
          <w:p>
            <w:pPr>
              <w:spacing w:after="0"/>
              <w:rPr>
                <w:sz w:val="16"/>
                <w:szCs w:val="16"/>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Clinical - Phase 2</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Initiation of Pivotal Phase 2 Trial - as</w:t>
            </w:r>
          </w:p>
        </w:tc>
        <w:tc>
          <w:tcPr>
            <w:tcW w:w="0" w:type="dxa"/>
            <w:vAlign w:val="bottom"/>
          </w:tcPr>
          <w:p>
            <w:pPr>
              <w:spacing w:after="0"/>
              <w:rPr>
                <w:sz w:val="1"/>
                <w:szCs w:val="1"/>
                <w:color w:val="auto"/>
              </w:rPr>
            </w:pPr>
          </w:p>
        </w:tc>
      </w:tr>
      <w:tr>
        <w:trPr>
          <w:trHeight w:val="122"/>
        </w:trPr>
        <w:tc>
          <w:tcPr>
            <w:tcW w:w="1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(IH)</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early as H2 2022</w:t>
            </w: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line="201" w:lineRule="exact"/>
              <w:rPr>
                <w:sz w:val="20"/>
                <w:szCs w:val="20"/>
                <w:color w:val="auto"/>
              </w:rPr>
            </w:pPr>
            <w:r>
              <w:rPr>
                <w:rFonts w:ascii="Arial" w:cs="Arial" w:eastAsia="Arial" w:hAnsi="Arial"/>
                <w:sz w:val="18"/>
                <w:szCs w:val="18"/>
                <w:color w:val="auto"/>
              </w:rPr>
              <w:t>Methylphenidate (ER)</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Initiation of Pivotal Phase 2 Study - as</w:t>
            </w:r>
          </w:p>
        </w:tc>
        <w:tc>
          <w:tcPr>
            <w:tcW w:w="0" w:type="dxa"/>
            <w:vAlign w:val="bottom"/>
          </w:tcPr>
          <w:p>
            <w:pPr>
              <w:spacing w:after="0"/>
              <w:rPr>
                <w:sz w:val="1"/>
                <w:szCs w:val="1"/>
                <w:color w:val="auto"/>
              </w:rPr>
            </w:pPr>
          </w:p>
        </w:tc>
      </w:tr>
      <w:tr>
        <w:trPr>
          <w:trHeight w:val="108"/>
        </w:trPr>
        <w:tc>
          <w:tcPr>
            <w:tcW w:w="1980" w:type="dxa"/>
            <w:vAlign w:val="bottom"/>
            <w:vMerge w:val="restart"/>
          </w:tcPr>
          <w:p>
            <w:pPr>
              <w:ind w:left="180"/>
              <w:spacing w:after="0"/>
              <w:rPr>
                <w:sz w:val="20"/>
                <w:szCs w:val="20"/>
                <w:color w:val="auto"/>
              </w:rPr>
            </w:pPr>
            <w:r>
              <w:rPr>
                <w:rFonts w:ascii="Arial" w:cs="Arial" w:eastAsia="Arial" w:hAnsi="Arial"/>
                <w:sz w:val="18"/>
                <w:szCs w:val="18"/>
                <w:color w:val="auto"/>
                <w:w w:val="91"/>
              </w:rPr>
              <w:t>(Narcolepsy Types I and</w:t>
            </w:r>
          </w:p>
        </w:tc>
        <w:tc>
          <w:tcPr>
            <w:tcW w:w="100" w:type="dxa"/>
            <w:vAlign w:val="bottom"/>
          </w:tcPr>
          <w:p>
            <w:pPr>
              <w:spacing w:after="0"/>
              <w:rPr>
                <w:sz w:val="9"/>
                <w:szCs w:val="9"/>
                <w:color w:val="auto"/>
              </w:rPr>
            </w:pPr>
          </w:p>
        </w:tc>
        <w:tc>
          <w:tcPr>
            <w:tcW w:w="2160" w:type="dxa"/>
            <w:vAlign w:val="bottom"/>
            <w:vMerge w:val="restart"/>
          </w:tcPr>
          <w:p>
            <w:pPr>
              <w:jc w:val="right"/>
              <w:ind w:right="650"/>
              <w:spacing w:after="0"/>
              <w:rPr>
                <w:sz w:val="20"/>
                <w:szCs w:val="20"/>
                <w:color w:val="auto"/>
              </w:rPr>
            </w:pPr>
            <w:r>
              <w:rPr>
                <w:rFonts w:ascii="Arial" w:cs="Arial" w:eastAsia="Arial" w:hAnsi="Arial"/>
                <w:sz w:val="18"/>
                <w:szCs w:val="18"/>
                <w:color w:val="auto"/>
              </w:rPr>
              <w:t>KP1077*</w:t>
            </w:r>
          </w:p>
        </w:tc>
        <w:tc>
          <w:tcPr>
            <w:tcW w:w="100" w:type="dxa"/>
            <w:vAlign w:val="bottom"/>
          </w:tcPr>
          <w:p>
            <w:pPr>
              <w:spacing w:after="0"/>
              <w:rPr>
                <w:sz w:val="9"/>
                <w:szCs w:val="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Clinical - Phase 2</w:t>
            </w:r>
          </w:p>
        </w:tc>
        <w:tc>
          <w:tcPr>
            <w:tcW w:w="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early as H2 2022</w:t>
            </w:r>
          </w:p>
        </w:tc>
        <w:tc>
          <w:tcPr>
            <w:tcW w:w="0" w:type="dxa"/>
            <w:vAlign w:val="bottom"/>
          </w:tcPr>
          <w:p>
            <w:pPr>
              <w:spacing w:after="0"/>
              <w:rPr>
                <w:sz w:val="1"/>
                <w:szCs w:val="1"/>
                <w:color w:val="auto"/>
              </w:rPr>
            </w:pPr>
          </w:p>
        </w:tc>
      </w:tr>
      <w:tr>
        <w:trPr>
          <w:trHeight w:val="122"/>
        </w:trPr>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Methylphenidate (ER)</w:t>
            </w:r>
          </w:p>
        </w:tc>
        <w:tc>
          <w:tcPr>
            <w:tcW w:w="100" w:type="dxa"/>
            <w:vAlign w:val="bottom"/>
            <w:shd w:val="clear" w:color="auto" w:fill="CCEEFF"/>
          </w:tcPr>
          <w:p>
            <w:pPr>
              <w:spacing w:after="0"/>
              <w:rPr>
                <w:sz w:val="17"/>
                <w:szCs w:val="17"/>
                <w:color w:val="auto"/>
              </w:rPr>
            </w:pPr>
          </w:p>
        </w:tc>
        <w:tc>
          <w:tcPr>
            <w:tcW w:w="216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KP879</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Clinical - Phase 1</w:t>
            </w:r>
          </w:p>
        </w:tc>
        <w:tc>
          <w:tcPr>
            <w:tcW w:w="8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Published Final Phase 1 Data - Q1</w:t>
            </w:r>
          </w:p>
        </w:tc>
        <w:tc>
          <w:tcPr>
            <w:tcW w:w="0" w:type="dxa"/>
            <w:vAlign w:val="bottom"/>
          </w:tcPr>
          <w:p>
            <w:pPr>
              <w:spacing w:after="0"/>
              <w:rPr>
                <w:sz w:val="1"/>
                <w:szCs w:val="1"/>
                <w:color w:val="auto"/>
              </w:rPr>
            </w:pPr>
          </w:p>
        </w:tc>
      </w:tr>
      <w:tr>
        <w:trPr>
          <w:trHeight w:val="122"/>
        </w:trPr>
        <w:tc>
          <w:tcPr>
            <w:tcW w:w="1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(SUD)</w:t>
            </w:r>
          </w:p>
        </w:tc>
        <w:tc>
          <w:tcPr>
            <w:tcW w:w="100" w:type="dxa"/>
            <w:vAlign w:val="bottom"/>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vMerge w:val="continue"/>
            <w:shd w:val="clear" w:color="auto" w:fill="CCEEFF"/>
          </w:tcPr>
          <w:p>
            <w:pPr>
              <w:spacing w:after="0"/>
              <w:rPr>
                <w:sz w:val="10"/>
                <w:szCs w:val="10"/>
                <w:color w:val="auto"/>
              </w:rPr>
            </w:pPr>
          </w:p>
        </w:tc>
        <w:tc>
          <w:tcPr>
            <w:tcW w:w="2940" w:type="dxa"/>
            <w:vAlign w:val="bottom"/>
            <w:gridSpan w:val="2"/>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29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line="201" w:lineRule="exact"/>
              <w:rPr>
                <w:sz w:val="20"/>
                <w:szCs w:val="20"/>
                <w:color w:val="auto"/>
              </w:rPr>
            </w:pPr>
            <w:r>
              <w:rPr>
                <w:rFonts w:ascii="Arial" w:cs="Arial" w:eastAsia="Arial" w:hAnsi="Arial"/>
                <w:sz w:val="18"/>
                <w:szCs w:val="18"/>
                <w:color w:val="auto"/>
              </w:rPr>
              <w:t>Methylphenidate (ER)</w:t>
            </w:r>
          </w:p>
        </w:tc>
        <w:tc>
          <w:tcPr>
            <w:tcW w:w="10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94"/>
              </w:rPr>
              <w:t>AZSTARYS</w:t>
            </w:r>
          </w:p>
        </w:tc>
        <w:tc>
          <w:tcPr>
            <w:tcW w:w="100" w:type="dxa"/>
            <w:vAlign w:val="bottom"/>
          </w:tcPr>
          <w:p>
            <w:pPr>
              <w:spacing w:after="0"/>
              <w:rPr>
                <w:sz w:val="17"/>
                <w:szCs w:val="17"/>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4"/>
              </w:rPr>
              <w:t>FDA Approved</w:t>
            </w:r>
          </w:p>
        </w:tc>
        <w:tc>
          <w:tcPr>
            <w:tcW w:w="80" w:type="dxa"/>
            <w:vAlign w:val="bottom"/>
          </w:tcPr>
          <w:p>
            <w:pPr>
              <w:spacing w:after="0"/>
              <w:rPr>
                <w:sz w:val="17"/>
                <w:szCs w:val="1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1980" w:type="dxa"/>
            <w:vAlign w:val="bottom"/>
            <w:vMerge w:val="restart"/>
          </w:tcPr>
          <w:p>
            <w:pPr>
              <w:ind w:left="180"/>
              <w:spacing w:after="0"/>
              <w:rPr>
                <w:sz w:val="20"/>
                <w:szCs w:val="20"/>
                <w:color w:val="auto"/>
              </w:rPr>
            </w:pPr>
            <w:r>
              <w:rPr>
                <w:rFonts w:ascii="Arial" w:cs="Arial" w:eastAsia="Arial" w:hAnsi="Arial"/>
                <w:sz w:val="18"/>
                <w:szCs w:val="18"/>
                <w:color w:val="auto"/>
              </w:rPr>
              <w:t>(ADHD)</w:t>
            </w:r>
          </w:p>
        </w:tc>
        <w:tc>
          <w:tcPr>
            <w:tcW w:w="100" w:type="dxa"/>
            <w:vAlign w:val="bottom"/>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(Partnered)</w:t>
            </w: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Hydrocodone / APAP (IR)</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APADAZ</w:t>
            </w:r>
          </w:p>
        </w:tc>
        <w:tc>
          <w:tcPr>
            <w:tcW w:w="100" w:type="dxa"/>
            <w:vAlign w:val="bottom"/>
            <w:shd w:val="clear" w:color="auto" w:fill="CCEEFF"/>
          </w:tcPr>
          <w:p>
            <w:pPr>
              <w:spacing w:after="0"/>
              <w:rPr>
                <w:sz w:val="17"/>
                <w:szCs w:val="17"/>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FDA Approved</w:t>
            </w:r>
          </w:p>
        </w:tc>
        <w:tc>
          <w:tcPr>
            <w:tcW w:w="80" w:type="dxa"/>
            <w:vAlign w:val="bottom"/>
            <w:shd w:val="clear" w:color="auto" w:fill="CCEEFF"/>
          </w:tcPr>
          <w:p>
            <w:pPr>
              <w:spacing w:after="0"/>
              <w:rPr>
                <w:sz w:val="17"/>
                <w:szCs w:val="17"/>
                <w:color w:val="auto"/>
              </w:rPr>
            </w:pPr>
          </w:p>
        </w:tc>
        <w:tc>
          <w:tcPr>
            <w:tcW w:w="2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1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(Pain)</w:t>
            </w:r>
          </w:p>
        </w:tc>
        <w:tc>
          <w:tcPr>
            <w:tcW w:w="100" w:type="dxa"/>
            <w:vAlign w:val="bottom"/>
            <w:shd w:val="clear" w:color="auto" w:fill="CCEEFF"/>
          </w:tcPr>
          <w:p>
            <w:pPr>
              <w:spacing w:after="0"/>
              <w:rPr>
                <w:sz w:val="10"/>
                <w:szCs w:val="10"/>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(Partnered)</w:t>
            </w:r>
          </w:p>
        </w:tc>
        <w:tc>
          <w:tcPr>
            <w:tcW w:w="100" w:type="dxa"/>
            <w:vAlign w:val="bottom"/>
            <w:shd w:val="clear" w:color="auto" w:fill="CCEEFF"/>
          </w:tcPr>
          <w:p>
            <w:pPr>
              <w:spacing w:after="0"/>
              <w:rPr>
                <w:sz w:val="10"/>
                <w:szCs w:val="10"/>
                <w:color w:val="auto"/>
              </w:rPr>
            </w:pPr>
          </w:p>
        </w:tc>
        <w:tc>
          <w:tcPr>
            <w:tcW w:w="17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320" w:right="1140" w:hanging="189"/>
        <w:spacing w:after="0" w:line="263"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product candidate is subject to a right of first negotiation upon completion of a Phase 1 proof-of-concept study in favor of Commave under the terms of the KP415 License Agreement, but is not currently licensed to Commave, thereunder.</w:t>
      </w:r>
    </w:p>
    <w:p>
      <w:pPr>
        <w:spacing w:after="0" w:line="181" w:lineRule="exact"/>
        <w:rPr>
          <w:rFonts w:ascii="Arial" w:cs="Arial" w:eastAsia="Arial" w:hAnsi="Arial"/>
          <w:sz w:val="18"/>
          <w:szCs w:val="18"/>
          <w:color w:val="auto"/>
        </w:rPr>
      </w:pPr>
    </w:p>
    <w:p>
      <w:pPr>
        <w:jc w:val="both"/>
        <w:ind w:left="1320" w:right="1120"/>
        <w:spacing w:after="0" w:line="263" w:lineRule="auto"/>
        <w:rPr>
          <w:rFonts w:ascii="Arial" w:cs="Arial" w:eastAsia="Arial" w:hAnsi="Arial"/>
          <w:sz w:val="18"/>
          <w:szCs w:val="18"/>
          <w:color w:val="auto"/>
        </w:rPr>
      </w:pPr>
      <w:r>
        <w:rPr>
          <w:rFonts w:ascii="Arial" w:cs="Arial" w:eastAsia="Arial" w:hAnsi="Arial"/>
          <w:sz w:val="18"/>
          <w:szCs w:val="18"/>
          <w:color w:val="auto"/>
        </w:rPr>
        <w:t>The above noted anticipated milestones are based on information currently available to us and our current plans and expectations are subject to a number of risks and uncertainties, including those described in Part I, Item 1A. “Risk Factors” in this Annual Report on Form 10-K.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AZSTARYS and KP484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prodrug in both AZSTARYS and KP484 is serdexmethylphenidate, or SDX, and both are designed for the treatment of ADHD. The ADHD market is largely served by the stimulant products methylphenidate and amphetamine. Both AZSTARYS and KP484 are designed to be extended-duration methylphenidate products.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2021, we announced that the FDA approved the NDA for AZSTARYS, a once-daily product for the treatment of ADHD in patients ranging from six years and older. Corium commercially launched AZSTARYS in the United States during the third quarter of 2021. Subject to Commave’s approval, we intend to seek approval of KP484 under the 505(b)(2) NDA pathway, which may allow us to rely on the FDA’s previous findings of safety and effectiveness for one or more approved products. The timing for initiating additional pharmacokinetic and pivotal efficacy trials for KP484 is subject to Commave’s direction as provided under the KP415 License Agreement.</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September 2019, we entered into the KP415 License Agreement with Commave. Under the KP415 License Agreement, we granted to Commave an exclusive, worldwide license, under certain patents and know-how controlled by us that relate to SDX, d-MPH, amphetamine and any prodrugs of amphetamine or methylphenidate, and derivatives thereof, or Compounds, to develop, manufacture and commercialize AZSTARYS and KP484. In addition, we granted to Commave an exclusive option to expand the foregoing license under the KP415 License Agreement to develop, manufacture and commercialize KP879, KP922, and any other product candidate developed by us that (i) contains a Compound or (ii) is designed to treat ADHD or any other central nervous system disorder, or for the products subject to the option, the Additional Product Candidates and, collectively with AZSTARYS and KP484, the Licensed Product Candidates. We are required to keep Commave reasonably informed as to our development of each Additional Product Candidate through completion of Phase 1 proof-of-concept study of such Additional Product Candidate and deliver to Commave a report and data package related thereto. We are required to negotiate with Commave in good faith regarding the economic terms for each Additional Product Candidate, and Commave has the right to exercise its option with respect to such Additional Product Candidate within a specified time after receipt of the applicable report and data package. We further granted to Commave a right of first refusal, or Product ROFR, to acquire, license or commercialize any Additional Product Candidate for which Commave does not exercise the foregoing option and for which Commave agrees to the same economic terms as offered by a third party for such Additional Product Candidate. To that end, we are obligated to notify Commave of the existence of any bona fide offer from a third party, including material terms thereof, to acquire, license, and/or commercialize any such Additional Product Candidate. The Product ROFR may be exercised only once for each such Additional Product Candidate and shall expire upon acceptance of the NDA for each such Additional Product Candidate. During the term of the KP415 License Agreement, we may not develop or commercialize any Competing Product (as defined in the KP415 License Agreement).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KP415 License Agreement, Commave paid us an upfront payment of $10.0 million and agreed to pay up to $63.0 in milestone payments upon the occurrence of specified regulatory milestones related to the AZSTARYS, including FDA approval and specified conditions with respect to the final approval label, and KP484.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Commave is obligated to make such royalty payments on a product-by-product basis until expiration of the royalty term for the applicable product.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2021, we entered into the KP415 Amendment. Pursuant to the KP415 Amendment, we and Commave agreed to modify the compensation terms of the KP415 License Agreement. Pursuant to the KP415 Amendment, Commave paid us $10.0 million in connection with the entry into the KP415 Amendment as a result of the regulatory approval of AZSTARYS in the United States which occurred on March 2, 2021. Commave also paid us $10.0 million following the receipt of the scheduling determination of the compound SDX by the DEA, which occurred on May 7, 2021.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under the KP415 Amendment, Commave agreed to pay us quarterly, tiered royalty payments that are calculated from a base royalty rate percentage in the high single digits to the mid-twenties of net sales in the United States, subject to adjustment based on annual net sales,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we and Commave also agreed to modify Commave’s Product ROFR such that our product candidate KP922 is no longer subject to the Product ROFR. Further, pursuant to the KP415 Amendment, Commave’s Product ROFR will only apply to any Additional Product Candidate which contains SDX, and not to other Compounds, and such Product ROFR will expire upon the acceptance of an NDA for such Additional Product Candidate containing SDX.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if we decide to sell, assign, contribute, convey, grant or otherwise transfer to any third party our rights under the KP415 License Agreement to receive payments, we are obligated to give Commave a right of first refusal, subject to specified exceptions, to acquire such payment rights on the same economic terms as that offered by the applicable third party.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KP415 License Agreement, including consultation fees to be paid to us for services provided to Commave in performing such activities.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Unless terminated earlier, with respect to AZSTARYS and KP484, the KP415 License Agreement will continue on a product-by-product, country-by-country basis and expire upon the expiration of the royalty term for each of AZSTARYS and KP484 in such country, and thereafter the license grant with respect thereto will become fully paid, irrevocable, and perpetual. Unless terminated earlier, with respect to all Additional Product Candidates, the KP415 License Agreement will continue perpetually and be fully paid. Commave may terminate the KP415 License Agreement in whole or on a product-by-product or country-by-country basis at its convenience upon prior written notice. We may terminate the KP415 License Agreement in its entirety if Commave or any of its related parties challenges the validity, enforceability, or scope of any licensed patent and such challenge is not required under a court order or subpoena and is not a defense against a claim, action or proceeding asserted by us. Either party may terminate the KP415 License Agreement</w:t>
      </w:r>
    </w:p>
    <w:p>
      <w:pPr>
        <w:spacing w:after="0" w:line="4" w:lineRule="exact"/>
        <w:rPr>
          <w:sz w:val="20"/>
          <w:szCs w:val="20"/>
          <w:color w:val="auto"/>
        </w:rPr>
      </w:pPr>
    </w:p>
    <w:p>
      <w:pPr>
        <w:jc w:val="both"/>
        <w:ind w:firstLine="8"/>
        <w:spacing w:after="0" w:line="253"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a material breach by the other party, subject to a cure period, or (ii) if the other party enters bankruptcy or insolvency. Upon certain material breach by us, subject to our right to cure, Commave may choose not to terminate the KP415 License Agreement and instead reduce the milestone and royalty payments owed to us. Upon termination but not expiration, all licenses and other rights granted by us to Commave pursuant to the KP415 License Agreement would revert to us.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our March 2012 termination agreement with Aquestive, Aquestive has the right to receive a royalty amount equal to 10% of any value generated by AZSTARYS, KP484 or KP879, and any product candidates which contain SDX, including royalty payments on any license of AZSTARYS, KP484 or KP879, the sale of AZSTARYS, KP484 or KP879 to a third party, the commercialization of AZSTARYS, KP484 or KP879 and the portion of any consideration that is attributable to the value of AZSTARYS, KP484 or KP879 and paid to us or our stockholders in a change of control transaction. In connection with the KP415 License Agreement, we paid Aquestive a royalty equal to 10% of the upfront license payment we received in 2019 and the regulatory milestone and royalty payments we received in 2020 and 2021 from AZSTARYS.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believe the ADHD market would be receptive to new branded drugs that have improved properties when compared to current treatments. We believe a new product in the form of a prodrug that has differentiated features may provide a new treatment option in this large market segment. While methylphenidate is available as a generic product, the branded formulations, including, among others, CONCERTA, FOCALIN XR, JORNAY PM, QUELBREE, QUILLICHEW XR and COTEMPLA XR-ODT rely on formulation alone in attempting to provide differentiation from generics.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AZSTARYS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believe AZSTARYS has valuable product features and may provide significant benefits to patients, physicians, and society:</w:t>
      </w:r>
    </w:p>
    <w:p>
      <w:pPr>
        <w:spacing w:after="0" w:line="224" w:lineRule="exact"/>
        <w:rPr>
          <w:sz w:val="20"/>
          <w:szCs w:val="20"/>
          <w:color w:val="auto"/>
        </w:rPr>
      </w:pPr>
    </w:p>
    <w:p>
      <w:pPr>
        <w:ind w:left="460" w:hanging="223"/>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Once-daily dosing.</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Available to treat patients six years and older.</w:t>
      </w:r>
    </w:p>
    <w:p>
      <w:pPr>
        <w:spacing w:after="0" w:line="224"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Amenable to patient-friendly formulations. </w:t>
      </w:r>
      <w:r>
        <w:rPr>
          <w:rFonts w:ascii="Arial" w:cs="Arial" w:eastAsia="Arial" w:hAnsi="Arial"/>
          <w:sz w:val="18"/>
          <w:szCs w:val="18"/>
          <w:color w:val="auto"/>
        </w:rPr>
        <w:t>Patients can take AZSTARYS with or without food and can swallow capsules whole or open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sprinkle onto food or add to water.</w:t>
      </w:r>
    </w:p>
    <w:p>
      <w:pPr>
        <w:spacing w:after="0" w:line="170"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Composition-of-matter patent protection. </w:t>
      </w:r>
      <w:r>
        <w:rPr>
          <w:rFonts w:ascii="Arial" w:cs="Arial" w:eastAsia="Arial" w:hAnsi="Arial"/>
          <w:sz w:val="18"/>
          <w:szCs w:val="18"/>
          <w:color w:val="auto"/>
        </w:rPr>
        <w:t>We have a U.S. composition-of-matter patent that will expire, after utilizing all appropriate patent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but excluding possible term extensions, in 2037 that generally covers at least one component of AZSTARYS. Our patent strategy is focused primarily on key geographic markets, and we have composition-of-matter patents in multiple countries, including in Canada, China, Europe, Malaysia, Mexico, Indonesia, Israel, Japan, New Zealand, Philippines, Russia, Singapore, South Africa, South Korea and Vietnam, and additional patent filings pending in the United States and foreign jurisdictions.</w:t>
      </w:r>
    </w:p>
    <w:p>
      <w:pPr>
        <w:spacing w:after="0" w:line="18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generic equivalent product. </w:t>
      </w:r>
      <w:r>
        <w:rPr>
          <w:rFonts w:ascii="Arial" w:cs="Arial" w:eastAsia="Arial" w:hAnsi="Arial"/>
          <w:sz w:val="18"/>
          <w:szCs w:val="18"/>
          <w:color w:val="auto"/>
        </w:rPr>
        <w:t>AZSTARYS contains a prodrug that was given a new chemical name, serdexmethylphenidate, by the U.S.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Names Council, or USAN, which means that there may be no generic equivalent product for AZSTARYS in most states, making drug-equivalent substitution potentially difficult at the pharmacy.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KP484</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Based on our preclinical and clinical data, we believe KP484, if approved by the FDA, may have valuable product features and may provide significant benefits to patients, physicians, and society:</w:t>
      </w:r>
    </w:p>
    <w:p>
      <w:pPr>
        <w:spacing w:after="0" w:line="170" w:lineRule="exact"/>
        <w:rPr>
          <w:sz w:val="20"/>
          <w:szCs w:val="20"/>
          <w:color w:val="auto"/>
        </w:rPr>
      </w:pPr>
    </w:p>
    <w:p>
      <w:pPr>
        <w:ind w:left="460" w:hanging="223"/>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Super-extended release. </w:t>
      </w:r>
      <w:r>
        <w:rPr>
          <w:rFonts w:ascii="Arial" w:cs="Arial" w:eastAsia="Arial" w:hAnsi="Arial"/>
          <w:sz w:val="17"/>
          <w:szCs w:val="17"/>
          <w:color w:val="auto"/>
        </w:rPr>
        <w:t>We believe that KP484 may provide sustained, consistent release through the day and into the evening hours.</w:t>
      </w:r>
    </w:p>
    <w:p>
      <w:pPr>
        <w:spacing w:after="0" w:line="235" w:lineRule="exact"/>
        <w:rPr>
          <w:rFonts w:ascii="Arial" w:cs="Arial" w:eastAsia="Arial" w:hAnsi="Arial"/>
          <w:sz w:val="17"/>
          <w:szCs w:val="17"/>
          <w:color w:val="auto"/>
        </w:rPr>
      </w:pPr>
    </w:p>
    <w:p>
      <w:pPr>
        <w:ind w:left="460" w:hanging="223"/>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Once-daily dosing. </w:t>
      </w:r>
      <w:r>
        <w:rPr>
          <w:rFonts w:ascii="Arial" w:cs="Arial" w:eastAsia="Arial" w:hAnsi="Arial"/>
          <w:sz w:val="18"/>
          <w:szCs w:val="18"/>
          <w:color w:val="auto"/>
        </w:rPr>
        <w:t>We believe this extended-duration attribute of KP484 may allow for convenient, once-daily dosing.</w:t>
      </w:r>
    </w:p>
    <w:p>
      <w:pPr>
        <w:spacing w:after="0" w:line="223"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Amenable to patient-friendly formulations. </w:t>
      </w:r>
      <w:r>
        <w:rPr>
          <w:rFonts w:ascii="Arial" w:cs="Arial" w:eastAsia="Arial" w:hAnsi="Arial"/>
          <w:sz w:val="18"/>
          <w:szCs w:val="18"/>
          <w:color w:val="auto"/>
        </w:rPr>
        <w:t>Our preclinical and clinical data shows that KP484, if approved, could potentially be used in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patient-friendly dosage forms such as oral thin film and orally dissolving tablets as a means of increasing patient convenience and dosage compliance by regularly and consistently taking the medications as indicated.</w:t>
      </w:r>
    </w:p>
    <w:p>
      <w:pPr>
        <w:spacing w:after="0" w:line="181" w:lineRule="exact"/>
        <w:rPr>
          <w:rFonts w:ascii="Arial" w:cs="Arial" w:eastAsia="Arial" w:hAnsi="Arial"/>
          <w:sz w:val="18"/>
          <w:szCs w:val="18"/>
          <w:color w:val="auto"/>
        </w:rPr>
      </w:pPr>
    </w:p>
    <w:p>
      <w:pPr>
        <w:jc w:val="both"/>
        <w:ind w:left="460" w:hanging="223"/>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Composition-of-matter patent protection. </w:t>
      </w:r>
      <w:r>
        <w:rPr>
          <w:rFonts w:ascii="Arial" w:cs="Arial" w:eastAsia="Arial" w:hAnsi="Arial"/>
          <w:sz w:val="18"/>
          <w:szCs w:val="18"/>
          <w:color w:val="auto"/>
        </w:rPr>
        <w:t>KP484 is generally protected by a U.S. composition-of-matter patent that will expire, after utilizing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patent term adjustments but excluding possible term extensions, in 2032. Our patent strategy is focused primarily on key geographic markets, and we have composition-of-matter patents generally protecting the major component of KP484 in New Zealand, South Africa and select other countries.</w:t>
      </w:r>
    </w:p>
    <w:p>
      <w:pPr>
        <w:spacing w:after="0" w:line="187" w:lineRule="exact"/>
        <w:rPr>
          <w:rFonts w:ascii="Arial" w:cs="Arial" w:eastAsia="Arial" w:hAnsi="Arial"/>
          <w:sz w:val="18"/>
          <w:szCs w:val="18"/>
          <w:color w:val="auto"/>
        </w:rPr>
      </w:pPr>
    </w:p>
    <w:p>
      <w:pPr>
        <w:ind w:left="460" w:hanging="223"/>
        <w:spacing w:after="0" w:line="34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generic equivalent product. </w:t>
      </w:r>
      <w:r>
        <w:rPr>
          <w:rFonts w:ascii="Arial" w:cs="Arial" w:eastAsia="Arial" w:hAnsi="Arial"/>
          <w:sz w:val="16"/>
          <w:szCs w:val="16"/>
          <w:color w:val="auto"/>
        </w:rPr>
        <w:t>KP484 contains a prodrug that was given a new chemical name, serdexmethylphenidate, by the USAN, which means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there may be no generic equivalent product for KP484 in most states, making drug-equivalent substitution potentially difficult at the pharmacy.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KP1077</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KP1077 is based on SDX and is our lead prodrug product candidate in development for the treatment of IH, an underserved indication. Currently there are no approved drugs in the United States for IH. We expect to submit an Investigational New Drug application, or IND, to the FDA for KP1077 as early as the second quarter of 2022. IH is a rare neurological sleep disorder affecting approximately 37,000 patients in the United States. The cardinal feature of IH is excessive daytime sleepiness, or EDS, characterized by daytime lapses into sleep, or an irrepressible need to sleep that persists even with adequate or prolonged nighttime sleep. Additionally, those with IH have extreme difficulty waking, otherwise known as “sleep inertia,” severe brain fog, and may fall asleep unintentionally or at inappropriate times, also known as narcolepsy. These debilitating symptoms often further lead to reported memory problems, difficulty maintaining focus, and depression.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is currently only one approved product for the treatment of IH, XYWAV, developed by Jazz Pharmaceuticals. A second product, WAKIX, developed by Harmony Biosciences and originally approved for the treatment of EDS or cataplexy in adult patients with narcolepsy, is planned to be studied in a Phase 3 trial with IH patients. Prescribers also utilize narcolepsy medications and various stimulant products “off-label” to treat IH symptoms, with methylphenidate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or DDIs, including with medications used to manage contraception and depression. In addition, patients have indicated that the effectiveness of their current medication was poor.</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Based on our preclinical and clinical data, we believe KP1077, if approved by the FDA, may have valuable product features and may provide significant benefits to patients and physicians:</w:t>
      </w:r>
    </w:p>
    <w:p>
      <w:pPr>
        <w:spacing w:after="0" w:line="170" w:lineRule="exact"/>
        <w:rPr>
          <w:sz w:val="20"/>
          <w:szCs w:val="20"/>
          <w:color w:val="auto"/>
        </w:rPr>
      </w:pPr>
    </w:p>
    <w:p>
      <w:pPr>
        <w:ind w:left="460" w:hanging="223"/>
        <w:spacing w:after="0" w:line="27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Dosing flexibility. </w:t>
      </w:r>
      <w:r>
        <w:rPr>
          <w:rFonts w:ascii="Arial" w:cs="Arial" w:eastAsia="Arial" w:hAnsi="Arial"/>
          <w:sz w:val="18"/>
          <w:szCs w:val="18"/>
          <w:color w:val="auto"/>
        </w:rPr>
        <w:t>Either one or two doses daily, which is designed to address the two primary issues associated with IH: (i) nighttime dose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sleep inertia, and (ii) morning dose would address daytime brain fog.</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drug-to-drug interactions. </w:t>
      </w:r>
      <w:r>
        <w:rPr>
          <w:rFonts w:ascii="Arial" w:cs="Arial" w:eastAsia="Arial" w:hAnsi="Arial"/>
          <w:sz w:val="18"/>
          <w:szCs w:val="18"/>
          <w:color w:val="auto"/>
        </w:rPr>
        <w:t>Our data indicate that there is no drug-to-drug interaction potential, especially with hormonal contraceptives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antidepressants.</w:t>
      </w:r>
    </w:p>
    <w:p>
      <w:pPr>
        <w:spacing w:after="0" w:line="170"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abuse potential as a Schedule IV controlled substance. </w:t>
      </w:r>
      <w:r>
        <w:rPr>
          <w:rFonts w:ascii="Arial" w:cs="Arial" w:eastAsia="Arial" w:hAnsi="Arial"/>
          <w:sz w:val="18"/>
          <w:szCs w:val="18"/>
          <w:color w:val="auto"/>
        </w:rPr>
        <w:t>All other methylphenidate-based products have been designated as Schedule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substances, which indicates stricter control over the prescribing and use of such products. KP1077 is based on SDX, which has been designated a Schedule IV controlled substance.</w:t>
      </w:r>
    </w:p>
    <w:p>
      <w:pPr>
        <w:spacing w:after="0" w:line="181" w:lineRule="exact"/>
        <w:rPr>
          <w:rFonts w:ascii="Arial" w:cs="Arial" w:eastAsia="Arial" w:hAnsi="Arial"/>
          <w:sz w:val="18"/>
          <w:szCs w:val="18"/>
          <w:color w:val="auto"/>
        </w:rPr>
      </w:pPr>
    </w:p>
    <w:p>
      <w:pPr>
        <w:ind w:left="460" w:right="560" w:hanging="223"/>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generic equivalent product. </w:t>
      </w:r>
      <w:r>
        <w:rPr>
          <w:rFonts w:ascii="Arial" w:cs="Arial" w:eastAsia="Arial" w:hAnsi="Arial"/>
          <w:sz w:val="18"/>
          <w:szCs w:val="18"/>
          <w:color w:val="auto"/>
        </w:rPr>
        <w:t>KP1077 contains SDX, our proprietary prodrug of d-methylphenidate that was given a new chemical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serdexmethylphenidate, by the USAN, which means that there may be no generic equivalent product for KP1077 in most states, making drug-equivalent substitution potentially difficult at the pharmacy.</w:t>
      </w:r>
    </w:p>
    <w:p>
      <w:pPr>
        <w:spacing w:after="0" w:line="181"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Composition-of-matter patent protection. </w:t>
      </w:r>
      <w:r>
        <w:rPr>
          <w:rFonts w:ascii="Arial" w:cs="Arial" w:eastAsia="Arial" w:hAnsi="Arial"/>
          <w:sz w:val="18"/>
          <w:szCs w:val="18"/>
          <w:color w:val="auto"/>
        </w:rPr>
        <w:t>KP1077 is generally protected by a U.S. composition-of-matter patent that will expire, after utilizing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appropriate patent term adjustments but excluding possible term extensions, in 2037.</w:t>
      </w:r>
    </w:p>
    <w:p>
      <w:pPr>
        <w:spacing w:after="0" w:line="170"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Orphan drug designation potential. </w:t>
      </w:r>
      <w:r>
        <w:rPr>
          <w:rFonts w:ascii="Arial" w:cs="Arial" w:eastAsia="Arial" w:hAnsi="Arial"/>
          <w:sz w:val="18"/>
          <w:szCs w:val="18"/>
          <w:color w:val="auto"/>
        </w:rPr>
        <w:t>Because there are limited treatments available for the extremely small IH patient population, KP1077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to receive the orphan drug designation by the FDA, as well as fast-track and breakthrough therapy designation eligibility, which may provide various regulatory benefits for the development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KP879</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KP879 is based on SDX and is our product candidate in development for the treatment of SUD including, for example, abuse or misuse of cocaine, methamphetamine and prescription stimulants. Currently there are no approved drugs in the United States for SUD. We submitted an IND to the FDA for KP879 in December 2020. In January 2021, the FDA completed its review of the KP879 IND, concluding that we may proceed with its planned clinical investigation of the product candidate. We initiated the clinical program in October 2021, reported top-line data from a Phase 1 proof-of-concept study for KP879 in the fourth quarter of 2021 and final data from the Phase 1 proof-of-concept study for KP879 in the first quarter of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APADAZ</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2018, we announced that the FDA approved APADAZ for the short-term (no more than 14 days) management of acute pain severe enough to require an opioid analgesic and for which alternative treatments are inadequate. APADAZ is an IR combination of our prodrug, benzhydrocodone, and acetaminophen, or APAP. Benzhydrocodone was developed with our proprietary LAT platform technology.</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October 2018, we entered into the APADAZ License Agreement with KVK pursuant to which we have granted an exclusive license to KVK to conduct regulatory activities for the manufacture and commercialization of APADAZ in the United States. We have retained the right to license the international commercial rights to APADAZ to one or more collaborators outside of the U.S. We will be solely responsible for all development activities except for regulatory activities relating to APADAZ in the United States.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APADAZ License Agreement, KVK agreed to pay us certain payments and cost reimbursements of an estimated total of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2019, APADAZ and its authorized generic became nationally available. To date, KVK has utilized targeted non-traditional efforts to build product awareness for APADAZ as a responsible alternative to currently available hydrocodone/acetaminophen products and there has been limited adoption of the product by prescribers.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intellectual property strategy includes seeking composition-of-matter patents, among other patents, for our prodrugs and product candidates and conjugates of our prodrugs while also protecting, where appropriate as trade secrets, our proprietary LAT platform technology, the process by which we identify, screen, evaluate and select ligands to be conjugated with parent drugs to create our prodrugs. Our current prodrugs all consist of an approved parent drug and one or more ligands that we have selected using our proprietary LAT platform technology. The parent drug and ligand or ligands together may potentially constitute a new molecule and thus may be eligible for composition-of-matter patent protection, among other patent protections, in the United States and abroad.</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2021, we have been granted and maintain 53 active patents within the United States, and an additional 88 active foreign patents covering our selected prodrugs and product candidates. The terms of the 53 issued U.S. patents extend to various dates ranging, for example, between 2030 and 2039. The term of our overall domestic and foreign patent portfolio related to our selected prodrugs and product candidates, including patent term adjustments but excluding possible patent term extensions, extend to various dates ranging, for example, between 2030 and 2039, if pending patent applications in each of our patent families issue as patents. As of December 31, 2021, we had 12 pending patent applications under active prosecution in the United States, and an additional 22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received composition-of-matter patents and also additionally filed composition-of-matter and method of treatment patent applications related to the AZSTARYS and KP484 families in the United States and in Argentina, Australia, Brazil, Canada, Chile, China, Egypt, Hong Kong, European Countries, India, Israel, Indonesia, Japan, South Korea, Kazakhstan, Mexico, Malaysia, New Zealand, Philippines, Russia, Singapore, South Africa, Thailand, Ukraine, and Vietnam. We anticipate filing additional patent applications for our prodrugs and product candidates.</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2013, the United States Patent and Trademark Office, or the USPTO, has issued 14 composition-of-matter or method of treatment patents covering benzhydrocodone, which will expire, after utilizing all appropriate patent term adjustments but excluding possible patent term extensions, no earlier than 2030. Further, there are granted or recently allowed compositions-of-matter patents covering benzhydrocodone in Australia, Canada, Chile, China, Israel, Mexico, South Africa, and South Korea. Patent applications covering benzhydrocodone were pending as of December 31, 2021, in Thailand and Vietnam.</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depend upon the skills, knowledge and experience of our scientific and technical personnel, as well as that of our advisors, consultants and other contractors. To help protect our LAT platform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we announced that the FDA approved the NDA for AZSTARYS, a once-daily product for the treatment of ADHD in patients ranging from six years and older. Corium is leading the commercialization of AZSTARYS per the KP415 License Agreement. Corium commercially launched AZSTARYS in the United States during the third quarter of 2021.</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we announced that the FDA approved APADAZ for the short-term (no more than 14 days) management of acute pain severe enough to require an opioid analgesic and for which alternative treatments are inadequate. In October 2018, we entered into the APADAZ License Agreement with KVK pursuant to which we have granted an exclusive license to KVK to conduct regulatory activities for, manufacture and commercialize APADAZ in the United States. In November 2019, APADAZ and its authorized generic (AG-APADAZ) became nationally available. In December 2020, KVK, in collaboration with Sure Med Compliance, initiated a regional launch of the Perspectives in Care program to provide education to physicians, pharmacies and patients regarding responsible opioid therapy and launched a pilot program for APADAZ in Alabama.</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the exception of AZSTARYS and APADAZ, commercialization activities for our product candidates in active development have not yet begun. Because many of our product candidates may have large potential market opportunities, and may require significant marketing resources, we may conclude that the most appropriate approach to their commercialization, if they receive regulatory approval, will involve forming a commercial collaboration or strategic relationship similar to those we have entered into with Commave and KVK, or consummating some type of strategic transaction, with a larger pharmaceutical or other marketing organization. Alternatively, we may conclude that building our own focused sales and marketing organization will be most appropriate, perhaps as part of a co-promotional arrangement, or some other form of collaboration. As we get closer to potential approval of our product candidates which are not currently subject to the KP415 License Agreement or the APADAZ License Agreement, we will work to identify and implement the commercialization strategies that we conclude are the most desirable with regard to the specific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AZSTARYS and, if approved, we intend for KP484 to compete against currently marketed, branded and generic methylphenidate products for the treatment of ADHD. Some of these currently marketed products include Janssen’s CONCERTA, Supernus' QUELBREE,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APADAZ competes against currently marketed, branded and generic hydrocodone/APAP products for short-term (no more than 14 days) management of acute pain severe enough to require an opioid analgesic and for which alternative treatments are inadequate. In addition, APADAZ may face potential competition from any other hydrocodone/APAP products for short-term (no more than 14 days) management of acute pain severe enough to require an opioid analgesic and for which alternative treatments are inadequate that are currently in or which may enter into clinical development.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approved, we intend for KP1077 to compete against Jazz Pharmaceuticals’ XYWAV, and potentially with other products that are currently in development for the treatment of IH, including Harmony Biosciences’ WAKIX. KP1077 could face potential competition from any products for the treatment of IH that are currently in or which may enter into clinical development.</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manufacturing strategy is to rely on contract manufacturers to produce our product candidates for clinical trials and, if approved, drug product for commercial sale. We currently have no manufacturing facilities and limited personnel with manufacturing experience. We have contracted with a third-party manufacturer to supply SDX, which is the primary API for KP1077, KP879 and KP484, to be used in our non-clinical, clinical and formulation development programs necessary to support an NDA submission. We expect to contract with third-party manufacturers for the manufacture of all API supply needs outside the United States if and when we receive approval from regulatory authorities outside the United States.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current and any future third-party manufacturers, their facilities and all lots of drug substance and drug products used in our clinical trials are required to be in compliance with current good manufacturing practices, or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and FDA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2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we enter into a strategic collaboration under which our collaborator assumes responsibility for seeking coverage and reimbursement for a given product, we will be responsible for negotiating coverage, reimbursement and placement decisions for our product candidates, if approved.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or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transitioning patient responsibility in that coverage range from 100% in 2010 to only 25% currently. To help achieve this reduction, pharmaceutical manufacturers are required to provide quarterly discounts of 70%, which commenced January 1, 2019. In 2020, drug manufacturers became be responsible for a larger share of total drug costs due to an increase to the catastrophic threshold. Such increase will also result in a higher out-of-pocket threshold paid by Part D beneficiaries.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or the OBRA, and the Veterans Health Care Act of 1992, or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Third-party payors,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 and product candidates. A new drug must be approved by the FDA through the NDA process before it may be legally marketed in the United States. The process of obtaining regulatory approvals and the subsequent compliance with applicable federal, state, local and foreign statutes and regulations require the expenditure of substantial time and financial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24" w:lineRule="exact"/>
        <w:rPr>
          <w:sz w:val="20"/>
          <w:szCs w:val="20"/>
          <w:color w:val="auto"/>
        </w:rPr>
      </w:pPr>
    </w:p>
    <w:p>
      <w:pPr>
        <w:ind w:left="460" w:hanging="223"/>
        <w:spacing w:after="0" w:line="27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 requirements and other applicable regulations;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of an IND, which must be received by the FDA and become effective before human clinical trials may begin;</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site or centrally before each trial may be initiated;</w:t>
      </w:r>
    </w:p>
    <w:p>
      <w:pPr>
        <w:spacing w:after="0" w:line="246" w:lineRule="exact"/>
        <w:rPr>
          <w:rFonts w:ascii="Arial" w:cs="Arial" w:eastAsia="Arial" w:hAnsi="Arial"/>
          <w:sz w:val="16"/>
          <w:szCs w:val="16"/>
          <w:color w:val="auto"/>
        </w:rPr>
      </w:pPr>
    </w:p>
    <w:p>
      <w:pPr>
        <w:ind w:left="460" w:hanging="223"/>
        <w:spacing w:after="0" w:line="27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product candidate for its intended use, performed in accordance with good clinical practice requirements, or GCPs;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and submission of a NDA to the FDA;</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at which the drug is produced to assess their compliance with cGMPs and of selected clinical investigation sites to assess compliance with GCPs; and</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approval of an NDA to permit commercial marketing for particular indications for use.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testing and regulatory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An IND is a request for authorization from the FDA to administer an investigational new drug product to humans. The central focus of an IND submission is on the general investigational plan and the protocol(s) for clinical studies.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224" w:lineRule="exact"/>
        <w:rPr>
          <w:sz w:val="20"/>
          <w:szCs w:val="20"/>
          <w:color w:val="auto"/>
        </w:rPr>
      </w:pPr>
    </w:p>
    <w:p>
      <w:pPr>
        <w:jc w:val="both"/>
        <w:ind w:left="460" w:hanging="223"/>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 The product candidate is initially introduced into healthy subjects or patients with the target disease or condition. These studies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conducted to test the product candidate for safety, dosage tolerance, structure-activity relationships, mechanism of action, absorption, metabolism, distribution and excretion. If possible, Phase 1 trials may also be used to gain early evidence of product effectiveness.</w:t>
      </w:r>
    </w:p>
    <w:p>
      <w:pPr>
        <w:spacing w:after="0" w:line="165"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The product candidate is administered to a limited patient population with a specified disease or condition to evaluate the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optimal dosage and dosing schedule and to identify possible adverse side effects and safety risks. Multiple Phase 2 clinical trials may be conducted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460" w:hanging="223"/>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 The product candidate is administered to an expanded patient population to further evaluate dosage to provide statistically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of clinical efficacy and to further test for safety in an expanded subject population at multiple clinical trial sites. These clinical trials are intended to establish the overall risk/benefit ratio of the product and provide an adequate basis for product labeling.</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case of a 505(b)(2) NDA, some of the above-described studies and preclinical studies may not be required or may be abbreviated. Pharmacokinetic and other bridging studies may be needed, however, to demonstrate the relevance of the studies that were previously conducted by other sponsors to the drug that is the subject of the NDA.</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or post-market,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In addition,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investigator’s brochure.</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FDA may refer drugs which present difficult questions of safety or efficacy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 NDA may differ based on whether the application is a standard review or priority review application. The FDA may give a priority review to applications for drugs that are intended to treat serious conditions and if approved, would provide significant improvements in the safety or effectiveness of the treatment, diagnosis, or prevention of such serious conditions. Under the goals and policies agreed to by the FDA under the Prescription Drug User Fee Act, or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date of receipt. Such deadlines are referred to as the PDUFA date. The review process and the PDUFA date may also be extended if the FDA requests or the NDA sponsor otherwise provides additional information or clarification regarding the submission.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 ready for approval.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regulatory approval of a product is granted, such approval may entail limitations on the indicated uses for which such product may be marketed or may include contraindications, warnings or precautions in the product labeling, including a boxed warning. If the FDA requires a boxed warning, the sponsor may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products manufactured or distributed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Failure to comply with any of the FDA’s requirements could result in significant adverse enforcement actions. These include a variety of administrative or judicial sanctions, such as refusal to approve pending applications,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 Regulation</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certain of our product candidates are, or if approved, will be regulated as “controlled substances” as defined in the Controlled Substances Act of 1970, or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87"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6" w:lineRule="exact"/>
        <w:rPr>
          <w:rFonts w:ascii="Arial" w:cs="Arial" w:eastAsia="Arial" w:hAnsi="Arial"/>
          <w:sz w:val="16"/>
          <w:szCs w:val="16"/>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APADAZ and AZSTARYS are listed as Schedule II controlled substances under the CSA. For Schedule II controlled substances, the importation of APIs for our product candidates, as well as the manufacture, shipping, storage, sales and use of the products, are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SDX, which is the sole API in KP1077 and KP879, has been listed as a Schedule IV controlled substance under the CSA. 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AZSTARYS, APADAZ and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stimulants that the DEA allows to be produced in the United States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substances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and Privacy Regulatory Frameworks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as well as privacy and information security laws, including those described below. Compliance with government regulations requires the expenditure of substantial time and financial resources.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federal Anti-Kickback Statute, or the specific intent to violate it to have committed a violation.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federal civil and criminal false claims laws, including the federal False Claims Act, which can be enforced by private citizens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 In addition, a claim for payment of items or services resulting from a violation of the federal Anti-Kickback Statute constitutes a false or fraudulent claim for purposes of the False Claims Act.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federal Physician Payments Sunshine Act and its implementing regulations, require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certain other healthcare providers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specified ownership and investment interests held by physicians and their immediate family members.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be subject to data privacy and security regulation by foreign, federal, state and local governments. HIPAA, as amended by the Health Information Technology for Economic and Clinical Health Act, or HITECH, and its implementing regulations, imposes requirements on covered entities, including certain healthcare providers, health plans and healthcare clearinghouses, and their respective business associates, independent contractors or agents of covered entities that receive or obtain individually identifiable health information in connection with providing a service on behalf of a covered entity, and their covered subcontractors, relating to the privacy, security and transmission of individually identifiable health information.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Many states have also adopted comparable privacy and security laws and regulations. For example, the California Consumer Privacy Act of 2018, or CCPA, went into effect on January 1, 2020.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Several states and local jurisdictions have also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Europe, the General Data Protection Regulation, or GDPR, imposes stringent requirements relating to processing personal data of individuals within the European Economic Area, or the EEA. European data protection laws also impose strict rules on the transfer of personal data out of the EEA,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 From January 1, 2021, companies have had to comply with the GDPR and also the United Kingdom GDPR, or the UK GDPR, which, together with the amended UK Data Protection Act 2018, retains the GDPR in UK national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example, in March 2010, the ACA was passed, which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will remain in effect through 2030 with the exception of a temporary suspension from May 1, 2020, through March 31, 2022, unless additional Congressional action is taken. In addition,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is taken in response to the COVID-19 pandemic.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employed 24 full-time employees.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We were incorporated under the laws of the State of Iowa in October 2006 and were reincorporated under the laws of the State of Delaware in May 2014.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commercialization of AZSTARYS or any of our product candidates, if approved, are not successful, or we experience significant delays in commercialization, our business will be harmed.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generate minimal commercial revenue from the sale of any prodrugs and we may never be able to successfully commercialize a prodrug product. For instance,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or that we will ever receive any future payments under the KP415 License Agreement.</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invested substantially all our efforts and financial resources in the development of our proprietary LAT platform technology, the identification of potential product candidates and the development of our product candidates. Our ability to generate revenue from AZSTARYS under the KP415 License Agreement and generate revenue from any of our product candidates will depend heavily on their successful development and eventual commercialization. The success of AZSTARYS and any of our product candidates will depend on several factors, including:</w:t>
      </w:r>
    </w:p>
    <w:p>
      <w:pPr>
        <w:spacing w:after="0" w:line="172" w:lineRule="exact"/>
        <w:rPr>
          <w:sz w:val="20"/>
          <w:szCs w:val="20"/>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that the risks involved with AZSTARYS and any of our product candidates are outweighed by the benefits;</w:t>
      </w:r>
    </w:p>
    <w:p>
      <w:pPr>
        <w:spacing w:after="0" w:line="224" w:lineRule="exact"/>
        <w:rPr>
          <w:rFonts w:ascii="Arial" w:cs="Arial" w:eastAsia="Arial" w:hAnsi="Arial"/>
          <w:sz w:val="18"/>
          <w:szCs w:val="18"/>
          <w:color w:val="auto"/>
        </w:rPr>
      </w:pPr>
    </w:p>
    <w:p>
      <w:pPr>
        <w:ind w:left="460" w:hanging="223"/>
        <w:spacing w:after="0" w:line="182" w:lineRule="auto"/>
        <w:tabs>
          <w:tab w:leader="none" w:pos="46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successful development of our manufacturing processes for AZSTARYS under the KP415 License Agreement and for any of our product candidates, including entering into and maintaining arrangements with third-party manufacturers;</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successful completion of an FDA preapproval inspection of the facilities used to manufacture any of our product candidates for which we may submit an NDA;</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201" w:lineRule="exact"/>
        <w:rPr>
          <w:rFonts w:ascii="Arial" w:cs="Arial" w:eastAsia="Arial" w:hAnsi="Arial"/>
          <w:sz w:val="34"/>
          <w:szCs w:val="34"/>
          <w:color w:val="auto"/>
          <w:vertAlign w:val="subscript"/>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differentiating claims in the labels for our product candidates;</w:t>
      </w:r>
    </w:p>
    <w:p>
      <w:pPr>
        <w:spacing w:after="0" w:line="223" w:lineRule="exact"/>
        <w:rPr>
          <w:rFonts w:ascii="Arial" w:cs="Arial" w:eastAsia="Arial" w:hAnsi="Arial"/>
          <w:sz w:val="18"/>
          <w:szCs w:val="18"/>
          <w:color w:val="auto"/>
        </w:rPr>
      </w:pPr>
    </w:p>
    <w:p>
      <w:pPr>
        <w:ind w:left="460" w:hanging="223"/>
        <w:spacing w:after="0" w:line="182" w:lineRule="auto"/>
        <w:tabs>
          <w:tab w:leader="none" w:pos="46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obtaining and maintaining patent, trademark and trade secret protection and regulatory exclusivity for AZSTARYS and any of our product candidates and otherwise protecting our rights in our intellectual property portfolio;</w:t>
      </w:r>
    </w:p>
    <w:p>
      <w:pPr>
        <w:spacing w:after="0" w:line="201" w:lineRule="exact"/>
        <w:rPr>
          <w:rFonts w:ascii="Arial" w:cs="Arial" w:eastAsia="Arial" w:hAnsi="Arial"/>
          <w:sz w:val="34"/>
          <w:szCs w:val="34"/>
          <w:color w:val="auto"/>
          <w:vertAlign w:val="subscript"/>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w:t>
      </w:r>
    </w:p>
    <w:p>
      <w:pPr>
        <w:spacing w:after="0" w:line="223" w:lineRule="exact"/>
        <w:rPr>
          <w:rFonts w:ascii="Arial" w:cs="Arial" w:eastAsia="Arial" w:hAnsi="Arial"/>
          <w:sz w:val="18"/>
          <w:szCs w:val="18"/>
          <w:color w:val="auto"/>
        </w:rPr>
      </w:pPr>
    </w:p>
    <w:p>
      <w:pPr>
        <w:ind w:left="460" w:hanging="223"/>
        <w:spacing w:after="0" w:line="182" w:lineRule="auto"/>
        <w:tabs>
          <w:tab w:leader="none" w:pos="460" w:val="left"/>
        </w:tabs>
        <w:numPr>
          <w:ilvl w:val="0"/>
          <w:numId w:val="14"/>
        </w:numPr>
        <w:rPr>
          <w:rFonts w:ascii="Arial" w:cs="Arial" w:eastAsia="Arial" w:hAnsi="Arial"/>
          <w:sz w:val="34"/>
          <w:szCs w:val="34"/>
          <w:color w:val="auto"/>
          <w:vertAlign w:val="subscript"/>
        </w:rPr>
      </w:pPr>
      <w:r>
        <w:rPr>
          <w:rFonts w:ascii="Arial" w:cs="Arial" w:eastAsia="Arial" w:hAnsi="Arial"/>
          <w:sz w:val="17"/>
          <w:szCs w:val="17"/>
          <w:color w:val="auto"/>
        </w:rPr>
        <w:t>launching commercial sales of AZSTARYS under the KP415 License Agreement and launching commercial sales of any of our product candidates, if and when approved, whether alone or in collaboration with Commave or others;</w:t>
      </w:r>
    </w:p>
    <w:p>
      <w:pPr>
        <w:spacing w:after="0" w:line="201" w:lineRule="exact"/>
        <w:rPr>
          <w:rFonts w:ascii="Arial" w:cs="Arial" w:eastAsia="Arial" w:hAnsi="Arial"/>
          <w:sz w:val="34"/>
          <w:szCs w:val="34"/>
          <w:color w:val="auto"/>
          <w:vertAlign w:val="subscript"/>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AZSTARYS and any of our product candidates, if approved, by patients, the medical community and third-party payors;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any of our products following approval.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Corium could experience an inability to successfully commercialize AZSTARYS or any of our product candidates covered by the KP415 License Agreement, if approved, or we could experience an inability to successfully commercialize any of our product candidates approved for marketing in the future, if any, which would harm our business.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key element of our strategy is to use our proprietary LAT platform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and/or effective or that offer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AZSTARYS is not successfully commercialized under our KP415 License Agreement and we do not successfully develop and commercialize any of our product candidates based upon our proprietary LAT platform technology, we will not be able to obtain product revenue in future periods, which likely would result in significant harm to our financial position and adversely affect our stock price.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In March 2021,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product candidates for commercial sale or approve any proposed label we may have for any such product candidate. If our development efforts for our product candidates, including our efforts to obtain regulatory approval, are not successful for their planned indications or are delayed, or if adequate demand for our product candidates that are approved for marketing, if any, is not generated, our business will be harmed.</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70" w:lineRule="exact"/>
        <w:rPr>
          <w:sz w:val="20"/>
          <w:szCs w:val="20"/>
          <w:color w:val="auto"/>
        </w:rPr>
      </w:pPr>
    </w:p>
    <w:p>
      <w:pPr>
        <w:ind w:left="460" w:right="2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dosing in a particular clinical trial may not be at an optimal level;</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50"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submissions to regulatory authorities or to obtain regulatory approval in the United States or elsewhere;</w:t>
      </w:r>
    </w:p>
    <w:p>
      <w:pPr>
        <w:spacing w:after="0" w:line="170"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only limited experience in submitting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FDA does not conclude that our product candidates satisfy the requirements for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key element of our strategy is to seek FDA approval for most of our product candidates under Section 505(b)(2) of the FFDCA,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Section 505(b)(2), if applicable to us under the FFDCA,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nonclinical and/or clinical data that we would need to generate in order to obtain FDA approval. Such reliance is typically predicated on a showing of bioequivalence or comparable bioavailability to an approved drug. AZSTARYS was approved via the 505(b)(2) NDA pathway on March 2, 2021, and APADAZ was approved via the 505(b)(2) NDA pathway on February 23, 2018.</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notwithstanding the approval of several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46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clinical trial protocols as needed;</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170"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1" w:lineRule="exact"/>
        <w:rPr>
          <w:rFonts w:ascii="Arial" w:cs="Arial" w:eastAsia="Arial" w:hAnsi="Arial"/>
          <w:sz w:val="18"/>
          <w:szCs w:val="18"/>
          <w:color w:val="auto"/>
        </w:rPr>
      </w:pPr>
    </w:p>
    <w:p>
      <w:pPr>
        <w:ind w:left="460" w:hanging="223"/>
        <w:spacing w:after="0" w:line="30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obtain sufficient or adequate supply or quality of product candidates or other materials necessary for use in clinical trials, or experience delays in sufficiently developing, characterizing or controlling a manufacturing process suitable for clinical trials;</w:t>
      </w:r>
    </w:p>
    <w:p>
      <w:pPr>
        <w:spacing w:after="0" w:line="148" w:lineRule="exact"/>
        <w:rPr>
          <w:rFonts w:ascii="Arial" w:cs="Arial" w:eastAsia="Arial" w:hAnsi="Arial"/>
          <w:sz w:val="17"/>
          <w:szCs w:val="17"/>
          <w:color w:val="auto"/>
        </w:rPr>
      </w:pPr>
    </w:p>
    <w:p>
      <w:pPr>
        <w:ind w:left="460" w:right="2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manufacturing, testing, releasing, validating or importing/exporting sufficient stable quantities of our product candidates for use in clinical trials or the inability to do any of the foregoing;</w:t>
      </w:r>
    </w:p>
    <w:p>
      <w:pPr>
        <w:spacing w:after="0" w:line="170"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70"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50" w:lineRule="exact"/>
        <w:rPr>
          <w:rFonts w:ascii="Arial" w:cs="Arial" w:eastAsia="Arial" w:hAnsi="Arial"/>
          <w:sz w:val="18"/>
          <w:szCs w:val="18"/>
          <w:color w:val="auto"/>
        </w:rPr>
      </w:pPr>
    </w:p>
    <w:p>
      <w:pPr>
        <w:ind w:left="460" w:hanging="223"/>
        <w:spacing w:after="0" w:line="30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transfer manufacturing processes to larger-scale facilities operated by a contract manufacturing organization, and we may experience delays or failures by our contract manufacturers to make any necessary changes to such manufacturing process;</w:t>
      </w:r>
    </w:p>
    <w:p>
      <w:pPr>
        <w:spacing w:after="0" w:line="148" w:lineRule="exact"/>
        <w:rPr>
          <w:rFonts w:ascii="Arial" w:cs="Arial" w:eastAsia="Arial" w:hAnsi="Arial"/>
          <w:sz w:val="17"/>
          <w:szCs w:val="17"/>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5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2" w:lineRule="exact"/>
        <w:rPr>
          <w:sz w:val="20"/>
          <w:szCs w:val="20"/>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development and the regulatory approval processes and delay or potentially jeopardize our ability to commence product sales and generate product revenue. Any of these occurrences may harm our business, financial condition and prospects significantly.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subjects to participate in these trials as may be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91" w:lineRule="exact"/>
        <w:rPr>
          <w:sz w:val="20"/>
          <w:szCs w:val="20"/>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publicly disclose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preliminary or topline data should be viewed with caution until the final data are available.</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disclosure of interim data by us or by our competitors could result in volatility in the price of our common stock.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74" w:lineRule="exact"/>
        <w:rPr>
          <w:sz w:val="20"/>
          <w:szCs w:val="20"/>
          <w:color w:val="auto"/>
        </w:rPr>
      </w:pPr>
    </w:p>
    <w:p>
      <w:pPr>
        <w:ind w:right="500"/>
        <w:spacing w:after="0" w:line="306" w:lineRule="auto"/>
        <w:rPr>
          <w:sz w:val="20"/>
          <w:szCs w:val="20"/>
          <w:color w:val="auto"/>
        </w:rPr>
      </w:pPr>
      <w:r>
        <w:rPr>
          <w:rFonts w:ascii="Arial" w:cs="Arial" w:eastAsia="Arial" w:hAnsi="Arial"/>
          <w:sz w:val="17"/>
          <w:szCs w:val="17"/>
          <w:b w:val="1"/>
          <w:bCs w:val="1"/>
          <w:i w:val="1"/>
          <w:iCs w:val="1"/>
          <w:color w:val="auto"/>
        </w:rPr>
        <w:t>We may not be able to obtain or maintain orphan drug designations which we pursue for any of our product candidates, and we may be unable to maintain the benefits associated with orphan drug designation, including the potential for market exclusivity.</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Regulatory authorities in some jurisdictions, including the United States, may designate drugs for relatively small patient populations as orphan drugs. Under the Orphan Drug Act of 1983, the FDA may designate a drug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We have not received orphan drug designation in for any product candidate. We may seek to obtain orphan drug designation for product but there can be no assurance that the FDA will grant orphan designation for any indication for which we apply, or that we will be able to maintain such designation.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AZSTARYS, APADAZ and certain of our product candidates contain controlled substances, the manufacture, use, sale, importation, exportation, prescribing and distribution of which are subject to regulation by the DEA and other regulatory agencies.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AZSTARYS, APADAZ, and certain of our product candidates are regulated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or CSA, and regulations of the DEA. 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DEA determined APADAZ and AZSTARYS to be Schedule II controlled substances. In addition, the DEA scheduled SDX, the prodrug present within AZSTARYS, as a Schedule IV substance. We expect that most of our product candidates, including KP484, KP879 and KP1077, if approved, will also be regulated as “controlled substances” by the DEA, which subjects AZSTARYS, APADAZ and these product candidates to additional restrictions regarding their manufacture, shipment, storage, sale and use, depending on the scheduling of the active ingredients, and may limit the commercial potential of our products and any of our product candidates, if approved.</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For example, a DEA quota system controls and limits the availability and production of controlled substances in Schedule I or II. Because our products and most of our product candidates are or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for any of our products or product candidates classified under Schedule II.</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Our products and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events or other undesirable side effects caused by our products or product candidates could cause us or regulatory authorities to interrupt, delay or halt clinical trials and could result in a more restrictive label or the delay or denial of regulatory approvals by the FDA or other comparable foreign regulatory authorities.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and/or require us to cease selling our products or product candidates, if approved, for any or all targeted indications. If we are required to delay, suspend or terminate any clinical trial or commercialization efforts, the commercial prospects of our products or product candidates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80" w:lineRule="exact"/>
        <w:rPr>
          <w:sz w:val="20"/>
          <w:szCs w:val="20"/>
          <w:color w:val="auto"/>
        </w:rPr>
      </w:pPr>
    </w:p>
    <w:p>
      <w:pPr>
        <w:ind w:left="460" w:hanging="22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suspend, limit or withdraw approvals of such product, or seek an injunction against its manufacture or distribution;</w:t>
      </w:r>
    </w:p>
    <w:p>
      <w:pPr>
        <w:spacing w:after="0" w:line="235" w:lineRule="exact"/>
        <w:rPr>
          <w:rFonts w:ascii="Arial" w:cs="Arial" w:eastAsia="Arial" w:hAnsi="Arial"/>
          <w:sz w:val="17"/>
          <w:szCs w:val="17"/>
          <w:color w:val="auto"/>
        </w:rPr>
      </w:pPr>
    </w:p>
    <w:p>
      <w:pPr>
        <w:ind w:left="460" w:right="400" w:hanging="223"/>
        <w:spacing w:after="0" w:line="30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48" w:lineRule="exact"/>
        <w:rPr>
          <w:rFonts w:ascii="Arial" w:cs="Arial" w:eastAsia="Arial" w:hAnsi="Arial"/>
          <w:sz w:val="17"/>
          <w:szCs w:val="17"/>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223" w:lineRule="exact"/>
        <w:rPr>
          <w:rFonts w:ascii="Arial" w:cs="Arial" w:eastAsia="Arial" w:hAnsi="Arial"/>
          <w:sz w:val="18"/>
          <w:szCs w:val="18"/>
          <w:color w:val="auto"/>
        </w:rPr>
      </w:pPr>
    </w:p>
    <w:p>
      <w:pPr>
        <w:ind w:left="460" w:right="140" w:hanging="223"/>
        <w:spacing w:after="0" w:line="27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which could include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or any of our product candidates, if approved, and could seriously harm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Social issues around the abuse of opioids and stimulants, including law enforcement concerns over diversion and regulatory efforts to combat abuse, could decrease the potential market for AZSTARYS, APADAZ or any of our other applicable product candidates.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AZSTARYS under the KP415 License Agreement, APADAZ under the APADAZ License Agreement or to commercialize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AZSTARYS, APADAZ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efforts by the FDA and other regulatory bodies to combat abuse of opioids and stimulants may negatively impact the market for AZSTARYS, APADAZ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AZSTARYS, APADAZ or any of our other applicable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effective internal control over financial reporting could harm us.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 over financial reporting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incurred significant recurring negative net operating cash flows. We expect to incur minimal positive net operating cash flows or negative net operating cash flows over the next several years and may never achieve or maintain profitability.</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historically had significant negative net operating cash flows since inception. For the years ended December 31, 2021 and 2020 net cash provided by (used in) operations was $10.4 million and ($1.9) million, respectively. We have financed our operations through December 31, 2021 with funds raised in private placements of redeemable convertible preferred stock, in the issuance of convertible promissory notes and term debt, our initial public offering and other public and private offerings of our common stock, as well as through revenue received under the KP415 License Agreement, the Corium Consulting Agreement and other consulting arrangements.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87" w:lineRule="exact"/>
        <w:rPr>
          <w:sz w:val="20"/>
          <w:szCs w:val="20"/>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product candidates that successfully complete clinical trials;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systems and personnel, if needed, to support any future commercialization efforts.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For instance, in September 2019, we entered into the KP415 License Agreement with Commave pursuant to which we granted an exclusive, worldwide license to Commave to develop, manufacture and commercialize AZSTARYS and KP484 worldwide. We cannot guarantee that Commave will be able to successfully manufacture or commercialize AZSTARYS, or develop, manufacture or commercialize KP484, if approved, or that we will ever receive any future payments under the KP415 License Agreement. In addition, in October 2018, we entered into the APADAZ License Agreement with KVK pursuant to which we granted an exclusive license to KVK to commercialize APADAZ in the United States. We cannot guarantee that KVK will be able to successfully commercialize APADAZ or that we will ever receive any payments under the APADAZ License Agreement from commercial sales of APADAZ. We may never succeed in commercialization activities and, even if we do, may never generate revenue that is significant enough to achieve profitability.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2020, the World Health Organization declared the outbreak of COVID-19 a global pandemic. This pandemic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If the pandemic continues to be a severe worldwide crisis, it could have a material adverse effect on our business, results of operations, financial condition, and cash flows.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AZSTARYS, APADAZ or any of our product candidates, if approved, may not achieve commercial success. Our commercial revenue will be derived from sales of prodrug products. We cannot guarantee that Commave will be able to successfully commercialize AZSTARYS or any of the product candidates subject to the KP415 License Agreement, even if approved, that KVK will be able to successfully commercialize APADAZ or that we will ever receive any payments under the KP415 License Agreement from the commercial sales of AZSTARYS or any future payments under the KP415 License Agreement or payment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that our only sources of revenues will be through payments arising from our license agreements with Commave and KVK, or through the Corium Consulting Agreement or other potential consulting arrangements and any other future arrangements related to one of our other product candidates. We cannot guarantee that we will be able to generate sufficient proceeds from the KP415 License Agreement, the APADAZ License Agreement, the Corium Consulting Agreement or other consulting arrangements, or be successful in completing other transactions, that will fully fund our operating expenses. Further, the economic uncertainty surrounding the COVID-19 pandemic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94" w:lineRule="exact"/>
        <w:rPr>
          <w:sz w:val="20"/>
          <w:szCs w:val="20"/>
          <w:color w:val="auto"/>
        </w:rPr>
      </w:pPr>
    </w:p>
    <w:p>
      <w:pPr>
        <w:ind w:left="460" w:hanging="223"/>
        <w:spacing w:after="0" w:line="182" w:lineRule="auto"/>
        <w:tabs>
          <w:tab w:leader="none" w:pos="460" w:val="left"/>
        </w:tabs>
        <w:numPr>
          <w:ilvl w:val="0"/>
          <w:numId w:val="21"/>
        </w:numPr>
        <w:rPr>
          <w:rFonts w:ascii="Arial" w:cs="Arial" w:eastAsia="Arial" w:hAnsi="Arial"/>
          <w:sz w:val="34"/>
          <w:szCs w:val="34"/>
          <w:color w:val="auto"/>
          <w:vertAlign w:val="subscript"/>
        </w:rPr>
      </w:pPr>
      <w:r>
        <w:rPr>
          <w:rFonts w:ascii="Arial" w:cs="Arial" w:eastAsia="Arial" w:hAnsi="Arial"/>
          <w:sz w:val="17"/>
          <w:szCs w:val="17"/>
          <w:color w:val="auto"/>
        </w:rPr>
        <w:t>the progress and results of our preclinical studies, clinical trials, chemistry, manufacturing and controls, or CMC, and other product development and commercialization activities;</w:t>
      </w:r>
    </w:p>
    <w:p>
      <w:pPr>
        <w:spacing w:after="0" w:line="201" w:lineRule="exact"/>
        <w:rPr>
          <w:rFonts w:ascii="Arial" w:cs="Arial" w:eastAsia="Arial" w:hAnsi="Arial"/>
          <w:sz w:val="34"/>
          <w:szCs w:val="34"/>
          <w:color w:val="auto"/>
          <w:vertAlign w:val="subscript"/>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product candidates;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our product candidates;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4" w:lineRule="exact"/>
        <w:rPr>
          <w:rFonts w:ascii="Arial" w:cs="Arial" w:eastAsia="Arial" w:hAnsi="Arial"/>
          <w:sz w:val="18"/>
          <w:szCs w:val="18"/>
          <w:color w:val="auto"/>
        </w:rPr>
      </w:pPr>
    </w:p>
    <w:p>
      <w:pPr>
        <w:ind w:left="460" w:hanging="223"/>
        <w:spacing w:after="0" w:line="182" w:lineRule="auto"/>
        <w:tabs>
          <w:tab w:leader="none" w:pos="460" w:val="left"/>
        </w:tabs>
        <w:numPr>
          <w:ilvl w:val="0"/>
          <w:numId w:val="21"/>
        </w:numPr>
        <w:rPr>
          <w:rFonts w:ascii="Arial" w:cs="Arial" w:eastAsia="Arial" w:hAnsi="Arial"/>
          <w:sz w:val="34"/>
          <w:szCs w:val="34"/>
          <w:color w:val="auto"/>
          <w:vertAlign w:val="subscript"/>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201" w:lineRule="exact"/>
        <w:rPr>
          <w:rFonts w:ascii="Arial" w:cs="Arial" w:eastAsia="Arial" w:hAnsi="Arial"/>
          <w:sz w:val="34"/>
          <w:szCs w:val="34"/>
          <w:color w:val="auto"/>
          <w:vertAlign w:val="subscript"/>
        </w:rPr>
      </w:pPr>
    </w:p>
    <w:p>
      <w:pPr>
        <w:jc w:val="both"/>
        <w:ind w:left="460" w:hanging="223"/>
        <w:spacing w:after="0" w:line="29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commercial revenue received from commercial sales of AZSTARYS under our KP415 License Agreement, APADAZ under our APADAZ License Agreement, or any of our product candidates subject to the terms of the KP415 License agreement, or sales of our product candidates for which we receive marketing approval in the future, which may be affected by market conditions, including obtaining coverage and adequate reimbursement of AZSTARYS, APADAZ, or any of our product candidates, from third-party payors, including government programs and managed care organizations, and competition within the therapeutic class to which AZSTARYS, APADAZ, or any our product candidates are assigned;</w:t>
      </w:r>
    </w:p>
    <w:p>
      <w:pPr>
        <w:spacing w:after="0" w:line="158" w:lineRule="exact"/>
        <w:rPr>
          <w:rFonts w:ascii="Arial" w:cs="Arial" w:eastAsia="Arial" w:hAnsi="Arial"/>
          <w:sz w:val="16"/>
          <w:szCs w:val="16"/>
          <w:color w:val="auto"/>
        </w:rPr>
      </w:pPr>
    </w:p>
    <w:p>
      <w:pPr>
        <w:ind w:left="460" w:right="20" w:hanging="223"/>
        <w:spacing w:after="0" w:line="182" w:lineRule="auto"/>
        <w:tabs>
          <w:tab w:leader="none" w:pos="460" w:val="left"/>
        </w:tabs>
        <w:numPr>
          <w:ilvl w:val="0"/>
          <w:numId w:val="21"/>
        </w:numPr>
        <w:rPr>
          <w:rFonts w:ascii="Arial" w:cs="Arial" w:eastAsia="Arial" w:hAnsi="Arial"/>
          <w:sz w:val="34"/>
          <w:szCs w:val="34"/>
          <w:color w:val="auto"/>
          <w:vertAlign w:val="subscript"/>
        </w:rPr>
      </w:pPr>
      <w:r>
        <w:rPr>
          <w:rFonts w:ascii="Arial" w:cs="Arial" w:eastAsia="Arial" w:hAnsi="Arial"/>
          <w:sz w:val="17"/>
          <w:szCs w:val="17"/>
          <w:color w:val="auto"/>
        </w:rPr>
        <w:t>the success of our partner, Commave, in commercializing AZSTARYS, or the successful development of other Additional Products or other Licensed Products in accordance with the terms of the KP415 License Agreement;</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21"/>
        </w:numPr>
        <w:rPr>
          <w:rFonts w:ascii="Arial" w:cs="Arial" w:eastAsia="Arial" w:hAnsi="Arial"/>
          <w:sz w:val="34"/>
          <w:szCs w:val="34"/>
          <w:color w:val="auto"/>
          <w:vertAlign w:val="subscript"/>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201" w:lineRule="exact"/>
        <w:rPr>
          <w:rFonts w:ascii="Arial" w:cs="Arial" w:eastAsia="Arial" w:hAnsi="Arial"/>
          <w:sz w:val="34"/>
          <w:szCs w:val="34"/>
          <w:color w:val="auto"/>
          <w:vertAlign w:val="subscript"/>
        </w:rPr>
      </w:pPr>
    </w:p>
    <w:p>
      <w:pPr>
        <w:ind w:left="460" w:hanging="223"/>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has been, and may in the future be, adversely affected by the effects of health epidemics, including the COVID-19 pandemic, in regions where we or third parties on which we rely have clinical trial sites or other business operations In addition, if COVID-19 continues to be a worldwide pandemic, it could materially affect our operations.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business has been, and may continue to be, adversely affected by health epidemics, including the COVID-19 pandemic, in regions where we have significant manufacturing facilities, concentrations of clinical trial sites, or other business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COVID-19 pandemic, we have implemented limitations on our operations, including a work-from-home policy, and could face further limitations in our operations in the future. There is a risk that countries or regions may be less effective at containing COVID-19 than others, in which case the risks described herein could be elevated significantly.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our future clinical trials may be affected by the COVID-19 pandemic or other future health epidemics. Site initiation, patient enrollment, distribution of drug product candidates, study monitoring, and data collection may be delayed due to changes in hospital policies, local regulations, and/or prioritization of hospital resources toward the COVID-19 pandemic or other future health epidemics. If COVID-19 continues to spread or there are similar health epidemics in the future, some patients and clinical investigators may not be able to comply with clinical trial protocols. For example, quarantines may impede patient movement, affect sponsor access to study sites, or interrupt healthcare services, and we may be required to delay patient enrollment or unable to obtain patient data as a result.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third party manufacturing of our products and product candidates and suppliers of the materials used in the production of our product candidates may be impacted by restrictions resulting from the COVID-19 pandemic or other future health epidemics which may disrupt our supply chain or limit our ability to manufacture drug product candidates for our clinical trials.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ultimate impact of the COVID-19 pandemic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partnered products and product candidates that utilize benzhydrocodone and SDX as the API used in our clinical trials and with a sole source supplier for the manufacture of bulk quantities of benzhydrocodone and SDX used in the partnered products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have any manufacturing facilities. We procure the bulk drug substances for AZSTARYS, KP484, APADAZ, KP879 and KP1077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AZSTARYS, APADAZ, or any of our product candidates should such candidates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2" w:lineRule="exact"/>
        <w:rPr>
          <w:sz w:val="20"/>
          <w:szCs w:val="20"/>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50" w:lineRule="exact"/>
        <w:rPr>
          <w:rFonts w:ascii="Arial" w:cs="Arial" w:eastAsia="Arial" w:hAnsi="Arial"/>
          <w:sz w:val="18"/>
          <w:szCs w:val="18"/>
          <w:color w:val="auto"/>
        </w:rPr>
      </w:pPr>
    </w:p>
    <w:p>
      <w:pPr>
        <w:jc w:val="both"/>
        <w:ind w:left="460" w:right="20" w:hanging="223"/>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1" w:lineRule="exact"/>
        <w:rPr>
          <w:rFonts w:ascii="Arial" w:cs="Arial" w:eastAsia="Arial" w:hAnsi="Arial"/>
          <w:sz w:val="18"/>
          <w:szCs w:val="18"/>
          <w:color w:val="auto"/>
        </w:rPr>
      </w:pPr>
    </w:p>
    <w:p>
      <w:pPr>
        <w:ind w:left="460" w:hanging="223"/>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51"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 if approved. Some of these events could be the basis for FDA action, including injunction, recall, seizure or total or partial suspension of production.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facilities used by our contract manufacturers to manufacture AZSTARYS, APADAZ, and any of our product candidates are subject to review by the FDA pursuant to inspections that will be conducted after we submit our marketing application to the FDA, and such inspections could result in findings that lead to failure to obtain FDA approval of such marketing applications.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other than through our contractual arrangements, control the manufacturing process of AZSTARYS, APADAZ,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of our marketing applications for the use of their manufacturing facilities for our products.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AZSTARYS, APADAZ or any of our other product candidates or if it withdraws any such approval in the future, we may need to find alternative manufacturing facilities, which would significantly impact our ability to develop, obtain marketing approval for or market AZSTARYS, APADAZ, or any of our other product candidates, if approved.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for AZSTARYS, APADAZ and any of our product candidates, if approved, our suppliers will be subject to regulatory requirements, covering manufacturing, testing, quality control and record keeping relating to AZSTARYS, APADAZ or any of our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AZSTARYS, KP484, KP879 or KP1077 bulk drug substance. If our current contract manufacturer for AZSTARYS, KP484, KP879 or KP1077 bulk drug substance cannot perform as agreed, we may be required to replace such manufacturer and we may incur added costs and delays in identifying and qualifying any such replacement. Any performance failure or significant delay could negatively affect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We have entered into collaborations with Commave, to develop, manufacture and commercialize AZSTARYS and KP484 worldwide, and KVK, for the commercialization of APADAZ in the United States. In addition, we may seek collaborations with third parties for the development or commercialization of our other product candidates, or in other territories. If those collaborations are not successful, we may not be able to capitalize on the market potential of AZSTARYS, APADAZ, or any of our other product candidates, if approved.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entered into the KP415 License Agreement with Commave pursuant to which we granted an exclusive, worldwide license to Commave to develop, manufacture and commercialize AZSTARYS and KP484. We cannot guarantee that the K415 License Agreement with Commave will be successful or that we will receive any future payments under the KP415 License Agreement. For instance, Commave has the option to terminate the KP415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KP415 License Agreement, we cannot guarantee that we will receive any additional milestone or royalty payments under the KP415 License Agreement. In addition, under the KP415 License Agreement, we have limited control over the amount and timing of resources that Commave will dedicate to the development, manufacturing or commercialization of AZSTARYS and KP484, and we may not always agree with Commave’s efforts. Our ability to generate revenue under the KP415 License Agreement will depend, in part, on Commave’s ability to successfully perform the functions assigned to it under the KP415 License Agreement.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under the APADAZ License Agreement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additional third-party collaborators for the commercialization of APADAZ outside of the United States or for the development or commercialization of any of our other product candidates, which are not subject to the KP415 License Agreement, or those that are subject to the KP415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AZSTARYS or APADAZ outside of the United States or any of our other product candidates. Our ability to generate revenue from these arrangements will depend on our collaborators’ abilities to successfully perform the functions assigned to them in these arrangements.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collaborations with Commave and KVK, or combined, the Collaborators, pose the following risks to us:</w:t>
      </w:r>
    </w:p>
    <w:p>
      <w:pPr>
        <w:spacing w:after="0" w:line="224" w:lineRule="exact"/>
        <w:rPr>
          <w:sz w:val="20"/>
          <w:szCs w:val="20"/>
          <w:color w:val="auto"/>
        </w:rPr>
      </w:pPr>
    </w:p>
    <w:p>
      <w:pPr>
        <w:ind w:left="460" w:hanging="223"/>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Collaborators have significant discretion in determining the efforts and resources that they will apply to these collaborations;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Collaborators may not perform their obligations as expected;</w:t>
      </w:r>
    </w:p>
    <w:p>
      <w:pPr>
        <w:spacing w:after="0" w:line="250" w:lineRule="exact"/>
        <w:rPr>
          <w:rFonts w:ascii="Arial" w:cs="Arial" w:eastAsia="Arial" w:hAnsi="Arial"/>
          <w:sz w:val="18"/>
          <w:szCs w:val="18"/>
          <w:color w:val="auto"/>
        </w:rPr>
      </w:pPr>
    </w:p>
    <w:p>
      <w:pPr>
        <w:jc w:val="both"/>
        <w:ind w:left="460" w:hanging="223"/>
        <w:spacing w:after="0" w:line="31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Collaborators may not pursue commercialization of AZSTARYS, APADAZ, or any of our product candidates covered under the KP415 License Agreement, if approved, or may elect not to continue or renew commercialization programs based on post-approval clinical trial results, changes in a Collaborator's strategic focus or available funding, or external factors, such as an acquisition, that divert resources or create competing priorities;</w:t>
      </w:r>
    </w:p>
    <w:p>
      <w:pPr>
        <w:spacing w:after="0" w:line="146" w:lineRule="exact"/>
        <w:rPr>
          <w:rFonts w:ascii="Arial" w:cs="Arial" w:eastAsia="Arial" w:hAnsi="Arial"/>
          <w:sz w:val="16"/>
          <w:szCs w:val="16"/>
          <w:color w:val="auto"/>
        </w:rPr>
      </w:pPr>
    </w:p>
    <w:p>
      <w:pPr>
        <w:jc w:val="both"/>
        <w:ind w:left="460" w:hanging="223"/>
        <w:spacing w:after="0" w:line="31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Collaborators could independently develop, or develop with third parties, products that compete directly or indirectly with AZSTARYS, APADAZ, or any of our other products covered under the KP415 License Agreement, as applicable, if the Collaborators believe that competitive products are more likely to be successfully developed or can be commercialized under terms that are more economically attractive than ours;</w:t>
      </w:r>
    </w:p>
    <w:p>
      <w:pPr>
        <w:spacing w:after="0" w:line="146" w:lineRule="exact"/>
        <w:rPr>
          <w:rFonts w:ascii="Arial" w:cs="Arial" w:eastAsia="Arial" w:hAnsi="Arial"/>
          <w:sz w:val="16"/>
          <w:szCs w:val="16"/>
          <w:color w:val="auto"/>
        </w:rPr>
      </w:pPr>
    </w:p>
    <w:p>
      <w:pPr>
        <w:jc w:val="both"/>
        <w:ind w:left="460" w:hanging="223"/>
        <w:spacing w:after="0" w:line="28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AZSTARYS, APADAZ, and any of our other products covered under the KP415 License Agreement may be viewed by the Collaborators as competitive with their own product candidates or products, which may cause the Collaborators to cease to devote resources to the commercialization of AZSTARYS, APADAZ, or any of our other products covered under the KP415 License Agreement, if approved;</w:t>
      </w:r>
    </w:p>
    <w:p>
      <w:pPr>
        <w:spacing w:after="0" w:line="165" w:lineRule="exact"/>
        <w:rPr>
          <w:rFonts w:ascii="Arial" w:cs="Arial" w:eastAsia="Arial" w:hAnsi="Arial"/>
          <w:sz w:val="17"/>
          <w:szCs w:val="17"/>
          <w:color w:val="auto"/>
        </w:rPr>
      </w:pPr>
    </w:p>
    <w:p>
      <w:pPr>
        <w:ind w:left="460" w:hanging="223"/>
        <w:spacing w:after="0" w:line="27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Collaborators may not commit sufficient resources to the development, marketing and distribution of AZSTARYS, APADAZ, and any of our other products covered under the KP415 License Agreement, as applicable;</w:t>
      </w:r>
    </w:p>
    <w:p>
      <w:pPr>
        <w:spacing w:after="0" w:line="170"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disagreements with the Collaborators, including disagreements over proprietary rights, contract interpretation or the preferred course of development or commercialization, might cause delays or termination of the development or commercialization of AZSTARYS, APADAZ, or any of our other products covered under the KP415 License Agreement, as applicable, might lead to additional responsibilities for us with respect to AZSTARYS, APADAZ, or any of our other products covered under the KP415 License Agreement, or might result in litigation or arbitration, any of which would be time-consuming and expensive;</w:t>
      </w:r>
    </w:p>
    <w:p>
      <w:pPr>
        <w:spacing w:after="0" w:line="18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81" w:lineRule="exact"/>
        <w:rPr>
          <w:rFonts w:ascii="Arial" w:cs="Arial" w:eastAsia="Arial" w:hAnsi="Arial"/>
          <w:sz w:val="18"/>
          <w:szCs w:val="18"/>
          <w:color w:val="auto"/>
        </w:rPr>
      </w:pPr>
    </w:p>
    <w:p>
      <w:pPr>
        <w:ind w:left="460" w:hanging="22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Collaborators may infringe the intellectual property rights of third parties, which may expose us to litigation and potential liability; and</w:t>
      </w:r>
    </w:p>
    <w:p>
      <w:pPr>
        <w:spacing w:after="0" w:line="262"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license agreements may be terminated by the Collaborators under specified circumstances and, if terminated, we could be required to raise additional capital to pursue further development or commercialization of AZSTARYS, APADAZ, or any of our other products covered under the KP415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we enter into any future collaborations we will face similar risks with any future collaborators as well.</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KP415 License Agreement, the APADAZ License Agreement, and any other licensing or collaboration agreements we may enter into may not lead to commercialization of AZSTARYS, commercialization of APADAZ, or development of KP484, KP879 or any of our other product candidates in the most efficient manner or at all. If Commave or KVK or a future collaborator of ours were to be involved in a business combination, the continued pursuit and emphasis on our drug development or commercialization program could be delayed, diminished or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collaborations for our product candidates, we may have to alter our development and commercialization plans.</w:t>
      </w:r>
    </w:p>
    <w:p>
      <w:pPr>
        <w:spacing w:after="0" w:line="2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prodrug development programs and the potential commercialization of our product candidates, if approved, will require substantial additional capital. For our product candidates, which are not subject to the terms of the KP415 License Agreement or the APADAZ License Agreement, we may need to collaborate with pharmaceutical and biotechnology companies for the development and potential commercialization of those product candidates.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agreements with Aquestive and Commave may inhibit our ability to enter into future collaborations with third parties.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party to a termination agreement with Aquestive Therapeutics, or Aquestive, that may limit the value of any sale, license or commercialization of AZSTARYS, KP484, KP879 or KP1077. Under this termination agreement, Aquestive has the right to receive a royalty amount equal to 10% of any value generated by AZSTARYS, KP484, KP879 or KP1077, and any product candidates which contain SDX, including royalty payments on any license of AZSTARYS, KP484, KP879 or KP1077, the sale of AZSTARYS, KP484, KP879 or KP1077 to a third party or the commercialization of AZSTARYS, KP484, KP879 or KP1077. As part of the KP415 License Agreement, we paid Aquestive a royalty equal to 10% of the license upfront payment we received in 2019 and the regulatory milestone and royalty payments we received in 2020 and 2021 from AZSTARYS.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granted to Commave a right of first refusal to acquire, license or commercialize any Additional Product Candidate which contains SDX and are intended to treat ADHD or any other CNS disorder, excluding KP922,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 We cannot predict if these obligations will limit the value we may receive from any future sale or license of any Additional Product Candidate.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obtain and maintain trade secret protection or patent protection for our technology, AZSTARYS, APADAZ, or our product candidates, or if the scope of the patent protection obtained is not sufficiently broad, our competitors could develop and commercialize technology and drugs similar or identical to ours, and our ability to successfully commercialize our technology, AZSTARYS, APADAZ, or our product candidates, if approved, may be impaired.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depends in large part on our ability to obtain and maintain trade secret protection of our proprietary LAT platform technology as well as patent protection in the United States and other countries with respect to AZSTARYS, APADAZ, and any of our product candidates. We seek to protect our proprietary position by filing patent applications in the United States and abroad related to our product technology and product candidates. As part of the KP415 License Agreement, Commave obtained from us an exclusive, worldwide license to certain patents that cover AZSTARYS and KP484. In addition, as part of the APADAZ License Agreement, KVK obtained from us an exclusive license to certain patents that cover APADAZ.</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4" w:lineRule="exact"/>
        <w:rPr>
          <w:sz w:val="20"/>
          <w:szCs w:val="20"/>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4"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acquire patent term extensions or supplemental certificates of certain patents, domestic or foreign, due to regulatory delays, among others, which may affect the term of enforceability of such patents over time;</w:t>
      </w:r>
    </w:p>
    <w:p>
      <w:pPr>
        <w:spacing w:after="0" w:line="170"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1"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70"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70"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81"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23" w:lineRule="exact"/>
        <w:rPr>
          <w:rFonts w:ascii="Arial" w:cs="Arial" w:eastAsia="Arial" w:hAnsi="Arial"/>
          <w:sz w:val="18"/>
          <w:szCs w:val="18"/>
          <w:color w:val="auto"/>
        </w:rPr>
      </w:pPr>
    </w:p>
    <w:p>
      <w:pPr>
        <w:jc w:val="both"/>
        <w:ind w:left="460" w:hanging="223"/>
        <w:spacing w:after="0" w:line="27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assurance can be given that our patents would be declared by a court or tribunal, domestic or foreign, to be valid or enforceable or that a competitor’s technology or product would be found by a court or tribunal,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71" w:lineRule="exact"/>
        <w:rPr>
          <w:rFonts w:ascii="Arial" w:cs="Arial" w:eastAsia="Arial" w:hAnsi="Arial"/>
          <w:sz w:val="17"/>
          <w:szCs w:val="17"/>
          <w:color w:val="auto"/>
        </w:rPr>
      </w:pPr>
    </w:p>
    <w:p>
      <w:pPr>
        <w:jc w:val="both"/>
        <w:ind w:left="460" w:hanging="223"/>
        <w:spacing w:after="0" w:line="26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1"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dominating or intervening patents relevant to our product candidates of which we are not aware;</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70" w:lineRule="exact"/>
        <w:rPr>
          <w:rFonts w:ascii="Arial" w:cs="Arial" w:eastAsia="Arial" w:hAnsi="Arial"/>
          <w:sz w:val="18"/>
          <w:szCs w:val="18"/>
          <w:color w:val="auto"/>
        </w:rPr>
      </w:pPr>
    </w:p>
    <w:p>
      <w:pPr>
        <w:ind w:left="460" w:hanging="223"/>
        <w:spacing w:after="0" w:line="30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48" w:lineRule="exact"/>
        <w:rPr>
          <w:rFonts w:ascii="Arial" w:cs="Arial" w:eastAsia="Arial" w:hAnsi="Arial"/>
          <w:sz w:val="17"/>
          <w:szCs w:val="17"/>
          <w:color w:val="auto"/>
        </w:rPr>
      </w:pPr>
    </w:p>
    <w:p>
      <w:pPr>
        <w:ind w:left="460" w:hanging="223"/>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a third party may misappropriate or reverse engineer our proprietary LAT platform technology, which could limit our ability to stop others from using or commercializing similar or identical technology and resultant product candidates, product technology or prodrugs, or limit the duration of the trade secret protection of our proprietary LAT platform technology.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alter or diminish the value of patents in general, thereby impairing our ability to protect our products and technologies.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standards that the USPTO and patent offices in other countries use to grant patents are not always applied predictably or uniformly and can change. Changes in either the patent laws or interpretation of the patent laws in the United States and other countries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Arial" w:cs="Arial" w:eastAsia="Arial" w:hAnsi="Arial"/>
          <w:sz w:val="17"/>
          <w:szCs w:val="17"/>
          <w:i w:val="1"/>
          <w:iCs w:val="1"/>
          <w:color w:val="auto"/>
        </w:rPr>
        <w:t>Assoc. for Molecular Pathology v. Myriad Genetics, Inc.</w:t>
      </w:r>
      <w:r>
        <w:rPr>
          <w:rFonts w:ascii="Arial" w:cs="Arial" w:eastAsia="Arial" w:hAnsi="Arial"/>
          <w:sz w:val="17"/>
          <w:szCs w:val="17"/>
          <w:color w:val="auto"/>
        </w:rPr>
        <w:t>, the United States Supreme Court held that certain claims to DNA molecules are not patentable.</w:t>
      </w:r>
      <w:r>
        <w:rPr>
          <w:rFonts w:ascii="Arial" w:cs="Arial" w:eastAsia="Arial" w:hAnsi="Arial"/>
          <w:sz w:val="17"/>
          <w:szCs w:val="17"/>
          <w:i w:val="1"/>
          <w:iCs w:val="1"/>
          <w:color w:val="auto"/>
        </w:rPr>
        <w:t xml:space="preserve"> </w:t>
      </w:r>
      <w:r>
        <w:rPr>
          <w:rFonts w:ascii="Arial" w:cs="Arial" w:eastAsia="Arial" w:hAnsi="Arial"/>
          <w:sz w:val="17"/>
          <w:szCs w:val="17"/>
          <w:color w:val="auto"/>
        </w:rPr>
        <w:t>While we do not believe that any of the patents owned or licensed by us will be found invalid based on this decision, future decisions by the courts, the United States Congress or the USPTO may impact the value of our patents.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another example, 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Competitors or other third parties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and technologies.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scope of our intellectual property may be reduced or may need to be reduced due to third-party intellectual property claims.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Furthermore, recent changes in U.S. patent law under the Leahy-Smith Act allow for post-issuance challenges to U.S. patents, including ex parte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nullity proceedings that can result in changes in scope or cancellation of patent claims.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to rely on trademarks as one means to distinguish our product candidates that are approved for marketing from the products of our competitors. We have registered trademarks for LAT and KemPharm. In addition, we have solicited and applied for trademarks for the KemPharm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Patents are of national or regional effect, and filing, prosecuting and defending patents on all of our products and technologies throughout the world would be prohibitively expensive.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These products may compete with our products and technologies, and our patents or other intellectual property rights may not be effective or sufficient to prevent them from competing.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Proceedings to enforce our patent rights in other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such lawsuits that we initiate and the damages and other remedies awarded, if any, may not be commercially meaningful. Similarly, if our trade secrets are disclosed in another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intellectual property laws of other countries.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Arial" w:cs="Arial" w:eastAsia="Arial" w:hAnsi="Arial"/>
          <w:sz w:val="18"/>
          <w:szCs w:val="18"/>
          <w:color w:val="auto"/>
        </w:rPr>
        <w:t>’</w:t>
      </w:r>
      <w:r>
        <w:rPr>
          <w:rFonts w:ascii="Arial" w:cs="Arial" w:eastAsia="Arial" w:hAnsi="Arial"/>
          <w:sz w:val="18"/>
          <w:szCs w:val="18"/>
          <w:b w:val="1"/>
          <w:bCs w:val="1"/>
          <w:i w:val="1"/>
          <w:iCs w:val="1"/>
          <w:color w:val="auto"/>
        </w:rPr>
        <w:t>s approval of such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Partnered Products and Product Candidates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if approved, we may not be successful in commercializing any approved product candidate in the United States.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KP415 License Agreement to establish a collaboration for the commercialization of AZSTARYS and any of our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4" w:lineRule="exact"/>
        <w:rPr>
          <w:sz w:val="20"/>
          <w:szCs w:val="20"/>
          <w:color w:val="auto"/>
        </w:rPr>
      </w:pPr>
    </w:p>
    <w:p>
      <w:pPr>
        <w:ind w:left="460" w:hanging="223"/>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access government and commercial health plan formularies or secure preferred coverage and adequate reimbursement levels;</w:t>
      </w:r>
    </w:p>
    <w:p>
      <w:pPr>
        <w:spacing w:after="0" w:line="235" w:lineRule="exact"/>
        <w:rPr>
          <w:rFonts w:ascii="Arial" w:cs="Arial" w:eastAsia="Arial" w:hAnsi="Arial"/>
          <w:sz w:val="17"/>
          <w:szCs w:val="17"/>
          <w:color w:val="auto"/>
        </w:rPr>
      </w:pPr>
    </w:p>
    <w:p>
      <w:pPr>
        <w:ind w:left="460" w:hanging="223"/>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46" w:lineRule="exact"/>
        <w:rPr>
          <w:rFonts w:ascii="Arial" w:cs="Arial" w:eastAsia="Arial" w:hAnsi="Arial"/>
          <w:sz w:val="16"/>
          <w:szCs w:val="16"/>
          <w:color w:val="auto"/>
        </w:rPr>
      </w:pPr>
    </w:p>
    <w:p>
      <w:pPr>
        <w:ind w:left="460" w:right="200" w:hanging="223"/>
        <w:spacing w:after="0" w:line="27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23"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For instance, under the KP415 License Agreement we are entitled to receive quarterly, tiered royalty payments ranging from a percentage in the high single digits to the mid-twenties of Net Sales (as defined in the KP415 License Agreement) in the United States and a percentage in the low to mid-single digits of Net Sales in each country outside of the U.S., in each case subject to specified reductions under certain conditions as described in the KP415 License Agreement, as well as sales milestones based on specified sales targets. In addition, we may not be successful in entering into arrangements with third parties to sell, market and distribute our product candidates in the future, or may be unable to do so on terms that are favorable to us. Further, under the APADAZ License Agreement, we and KVK will share the quarterly net profits of APADAZ by KVK in the United States at specified tiered percentages, with the portion we receive ranging from 30% to 50% of net profits. As a result, we will be entitled to a smaller portion of the net profits of any sales of APADAZ in the United States than if we had decided to sell, market and distribute APADAZ ourselves. We likely will have little control over such third parties, including Commave and KVK, and any of them may fail to devote the necessary resources and attention to sell and market AZSTARYS, APADAZ, or any of our product candidates, if approved, effectively. Further, we may be liable for conduct of third parties, including Commave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AZSTARYS, APADAZ, or any of our product candidates, if approved.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AZSTARYS, APADAZ, or any of our product candidates that may receive marketing approval, may fail to achieve the degree of market acceptance by physicians, patients, third-party payors and others in the medical community necessary for commercial success.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AZSTARYS, APADAZ, or any of our product candidates that may receive marketing approval, may fail to gain sufficient market acceptance by physicians, patients, third-party payors and others in the medical community. Despite the fact that APADAZ is now nationally available, we cannot guarantee that it will receive significant, if any, market acceptance in the United States. If AZSTARYS, APADAZ, or any of our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AZSTARYS, APADAZ, or any of our product candidates if approved for commercial sale, will depend on a number of factors, including:</w:t>
      </w:r>
    </w:p>
    <w:p>
      <w:pPr>
        <w:spacing w:after="0" w:line="185" w:lineRule="exact"/>
        <w:rPr>
          <w:sz w:val="20"/>
          <w:szCs w:val="20"/>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most of our product candidates;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3" w:lineRule="exact"/>
        <w:rPr>
          <w:rFonts w:ascii="Arial" w:cs="Arial" w:eastAsia="Arial" w:hAnsi="Arial"/>
          <w:sz w:val="18"/>
          <w:szCs w:val="18"/>
          <w:color w:val="auto"/>
        </w:rPr>
      </w:pPr>
    </w:p>
    <w:p>
      <w:pPr>
        <w:ind w:left="460" w:hanging="223"/>
        <w:spacing w:after="0" w:line="30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steps that prescribers and dispensers must take, since AZSTARYS and APADAZ are, and we expect that most of our product candidates are likely going to be considered controlled substances, as well as the perceived risks based upon their controlled substance status;</w:t>
      </w:r>
    </w:p>
    <w:p>
      <w:pPr>
        <w:spacing w:after="0" w:line="148" w:lineRule="exact"/>
        <w:rPr>
          <w:rFonts w:ascii="Arial" w:cs="Arial" w:eastAsia="Arial" w:hAnsi="Arial"/>
          <w:sz w:val="17"/>
          <w:szCs w:val="17"/>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restrictions on the use, sale or distribution of AZSTARYS, APADAZ, or any of our product candidates, including through REMS; and</w:t>
      </w:r>
    </w:p>
    <w:p>
      <w:pPr>
        <w:spacing w:after="0" w:line="235" w:lineRule="exact"/>
        <w:rPr>
          <w:rFonts w:ascii="Arial" w:cs="Arial" w:eastAsia="Arial" w:hAnsi="Arial"/>
          <w:sz w:val="17"/>
          <w:szCs w:val="17"/>
          <w:color w:val="auto"/>
        </w:rPr>
      </w:pPr>
    </w:p>
    <w:p>
      <w:pPr>
        <w:ind w:left="460" w:hanging="223"/>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AZSTARYS currently competes against, and, if approved, we intend for KP484 to compete against, currently marketed, branded and generic methylphenidate products for the treatment of ADHD. Some of these currently marketed products include Janssen’s CONCERTA, Supernus' QUELBREE,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APADAZ competes against currently marketed, branded and generic hydrocodone/APAP products for short-term (no more than 14 days) management of acute pain severe enough to require an opioid analgesic and for which alternative treatments are inadequate. In addition, APADAZ may face potential competition from any other hydrocodone/APAP products for short-term (no more than 14 days) management of acute pain severe enough to require an opioid analgesic and for which alternative treatments are inadequate that are currently in or which may enter into clinical development.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approved, we intend for KP1077 to compete against Jazz Pharmaceuticals’ XYWAV, and potentially with other products that are currently in development for the treatment of IH, including Harmony Biosciences’ WAKIX. KP1077 could face potential competition from any products for the treatment of IH that are currently in or which may enter into clinical development.</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either five-year FDA regulatory exclusivity as a new chemical entity or three-year FDA regulatory exclusivity.</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Even if we or our collaborators are able to commercialize AZSTARYS, APADAZ, or any of our product candidates, if approved, they may be subject to unfavorable pricing regulations, third-party coverage and reimbursement policies.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successful commercialization of AZSTARYS, APADAZ, and any of our product candidates for which marketing approval is obtained will depend, in part, on the extent to which coverage and adequate reimbursement for AZSTARYS, APADAZ, or any of our product candidates for which marketing approval is obtained,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AZSTARYS, APADAZ, or any of our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AZSTARYS under the KP415 License Agreement, APADAZ under the APADAZ License Agreement, or commercialize any of our product candidates for which marketing approval is obtained.</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can be no assurance that AZSTARYS, APADAZ, or any of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AZSTARYS under the KP415 License Agreement , APADAZ under the APADAZ License Agreement, or our ability to sell any of any of our product candidates profitably if they are approved for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 our promotional materials, statements and training methods must comply with the FDA’s prohibition of the promotion of unapproved, or off-label, use. Any regulatory approval that the FDA grants is limited to those specific diseases and indications for which a product is deemed to be safe and effective by FDA. For example, the FDA-approved label for AZSTARYS is limited to the acute treatment of ADHD in patients 6 years of age and older, and the FDA-approved label for APADAZ is limited to the short-term (no more than 14 days) management of acute pain severe enough to require an opioid analgesic and for which alternative treatments are inadequate.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AZSTARYS, APADAZ, or any of our product candidates that we may develop.</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as AZSTARYS, APADAZ, and any of our product candidates that may be approved in the future, are commercialized. This includes the risk that our products may be misused. For example, AZSTARYS and APADAZ do, and we anticipate that any of our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61" w:lineRule="exact"/>
        <w:rPr>
          <w:sz w:val="20"/>
          <w:szCs w:val="20"/>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AZSTARYS, APADAZ, and any of our product candidates that we may develop;</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successfully commercialize AZSTARYS, APADAZ, or any of our product candidates that might be approved in the future.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4" w:lineRule="exact"/>
        <w:rPr>
          <w:sz w:val="20"/>
          <w:szCs w:val="20"/>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4"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labor shortages, supply chain shortages, or other economic or political uncertainties or instability in particular foreign economies and markets;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4"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and clinical trial participant data; and</w:t>
      </w:r>
    </w:p>
    <w:p>
      <w:pPr>
        <w:spacing w:after="0" w:line="224"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AZSTARYS, APADAZ, and any of our other product candidates from being marketed abroad.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marketing AZSTARYS and any of our product candidates internationally, if approved, could affect our business.</w:t>
      </w:r>
    </w:p>
    <w:p>
      <w:pPr>
        <w:spacing w:after="0" w:line="24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may seek regulatory approval for AZSTARYS and any of our product candidates, if approved, outside of the United States and, accordingly, we expect that we will be subject to additional risks related to operating in foreign countries if we obtain the necessary approvals, including:</w:t>
      </w:r>
    </w:p>
    <w:p>
      <w:pPr>
        <w:spacing w:after="0" w:line="148" w:lineRule="exact"/>
        <w:rPr>
          <w:sz w:val="20"/>
          <w:szCs w:val="20"/>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4"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labor shortages, supply chain shortages, or other economic or political uncertainties or instability in particular foreign economies and markets;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such as the current situation with Ukraine and Russia.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AZSTARYS and APADAZ are, and any of our product candidates for which we obtain marketing approval will remain subject to significant post-marketing regulatory requirements and oversight.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AZSTARYS and APADAZ are, and any of our product candidates for which we obtain marketing approval could be, subject to significant post-marketing regulatory requirements and oversight, including the submission of reports to regulatory authorities and surveillance to monitor the safety and efficacy of the product, significant limitations related to use restrictions for specified age groups, warnings, precautions or contraindications, and burdensome post-approval study or risk management requirements.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example, we are required to conduct pediatric studies related to AZSTARYS to evaluate its safety and effectiveness for the claimed indication in pediatric patients. Under the KP415 License Agreement, Commave will be responsible for these regulatory activities going forward, and we cannot guarantee they will be complied with. In addition, we are required to conduct pediatric studies related to APADAZ to evaluate its safety and effectiveness for the claimed indication in pediatric patients. Under the APADAZ License Agreement, KVK will be responsible for these regulatory activities going forward, and we cannot guarantee they will be complied with.</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manufacturing processes, labeling, packaging, distribution, adverse event reporting, storage, advertising, promotion, import, export and recordkeeping for any approved drugs are subject to extensive and ongoing regulatory requirements.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AZSTARYS and APADAZ are, and if marketing approval of any of our product candidates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Products may be approved with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the labels for both AZSTARYS and APADAZ contain black box warnings regarding the risks of abuse and dependence, and the label for APADAZ also includes warnings regarding the risks of hepatoxicity and respiratory depression, among others.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0" w:lineRule="exact"/>
        <w:rPr>
          <w:sz w:val="20"/>
          <w:szCs w:val="20"/>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warnings or other restrictions on the product’s indicated use, label, or marketing;</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89" w:lineRule="exact"/>
        <w:rPr>
          <w:rFonts w:ascii="Arial" w:cs="Arial" w:eastAsia="Arial" w:hAnsi="Arial"/>
          <w:sz w:val="17"/>
          <w:szCs w:val="17"/>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77"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19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 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 In addition, the FDA’s and other regulatory authorities’ policies may change, and additional government regulations may be enacted that could impair our business.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and third-party payors in the United States and elsewhere play a primary role in the recommendation and prescription of our products, as well as any product candidates for which we obtain marketing approval. Our and our commercial partners'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and our commercial partners sell, market and distribute any product candidates for which we obtain marketing approval. In addition, we may be subject to transparency laws with respect to drug pricing and transfers of value made to physicians and other healthcare professionals. The applicable federal, state and foreign healthcare laws that may affect our ability to operate include the following:</w:t>
      </w:r>
    </w:p>
    <w:p>
      <w:pPr>
        <w:spacing w:after="0" w:line="162" w:lineRule="exact"/>
        <w:rPr>
          <w:sz w:val="20"/>
          <w:szCs w:val="20"/>
          <w:color w:val="auto"/>
        </w:rPr>
      </w:pPr>
    </w:p>
    <w:p>
      <w:pPr>
        <w:jc w:val="both"/>
        <w:ind w:left="460" w:hanging="223"/>
        <w:spacing w:after="0" w:line="27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 A person or entity does not need to have actual knowledge of this statute or specific intent to violate it in order to have committed a violation;</w:t>
      </w:r>
    </w:p>
    <w:p>
      <w:pPr>
        <w:spacing w:after="0" w:line="199" w:lineRule="exact"/>
        <w:rPr>
          <w:rFonts w:ascii="Arial" w:cs="Arial" w:eastAsia="Arial" w:hAnsi="Arial"/>
          <w:sz w:val="17"/>
          <w:szCs w:val="17"/>
          <w:color w:val="auto"/>
        </w:rPr>
      </w:pPr>
    </w:p>
    <w:p>
      <w:pPr>
        <w:jc w:val="both"/>
        <w:ind w:left="460" w:hanging="223"/>
        <w:spacing w:after="0" w:line="293"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87" w:lineRule="exact"/>
        <w:rPr>
          <w:rFonts w:ascii="Arial" w:cs="Arial" w:eastAsia="Arial" w:hAnsi="Arial"/>
          <w:sz w:val="16"/>
          <w:szCs w:val="16"/>
          <w:color w:val="auto"/>
        </w:rPr>
      </w:pPr>
    </w:p>
    <w:p>
      <w:pPr>
        <w:jc w:val="both"/>
        <w:ind w:left="460" w:hanging="223"/>
        <w:spacing w:after="0" w:line="26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8" w:lineRule="exact"/>
        <w:rPr>
          <w:rFonts w:ascii="Arial" w:cs="Arial" w:eastAsia="Arial" w:hAnsi="Arial"/>
          <w:sz w:val="18"/>
          <w:szCs w:val="18"/>
          <w:color w:val="auto"/>
        </w:rPr>
      </w:pPr>
    </w:p>
    <w:p>
      <w:pPr>
        <w:jc w:val="both"/>
        <w:ind w:left="460" w:hanging="223"/>
        <w:spacing w:after="0" w:line="270"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this statute or specific intent to violate it in order to have committed a violation;</w:t>
      </w:r>
    </w:p>
    <w:p>
      <w:pPr>
        <w:spacing w:after="0" w:line="207" w:lineRule="exact"/>
        <w:rPr>
          <w:rFonts w:ascii="Arial" w:cs="Arial" w:eastAsia="Arial" w:hAnsi="Arial"/>
          <w:sz w:val="17"/>
          <w:szCs w:val="17"/>
          <w:color w:val="auto"/>
        </w:rPr>
      </w:pPr>
    </w:p>
    <w:p>
      <w:pPr>
        <w:jc w:val="both"/>
        <w:ind w:left="460" w:hanging="223"/>
        <w:spacing w:after="0" w:line="271"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impose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certain other healthcare professionals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certain ownership and investment interests held by physicians and their immediate family members;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left="460" w:hanging="223"/>
        <w:spacing w:after="0" w:line="29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certain state laws which require drug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certain state laws that require manufacturers to report information on the pricing of certain drug products; and certain state and local laws require the registration or pharmaceutical sales representatives.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These laws may affect our and our commercial partners' sales, marketing, and other promotional activities by imposing administrative and compliance burdens on us and our commercial partners.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79"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our product candidates and increase the cost to commercialize AZSTARYS, APADAZ, and any of our product candidates that may be approved in the future and affect the prices thereof.</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AZSTARYS under the KP415 License Agreement or APADAZ under the APADAZ License Agreement and our ability to profitably sell any of our product candidates for which we obtain marketing approval.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signed into law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4" w:lineRule="exact"/>
        <w:rPr>
          <w:sz w:val="20"/>
          <w:szCs w:val="20"/>
          <w:color w:val="auto"/>
        </w:rPr>
      </w:pPr>
    </w:p>
    <w:p>
      <w:pPr>
        <w:ind w:left="660" w:hanging="329"/>
        <w:spacing w:after="0" w:line="27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97"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97"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197"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jc w:val="both"/>
        <w:ind w:left="660" w:hanging="329"/>
        <w:spacing w:after="0" w:line="28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92" w:lineRule="exact"/>
        <w:rPr>
          <w:rFonts w:ascii="Arial" w:cs="Arial" w:eastAsia="Arial" w:hAnsi="Arial"/>
          <w:sz w:val="17"/>
          <w:szCs w:val="17"/>
          <w:color w:val="auto"/>
        </w:rPr>
      </w:pPr>
    </w:p>
    <w:p>
      <w:pPr>
        <w:jc w:val="both"/>
        <w:ind w:left="660" w:hanging="329"/>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208" w:lineRule="exact"/>
        <w:rPr>
          <w:rFonts w:ascii="Arial" w:cs="Arial" w:eastAsia="Arial" w:hAnsi="Arial"/>
          <w:sz w:val="18"/>
          <w:szCs w:val="18"/>
          <w:color w:val="auto"/>
        </w:rPr>
      </w:pPr>
    </w:p>
    <w:p>
      <w:pPr>
        <w:jc w:val="both"/>
        <w:ind w:left="660" w:hanging="329"/>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208" w:lineRule="exact"/>
        <w:rPr>
          <w:rFonts w:ascii="Arial" w:cs="Arial" w:eastAsia="Arial" w:hAnsi="Arial"/>
          <w:sz w:val="18"/>
          <w:szCs w:val="18"/>
          <w:color w:val="auto"/>
        </w:rPr>
      </w:pPr>
    </w:p>
    <w:p>
      <w:pPr>
        <w:ind w:left="660" w:hanging="3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77" w:lineRule="exact"/>
        <w:rPr>
          <w:rFonts w:ascii="Arial" w:cs="Arial" w:eastAsia="Arial" w:hAnsi="Arial"/>
          <w:sz w:val="18"/>
          <w:szCs w:val="18"/>
          <w:color w:val="auto"/>
        </w:rPr>
      </w:pPr>
    </w:p>
    <w:p>
      <w:pPr>
        <w:ind w:left="660" w:hanging="3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77" w:lineRule="exact"/>
        <w:rPr>
          <w:rFonts w:ascii="Arial" w:cs="Arial" w:eastAsia="Arial" w:hAnsi="Arial"/>
          <w:sz w:val="18"/>
          <w:szCs w:val="18"/>
          <w:color w:val="auto"/>
        </w:rPr>
      </w:pPr>
    </w:p>
    <w:p>
      <w:pPr>
        <w:ind w:left="660" w:hanging="3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77"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ACA was enacted. In August 2011, the Budget Control Act of 2011, among other things, included aggregate reductions to Medicare payments to providers of 2% per fiscal year, which went into effect in April 2013, and, due to subsequent legislative amendments, will stay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Despite the implementation of security measures, our information technology systems and data, and those of our CROs and other third parties on which we rely, are vulnerable to system failure, interruption, compromise or damage from several sources, such as data corruption; breakdown; malicious human acts;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(such as the current situation with Ukraine and Russia); and telecommunication and electrical failures.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Attacks upon information technology systems are also increasing in their levels of persistence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We may also experience security breaches that may remain undetected for an extended period.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service providers, partners, or other relevant third parties have experienced, or in the future experience, any security incident(s) that result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Regulation of data (including personal data)is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numerous federal and state laws and regulations govern the collection, use, disclosure, and protection of health-related and other personal information.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For example, the CCPA became effective on January 1, 2020. The CCPA gives California residents individual privacy rights, including the right to access and delete their personal information, opt out of certain personal information sharing and receive detailed information about how their personal information is used. It also provides for civil penalties for violations, as well as a private right of action and statutory damages for data breaches that is expected to increase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Further, it is anticipated that the CCPA will be expanded on January 1, 2023, when the CPRA becomes operative. The CPRA will, among other things, give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Similar laws have passed in Virginia and Colorado, and have been proposed in other states and at the federal level, reflecting a trend toward more stringent privacy legislation in the United States. As we expand our operations, these and similar laws may increase our compliance costs and potential liability.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Foreign data protection laws, such as the GDPR and member state data protection laws, may also apply to health-related and other personal data that we process, including personal data relating to clinical trial participants. European data protection laws impose strict obligations on the ability to process health-related and other personal data of data subjects in Europe, including standards relating to the privacy and security of personal data. For example,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A decision by the Court of Justice of the European Union limited how organizations could lawfully transfer personal data from the European Union/EEA to the United States by invalidating the EU-U.S. Privacy Shield Framework,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Additionally, other countries have passed or are considering passing laws requiring local data residency and/or restricting the international transfer of data.</w:t>
      </w:r>
    </w:p>
    <w:p>
      <w:pPr>
        <w:spacing w:after="0" w:line="3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European data protection laws may affect our use, collection, analysis, and transfer (including cross-border transfer) of such personal data. The relationship between the United Kingdom and the European Union in relation to certain aspects of data protection law remains unclear, and it is unclear how United Kingdom data protection laws and regulations will develop in the medium to longer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Any of these matters could materially adversely affect our business, financial condition, or operational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Travis C. Mickle, Ph.D., our president and chief executive officer, R. LaDuane Clifton, CPA, our chief financial officer, and Sven Guenther, Ph.D., our executive vice president research and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March 29, 2022.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58" w:lineRule="exact"/>
        <w:rPr>
          <w:sz w:val="20"/>
          <w:szCs w:val="20"/>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or trends in our industry, including without limitation changes in the structure of healthcare payment systems;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pharmaceutical industry;</w:t>
      </w:r>
    </w:p>
    <w:p>
      <w:pPr>
        <w:spacing w:after="0" w:line="289" w:lineRule="exact"/>
        <w:rPr>
          <w:rFonts w:ascii="Arial" w:cs="Arial" w:eastAsia="Arial" w:hAnsi="Arial"/>
          <w:sz w:val="17"/>
          <w:szCs w:val="17"/>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regulatory announcements or determinations regarding our product candidates;</w:t>
      </w:r>
    </w:p>
    <w:p>
      <w:pPr>
        <w:spacing w:after="0" w:line="250"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70" w:lineRule="exact"/>
        <w:rPr>
          <w:rFonts w:ascii="Arial" w:cs="Arial" w:eastAsia="Arial" w:hAnsi="Arial"/>
          <w:sz w:val="18"/>
          <w:szCs w:val="18"/>
          <w:color w:val="auto"/>
        </w:rPr>
      </w:pPr>
    </w:p>
    <w:p>
      <w:pPr>
        <w:ind w:left="460" w:hanging="223"/>
        <w:spacing w:after="0"/>
        <w:tabs>
          <w:tab w:leader="none" w:pos="4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global macroeconomic conditions, including inflation, labor shortages, supply chain shortages, or other economic, political</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or legal uncertainties or adverse developments;</w:t>
      </w:r>
    </w:p>
    <w:p>
      <w:pPr>
        <w:spacing w:after="0" w:line="214" w:lineRule="exact"/>
        <w:rPr>
          <w:sz w:val="20"/>
          <w:szCs w:val="20"/>
          <w:color w:val="auto"/>
        </w:rPr>
      </w:pPr>
    </w:p>
    <w:p>
      <w:pPr>
        <w:jc w:val="both"/>
        <w:ind w:left="460" w:hanging="223"/>
        <w:spacing w:after="0" w:line="239" w:lineRule="auto"/>
        <w:tabs>
          <w:tab w:leader="none" w:pos="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political unrest, terrorism and wars, such as the current situation with Ukraine and Russia, which could delay or disrupt our business, and if such political unrest escalates or spills over to or otherwise impacts additional regions it could heighten many of the other risk factors included in this Item 1A;</w:t>
      </w:r>
    </w:p>
    <w:p>
      <w:pPr>
        <w:spacing w:after="0" w:line="213" w:lineRule="exact"/>
        <w:rPr>
          <w:rFonts w:ascii="Arial" w:cs="Arial" w:eastAsia="Arial" w:hAnsi="Arial"/>
          <w:sz w:val="22"/>
          <w:szCs w:val="22"/>
          <w:color w:val="auto"/>
        </w:rPr>
      </w:pPr>
    </w:p>
    <w:p>
      <w:pPr>
        <w:ind w:left="460" w:hanging="223"/>
        <w:spacing w:after="0" w:line="249" w:lineRule="auto"/>
        <w:tabs>
          <w:tab w:leader="none" w:pos="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other events or factors, including those resulting from system failures and disruptions, earthquakes, hurricanes, other natural disasters, pandemics, or responses to these events;</w:t>
      </w:r>
    </w:p>
    <w:p>
      <w:pPr>
        <w:spacing w:after="0" w:line="209" w:lineRule="exact"/>
        <w:rPr>
          <w:rFonts w:ascii="Arial" w:cs="Arial" w:eastAsia="Arial" w:hAnsi="Arial"/>
          <w:sz w:val="22"/>
          <w:szCs w:val="22"/>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the factors described above are not within our control. For instance, in May 2016, we announced that the Anesthetic and Analgesic Drug Products Advisory Committee and the Drug Safety and Risk Management Advisory Committee of the FDA voted 16 to 4 for the approval of APADAZ but voted 18 to 2 against inclusion of abuse-deterrent labeling for APADAZ. The announcement was followed by a substantial decrease in the trading price of our common stock on Nasdaq. Additionally, when we announced in June 2016 that the FDA had issued a CRL for the APADAZ NDA, the trading price of our common stock on Nasdaq was subject to another substantial decrease. We cannot guarantee that future announcements will not have similar effects on the trading price of our common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U.S. Securities and Exchange Commission, or the SEC, in support of the offering. In June 2018, the case was dismissed without prejudice to members of the putative class. Future litigation could cause us to incur substantial costs and divert management’s attention and resources from our business. Further,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outstanding warrants are entitled to certain anti-dilution protections which, if triggered, may cause dilution to your investment.</w:t>
      </w:r>
    </w:p>
    <w:p>
      <w:pPr>
        <w:spacing w:after="0" w:line="2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Deerfield Warrant includes an exercise price protection provision, pursuant to which the exercise price of the Deerfield Warrant will be adjusted downward on a broad-based weighted-average basis if we issue or sell any shares of common stock, convertible securities, warrants or options at a sale or exercise price per share less than the greater of (i) $38.34 per share, which represents the Deerfield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Deerfield Warrant will be adjusted downward pursuant to this anti-dilution adjustment only if such sales are made at a price less than $38.34 per share, provided that this anti-dilution adjustment will not apply to certain specified sales. For example, in June 2021, we entered into the June 2021 Inducement Letters with certain holders of the January 2021 Inducement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completion of this transaction resulted in the exercise price of the Deerfield Warrant being adjusted downward to $38.34 per share from its pre-transaction exercise price of $46.25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8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instance, in January 2021, we issued and sold 6,765,463 shares of our common stock, pre-funded warrants to purchase 926,844 shares of our common stock and warrants to purchase 7,692,307 shares of our common stock at an exercise price per share of $6.50 in the Public Offering (as defined herein).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in January 2021, we entered into the January 2021 Inducement Letters with certain holders of the Existing Warrants, pursuant to which such holders exercised for cash their Existing Warrants to purchase 6,620,358 shares of our common stock in exchange for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had an exercise price of $6.36 per share.</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June 2021, we entered into the June 2021 Inducement Letters with certain holders of the January 2021 Inducement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the holders of any of these warrants elect to exercise such warrants and receive shares of common stock, your ownership interest will be diluted and the market price of our common stock may be materially and adversely effected.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2021, at the annual meeting of stockholders, the stockholders approved the Amended and Restated 2014 Equity Incentive Plan, which, among other things, added 4,900,000 shares to the equity plan pool, and the employee stock purchase plan, or the 2021 ESPP, which allows for employees to purchase up to 1.5 million shares of stock through the plan. In addition, in July 2021, the Company entered into the Equity Distribution Agreement with JMP Securities LLC, or JMP, and RBC Capital Markets, LLC, or RBCCM, under which the Company may offer and sell, from time to time at its sole discretion, shares of its common stock having an aggregate offering price of up to $75,000,000 through JMP and RBCCM as its sales agents.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either through the 2021 ESPP, Equity Distribution Agreement or through other means, our stockholders may experience additional dilution, which could cause our stock price to fall.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Deerfield Warrant and certain other warrants issued could have a material effect on our reported financial results.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Deerfield Warrant and certain other warrants we issued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results of operations.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73" w:lineRule="exact"/>
        <w:rPr>
          <w:sz w:val="20"/>
          <w:szCs w:val="20"/>
          <w:color w:val="auto"/>
        </w:rPr>
      </w:pPr>
    </w:p>
    <w:p>
      <w:pPr>
        <w:ind w:left="460" w:hanging="223"/>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300" w:lineRule="exact"/>
        <w:rPr>
          <w:rFonts w:ascii="Arial" w:cs="Arial" w:eastAsia="Arial" w:hAnsi="Arial"/>
          <w:sz w:val="16"/>
          <w:szCs w:val="16"/>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300" w:lineRule="exact"/>
        <w:rPr>
          <w:rFonts w:ascii="Arial" w:cs="Arial" w:eastAsia="Arial" w:hAnsi="Arial"/>
          <w:sz w:val="16"/>
          <w:szCs w:val="16"/>
          <w:color w:val="auto"/>
        </w:rPr>
      </w:pPr>
    </w:p>
    <w:p>
      <w:pPr>
        <w:ind w:left="460" w:hanging="223"/>
        <w:spacing w:after="0" w:line="27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300" w:lineRule="exact"/>
        <w:rPr>
          <w:rFonts w:ascii="Arial" w:cs="Arial" w:eastAsia="Arial" w:hAnsi="Arial"/>
          <w:sz w:val="16"/>
          <w:szCs w:val="16"/>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77" w:lineRule="exact"/>
        <w:rPr>
          <w:rFonts w:ascii="Arial" w:cs="Arial" w:eastAsia="Arial" w:hAnsi="Arial"/>
          <w:sz w:val="18"/>
          <w:szCs w:val="18"/>
          <w:color w:val="auto"/>
        </w:rPr>
      </w:pPr>
    </w:p>
    <w:p>
      <w:pPr>
        <w:ind w:left="460" w:hanging="223"/>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 ch prohibits a Delaware corporation from engaging in a broad range of business combinations with any “interested” stockholder for a period of three years following the date on which the stockholder became an “interested” stockholder.</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provisions of our termination agreement with Aquestive and the Deerfield Warrant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KP484, KP879 or KP1077.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A takeover of us may trigger the requirement that we repurchase the Deerfield Warrant, which could make it more costly for a potential acquirer to engage in a business combination transaction with us.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December 31, 2021, we had federal net operating loss carryforwards of approximately $233.3 million, due to prior period losses, $138.1 million of which, if not utilized, will begin to expire in 2027. These net operating loss carryforwards could expire unused and be unavailable to offset future income tax liabilities, which could adversely affect our profitability. These federal net operating loss carryforwards are fully reserved under a valuation allowance in the balance sheet as of December 31, 2021.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ownership changes in the future, as a result of shifts in our stock ownership, including as a result of the conversion of our outstanding convertible debt or as a result of changes in our stock ownership. If we determine that an ownership change has occurred and our ability to use our historical net operating loss carryforwards is materially limited, it would harm our future operating results by increasing our future tax obligations. As of December 31, 2021, we maintain a full valuation allowance over our deferred tax assets for financial reporting purposes.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 The U.S. presidential administration and members of the U.S. Congress have proposed significant changes in U.S. federal income tax law, regulation and government policy within the United States, which could affect us and our business. For example, these proposals include significant changes to the U.S. federal income taxation of business entities including, among others, the imposition of minimum taxes or surtaxes on certain types of income. These proposals are being considered by the U.S. Congress, but the likelihood of these or other changes being enacted or implemented is unclear. We are currently unable to predict whether these or other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 our ability to produce accurate financial statements on a timely basis could be impaired.</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 For our fiscal year ended December 31, 2021, we performed system and process evaluation and testing of our internal control over financial reporting to allow management to report on the effectiveness of our internal control over financial reporting in our Annual Report on Form 10-K, as required by Section 404 of the Sarbanes-Oxley Act. We will be required to perform this evaluation and testing of our internal control over financial reporting to allow management to report on the effectiveness of our internal control over financial reporting on an annual basis. This requires that we incur substantial additional professional fees and internal costs and that we expend significant management efforts on an annual basis. We have and will be required to test our internal control within a specified period, and, as a result, we may experience difficulty in meeting these reporting requirements.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1B.</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2021, we occupied approximately 17,000 square feet of headquarters office space in Celebration, Florida, comprised of two contiguous office suites, under a non-cancelable lease agreement that expires in August 2025 and February 2026, respectively. One such office suite, which is approximately 6,300 square feet and has an expiration date of February 2026, is subleased to a third party. We have the right to extend the term of the lease for two successive five-year terms upon expiration. In addition, we occupy leased laboratory space in Coralville, Iowa and Blacksburg, Virginia and leased office space in Chapel Hill, North Carolina. We believe that our facilities are adequate for our current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4" w:lineRule="exact"/>
        <w:rPr>
          <w:sz w:val="20"/>
          <w:szCs w:val="20"/>
          <w:color w:val="auto"/>
        </w:rPr>
      </w:pPr>
    </w:p>
    <w:p>
      <w:pPr>
        <w:jc w:val="both"/>
        <w:ind w:left="700" w:hanging="686"/>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On October 19, 2021, our common stock began trading on the Nasdaq Global Select Market under the ticker symbol "KMPH". Prior to that date, our common stock was listed on the Nasdaq Capital Market under the ticker symbol "KMPH".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December 31, 2021, there were approximately 104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securities authorized for issuance under equity compensation plans is included in Part III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8"/>
              </w:rPr>
              <w:t>Average Price</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80" w:type="dxa"/>
            <w:vAlign w:val="bottom"/>
          </w:tcPr>
          <w:p>
            <w:pPr>
              <w:spacing w:after="0"/>
              <w:rPr>
                <w:sz w:val="20"/>
                <w:szCs w:val="20"/>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Paid per Share</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line="233" w:lineRule="exact"/>
              <w:rPr>
                <w:sz w:val="20"/>
                <w:szCs w:val="20"/>
                <w:color w:val="auto"/>
              </w:rPr>
            </w:pPr>
            <w:r>
              <w:rPr>
                <w:rFonts w:ascii="Arial" w:cs="Arial" w:eastAsia="Arial" w:hAnsi="Arial"/>
                <w:sz w:val="17"/>
                <w:szCs w:val="17"/>
                <w:b w:val="1"/>
                <w:bCs w:val="1"/>
                <w:color w:val="auto"/>
                <w:w w:val="90"/>
              </w:rPr>
              <w:t>Programs</w:t>
            </w:r>
            <w:r>
              <w:rPr>
                <w:rFonts w:ascii="Arial" w:cs="Arial" w:eastAsia="Arial" w:hAnsi="Arial"/>
                <w:sz w:val="27"/>
                <w:szCs w:val="27"/>
                <w:b w:val="1"/>
                <w:bCs w:val="1"/>
                <w:color w:val="auto"/>
                <w:w w:val="90"/>
                <w:vertAlign w:val="superscript"/>
              </w:rPr>
              <w:t>(1)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October 1, 2021 through October 31, 2021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3260" w:type="dxa"/>
            <w:vAlign w:val="bottom"/>
          </w:tcPr>
          <w:p>
            <w:pPr>
              <w:ind w:left="20"/>
              <w:spacing w:after="0" w:line="201" w:lineRule="exact"/>
              <w:rPr>
                <w:sz w:val="20"/>
                <w:szCs w:val="20"/>
                <w:color w:val="auto"/>
              </w:rPr>
            </w:pPr>
            <w:r>
              <w:rPr>
                <w:rFonts w:ascii="Arial" w:cs="Arial" w:eastAsia="Arial" w:hAnsi="Arial"/>
                <w:sz w:val="18"/>
                <w:szCs w:val="18"/>
                <w:color w:val="auto"/>
                <w:w w:val="96"/>
              </w:rPr>
              <w:t>November 1, 2021 through November 30,</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114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3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December 1, 2021 through December 31,</w:t>
            </w:r>
          </w:p>
        </w:tc>
        <w:tc>
          <w:tcPr>
            <w:tcW w:w="80" w:type="dxa"/>
            <w:vAlign w:val="bottom"/>
            <w:vMerge w:val="restart"/>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320,161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vMerge w:val="restart"/>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320,161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47,200,000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320,161</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8.90</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320,161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47,200,000</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both"/>
        <w:ind w:left="1140" w:right="19" w:hanging="9"/>
        <w:spacing w:after="0" w:line="289" w:lineRule="auto"/>
        <w:tabs>
          <w:tab w:leader="none" w:pos="14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December 20, 2021, the Company announced that it had initiated a share repurchase program, or the Share Repurchase Program, pursuant to which the Company may repurchase up to $50 million of shares of its common stock through December 31, 2023.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a specialty pharmaceutical company focused on the discovery and development of treatments for central nervous system, or CNS, and rare disease indications that allow us to target high-value areas with significant unmet needs. Our core competency is the discovery and development of proprietary prodrugs to treat serious medical conditions through our proprietary Ligand Activated Therapy, or LAT</w:t>
      </w:r>
      <w:r>
        <w:rPr>
          <w:rFonts w:ascii="Arial" w:cs="Arial" w:eastAsia="Arial" w:hAnsi="Arial"/>
          <w:sz w:val="26"/>
          <w:szCs w:val="26"/>
          <w:color w:val="auto"/>
          <w:vertAlign w:val="superscript"/>
        </w:rPr>
        <w:t>®</w:t>
      </w:r>
      <w:r>
        <w:rPr>
          <w:rFonts w:ascii="Arial" w:cs="Arial" w:eastAsia="Arial" w:hAnsi="Arial"/>
          <w:sz w:val="16"/>
          <w:szCs w:val="16"/>
          <w:color w:val="auto"/>
        </w:rPr>
        <w:t>, platform technology. We utilize our proprietary LAT platform technology to generate improved prodrug versions of drugs approved by the U.S. Food and Drug Administration, or FDA, as well as to generate prodrug versions of existing compounds that may have applications for new disease indications. Our prodrug product candidate pipeline is currently focused on the high need areas of idiopathic hypersomnia, or IH, and other CNS/rare diseases. Our approved product, AZSTARYS</w:t>
      </w:r>
      <w:r>
        <w:rPr>
          <w:rFonts w:ascii="Arial" w:cs="Arial" w:eastAsia="Arial" w:hAnsi="Arial"/>
          <w:sz w:val="26"/>
          <w:szCs w:val="26"/>
          <w:color w:val="auto"/>
          <w:vertAlign w:val="superscript"/>
        </w:rPr>
        <w:t>®</w:t>
      </w:r>
      <w:r>
        <w:rPr>
          <w:rFonts w:ascii="Arial" w:cs="Arial" w:eastAsia="Arial" w:hAnsi="Arial"/>
          <w:sz w:val="16"/>
          <w:szCs w:val="16"/>
          <w:color w:val="auto"/>
        </w:rPr>
        <w:t>, formerly referred to as KP415, a new once-daily treatment for attention deficit hyperactivity disorder, or ADHD, in patients age six years and older contains our prodrug, serdexmethylphenidate, or SDX. AZSTARYS is being commercialized in the United States by Corium, Inc., or Corium, an affiliate of Gurnet Point Capital, L.P. Our lead clinical development product candidate, KP1077, is based on SDX, our prodrug of d-methlyphenidate, or d-MPH, and is in development for the treatment of IH and narcolepsy. Our prodrug product candidate for the treatment of stimulant use disorder, or SUD, is KP879.</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strategic focus on CNS/rare disease indications guides our business development efforts to expand our development pipeline with the goal of accelerating value creation.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the potential to create incremental long-term value for shareholders. In addition, we believe that a multi-channel development program with several product candidates addressing various CNS/rare disease indications will diversify risk and potentially create an impactful portfolio of commercial-stage products in the future.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our sources of revenues will be through payments arising from our license agreements with Commave Therapeutics SA (formerly known as Boston Pharmaceuticals S.A.), or Commave, an affiliate of Gurnet Point Capital, L.P., and KVK-Tech, Inc., or KVK, our consulting agreement with Corium and through other consulting arrangements and any other future arrangements we might enter into related to one of our product candidates. To date, we have generated revenue from the KP415 License Agreement (as defined below), reimbursement of out-of-pocket third-party costs, and performance of consulting services.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2021, we announced that the FDA approved the New Drug Application, or NDA, for AZSTARYS, a once-daily product for the treatment of ADHD in patients ranging from six years and older. Commave has licensed the commercial rights for AZSTARYS as provided by the KP415 License Agreement,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historically had negative cash flows from operations. Our cash flows provided by (used in) operations for the years ended December 31, 2021, and 2020 were $10.4 million and ($1.9) million,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82" w:lineRule="exact"/>
        <w:rPr>
          <w:sz w:val="20"/>
          <w:szCs w:val="20"/>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Financial Developments</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and February 2021, we undertook a series of transactions to regain our Nasdaq Capital Market listing and improve our balance sheet. These included a reverse stock split, an underwritten public offering, or the Public Offering, a restructuring of our debt and ultimately a payoff of all remaining debt and a transaction in which we induced the holders of some of the warrants we issued in the public offering to exercise those warrants for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 and Nasdaq Relisting</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relist our common stock on the Nasdaq Capital Market, our common stock was required to satisfy the initial listing standards of the Nasdaq Capital Market, which included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January 7, 2021, our common stock was approved for listing on the Nasdaq Capital Market. Our common stock began trading on the Nasdaq Capital Market on January 8, 2021, under the ticker symbol “KMPH”.</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October 19, 2021, our common stock was approved for listing on the Nasdaq Global Select Market. Our common stock began trading on the Nasdaq Global Select Market on that date, under the ticker symbol “KMPH”.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we entered into with our lenders in connection with this debt restructuring, which we refer to as the December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Exchange Agreement, on January 12, 2021, in connection with the closing of our Public Offering, we:</w:t>
      </w:r>
    </w:p>
    <w:p>
      <w:pPr>
        <w:spacing w:after="0" w:line="210" w:lineRule="exact"/>
        <w:rPr>
          <w:sz w:val="20"/>
          <w:szCs w:val="20"/>
          <w:color w:val="auto"/>
        </w:rPr>
      </w:pPr>
    </w:p>
    <w:p>
      <w:pPr>
        <w:ind w:left="460" w:hanging="223"/>
        <w:spacing w:after="0" w:line="182" w:lineRule="auto"/>
        <w:tabs>
          <w:tab w:leader="none" w:pos="460" w:val="left"/>
        </w:tabs>
        <w:numPr>
          <w:ilvl w:val="0"/>
          <w:numId w:val="39"/>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39"/>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or the Debt Payment, in partial repayment of the remaining outstanding principal and accrued interest on the Facility Notes.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share of Series B-2 convertible preferred stock issued pursuant to the December 2020 Exchange Agreement has a stated value of $1,000 and is convertible into shares of our common stock at any time, subject to specified limits, at a conversion price of $6.4999. The shares of Series B-2 convertible preferred stock issued under the December 2020 Exchange Agreement are convertible into an aggregate of 4,842,690 shares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Exchange Warrants have substantially the same terms and conditions as the warrants sold by us in our January 2021 underwritten offering.</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3"/>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is prepayable upon specified conditions; and</w:t>
      </w:r>
    </w:p>
    <w:p>
      <w:pPr>
        <w:spacing w:after="0" w:line="223" w:lineRule="exact"/>
        <w:rPr>
          <w:rFonts w:ascii="Arial" w:cs="Arial" w:eastAsia="Arial" w:hAnsi="Arial"/>
          <w:sz w:val="18"/>
          <w:szCs w:val="18"/>
          <w:color w:val="auto"/>
        </w:rPr>
      </w:pPr>
    </w:p>
    <w:p>
      <w:pPr>
        <w:ind w:left="460" w:right="20" w:hanging="223"/>
        <w:spacing w:after="0" w:line="182" w:lineRule="auto"/>
        <w:tabs>
          <w:tab w:leader="none" w:pos="460" w:val="left"/>
        </w:tabs>
        <w:numPr>
          <w:ilvl w:val="0"/>
          <w:numId w:val="40"/>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pacing w:after="0" w:line="18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also filed a registration statement to register for resale under the Securities Act the shares of common stock issuable upon conversion of the shares of Series B-2 convertible preferred stock and exercise of the Exchange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8, 2021, we issued and sold 6,765,463 shares of our common stock, pre-funded warrants to purchase 926,844 shares of our common stock and warrants to purchase 7,692,307 shares of our common stock at an exercise price per share of $6.50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7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Exchange Agreement Amendment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by Deerfield, issued on June 2, 2014, or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2021 Warrant Exercise Inducement Letters and Issuance of Warrants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26, 2021, we entered into warrant exercise inducement offer letters, or the January 2021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or the January 2021 Inducement Transaction. The purchase price of the January 2021 Inducement Warrants was $0.125 per share underlying each January 2021 Inducement Warrant, and the January 2021 Inducement Warrants have an exercise price of $6.36 per share. We received aggregate gross proceeds of $44.0 million from the exercise of the Existing Warrants by the Exercising Holders and the sale of the January 2021 Inducement Warrants.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January 2021 Inducement Warrants which was declared effective on February 16,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Facility Agreement Notes and Termination of Facility Agreement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February 8, 2021, we entered into a payoff letter with the Facility Note holders, pursuant to which we agreed to pay off and thereby terminate the Facility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payoff letter, all outstanding indebtedness and obligations owed by us to the Facility Note holders under the Facility Agreement have been paid in full. The Facility Agreement and the notes thereunder, as well as the security interests in the assets of us securing the Facility Agreement and note obligations, have been terminated.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2021 Warrant Exercise Inducement Letters and Issuance of Warrants</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18, 2021, we entered into warrant exercise inducement offer letters, or the June 2021 Inducement Letters, with certain holders of the January 2021 Inducement Warrants, pursuant to which such holders exercised for cash their January 2021 Inducement Warrants to purchase 6,117,509 shares of our common stock in exchange for new warrants, 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or the June 2021 Inducement Transaction. The purchase price of the June 2021 Inducement Warrants was $0.125 per share underlying each June 2021 Inducement Warrant, and the June 2021 Inducement Warrants have an exercise price of $16.50 per share and expire on December 31, 2026. We received aggregate gross proceeds of $39.1 million from the exercise of the January 2021 Inducement Warrants and the sale of the June 2021 Inducement Warrants.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June 2021 Inducement Warrants which was declared effective on July 7,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 2021, we entered into an Equity Distribution Agreement with JMP and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December 31, 2021, no shares have been issued or sold under the Equity Distribution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20, 2021, the Company initiated a share repurchase program, or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KP415 License Agreement,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As of December 31, 2021, the Company has repurchased 320,161 shares of its common stock for approximately $2.8 million under the Share Repurchase Program.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KP415 License Agreement</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terms of the KP415 License Agreement, we granted Commave an exclusive, worldwide license to commercialize and develop the Licensed Product Candidates; provided that such license shall apply to an Additional Product Candidate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2021, we entered into Amendment No. 1 to the KP415 License Agreement, or the KP415 Amendment. Pursuant to the KP415 Amendment, we agreed to modify the compensation terms of the KP415 License Agreement. In addition, the KP415 Amendment increased the total remaining future regulatory and sales milestone payments related to AZSTARYS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 challenges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APADAZ License Agreement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October 2018, we entered into the APADAZ License Agreement with KVK pursuant to which we have granted an exclusive license to KVK to conduct regulatory activities for the manufacture and commercialization of APADAZ in the United States. We have retained the right to license the international commercial rights to APADAZ to one or more collaborators outside of the U.S. We will be solely responsible for all development activities except for regulatory activities relating to APADAZ in the United States.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revenue is, and will be, primarily derived from sales of AZSTARYS, APADAZ or any of our product candidates for which we obtain regulatory approval. We expect that our only source of revenues will be through payments arising from our license agreements with Commave and KVK, and through any other future arrangements related to one of our product candidates. To date, we have generated revenue from the KP415 License Agreement, reimbursement of out-of-pocket third-party costs, and the performance of consulting services. We cannot guarantee that either Commave will be able to successfully commercialize AZSTARYS or our product candidates covered under the KP415 License Agreement, or KVK will be able to successfully commercialize APADAZ, or that we will ever receive any payments under the APADAZ License Agreement from commercial sales of APADAZ or any future payments under the APADAZ License Agreement. We also do not know when, if ever, any other product candidate will be commercially available.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Direct Contract Acquisition Costs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components of our royalties and direct contract acquisition costs are royalties and expenses directly attributable to revenue. To date, we have generated revenue from the KP415 License Agreement, reimbursement of out-of-pocket third-party costs and the performance of consulting services. In connection with the KP415 License Agreement, we paid Aquestive a royalty equal to 10% of the upfront license payment and all regulatory milestone and royalty payments. In addition, we capitalized incremental costs directly attributable to the KP415 License Agreement, these costs are amortized to royalties and contract costs as revenue is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our operating expenses into three categories: research and development expenses, general and administrative expenses and severance expense.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87" w:lineRule="exact"/>
        <w:rPr>
          <w:sz w:val="20"/>
          <w:szCs w:val="20"/>
          <w:color w:val="auto"/>
        </w:rPr>
      </w:pPr>
    </w:p>
    <w:p>
      <w:pPr>
        <w:ind w:left="460" w:hanging="223"/>
        <w:spacing w:after="0" w:line="27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and any stock-based compensation, for our scientific personnel performing research and development activities;</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paid to consultants and other third parties who support our product candidate development;</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products; and</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allocated facility-related costs and overhead.</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costs for the years ended December 31, 2021, and 2020 (in thousands):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4"/>
              </w:rPr>
              <w:t>Year Ended December 31,</w:t>
            </w:r>
          </w:p>
        </w:tc>
      </w:tr>
      <w:tr>
        <w:trPr>
          <w:trHeight w:val="209"/>
        </w:trPr>
        <w:tc>
          <w:tcPr>
            <w:tcW w:w="6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development costs directly identified to programs: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6380" w:type="dxa"/>
            <w:vAlign w:val="bottom"/>
          </w:tcPr>
          <w:p>
            <w:pPr>
              <w:ind w:left="340"/>
              <w:spacing w:after="0"/>
              <w:rPr>
                <w:sz w:val="20"/>
                <w:szCs w:val="20"/>
                <w:color w:val="auto"/>
              </w:rPr>
            </w:pPr>
            <w:r>
              <w:rPr>
                <w:rFonts w:ascii="Arial" w:cs="Arial" w:eastAsia="Arial" w:hAnsi="Arial"/>
                <w:sz w:val="18"/>
                <w:szCs w:val="18"/>
                <w:color w:val="auto"/>
              </w:rPr>
              <w:t>KP879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KP1077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380" w:type="dxa"/>
            <w:vAlign w:val="bottom"/>
          </w:tcPr>
          <w:p>
            <w:pPr>
              <w:ind w:left="340"/>
              <w:spacing w:after="0"/>
              <w:rPr>
                <w:sz w:val="20"/>
                <w:szCs w:val="20"/>
                <w:color w:val="auto"/>
              </w:rPr>
            </w:pPr>
            <w:r>
              <w:rPr>
                <w:rFonts w:ascii="Arial" w:cs="Arial" w:eastAsia="Arial" w:hAnsi="Arial"/>
                <w:sz w:val="18"/>
                <w:szCs w:val="18"/>
                <w:color w:val="auto"/>
              </w:rPr>
              <w:t>AZSTARYS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15"/>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APADAZ</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6380" w:type="dxa"/>
            <w:vAlign w:val="bottom"/>
          </w:tcPr>
          <w:p>
            <w:pPr>
              <w:ind w:left="340"/>
              <w:spacing w:after="0"/>
              <w:rPr>
                <w:sz w:val="20"/>
                <w:szCs w:val="20"/>
                <w:color w:val="auto"/>
              </w:rPr>
            </w:pPr>
            <w:r>
              <w:rPr>
                <w:rFonts w:ascii="Arial" w:cs="Arial" w:eastAsia="Arial" w:hAnsi="Arial"/>
                <w:sz w:val="18"/>
                <w:szCs w:val="18"/>
                <w:color w:val="auto"/>
              </w:rPr>
              <w:t>KP484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63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outsourced development costs directly identified to programs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09"/>
        </w:trPr>
        <w:tc>
          <w:tcPr>
            <w:tcW w:w="6380" w:type="dxa"/>
            <w:vAlign w:val="bottom"/>
          </w:tcPr>
          <w:p>
            <w:pPr>
              <w:ind w:left="20"/>
              <w:spacing w:after="0"/>
              <w:rPr>
                <w:sz w:val="20"/>
                <w:szCs w:val="20"/>
                <w:color w:val="auto"/>
              </w:rPr>
            </w:pPr>
            <w:r>
              <w:rPr>
                <w:rFonts w:ascii="Arial" w:cs="Arial" w:eastAsia="Arial" w:hAnsi="Arial"/>
                <w:sz w:val="18"/>
                <w:szCs w:val="18"/>
                <w:color w:val="auto"/>
              </w:rPr>
              <w:t>Research and development costs not directly identified to programs: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1"/>
        </w:trPr>
        <w:tc>
          <w:tcPr>
            <w:tcW w:w="6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Personnel costs including cash compensation, benefits and stock-based</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r>
      <w:tr>
        <w:trPr>
          <w:trHeight w:val="215"/>
        </w:trPr>
        <w:tc>
          <w:tcPr>
            <w:tcW w:w="6380" w:type="dxa"/>
            <w:vAlign w:val="bottom"/>
          </w:tcPr>
          <w:p>
            <w:pPr>
              <w:ind w:left="340"/>
              <w:spacing w:after="0"/>
              <w:rPr>
                <w:sz w:val="20"/>
                <w:szCs w:val="20"/>
                <w:color w:val="auto"/>
              </w:rPr>
            </w:pPr>
            <w:r>
              <w:rPr>
                <w:rFonts w:ascii="Arial" w:cs="Arial" w:eastAsia="Arial" w:hAnsi="Arial"/>
                <w:sz w:val="18"/>
                <w:szCs w:val="18"/>
                <w:color w:val="auto"/>
              </w:rPr>
              <w:t>Facilities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5"/>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costs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09"/>
        </w:trPr>
        <w:tc>
          <w:tcPr>
            <w:tcW w:w="6380" w:type="dxa"/>
            <w:vAlign w:val="bottom"/>
          </w:tcPr>
          <w:p>
            <w:pPr>
              <w:ind w:left="660"/>
              <w:spacing w:after="0"/>
              <w:rPr>
                <w:sz w:val="20"/>
                <w:szCs w:val="20"/>
                <w:color w:val="auto"/>
              </w:rPr>
            </w:pPr>
            <w:r>
              <w:rPr>
                <w:rFonts w:ascii="Arial" w:cs="Arial" w:eastAsia="Arial" w:hAnsi="Arial"/>
                <w:sz w:val="18"/>
                <w:szCs w:val="18"/>
                <w:color w:val="auto"/>
                <w:w w:val="99"/>
              </w:rPr>
              <w:t>Total research and development costs not directly allocated to programs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w:t>
            </w:r>
          </w:p>
        </w:tc>
      </w:tr>
      <w:tr>
        <w:trPr>
          <w:trHeight w:val="24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anticipate that our research and development expense will fluctuate for the foreseeable future as we continue our efforts to advance the development of our product candidates, subject to the availability of additional funding. In accordance with the KP415 License Agreement, Commave has also agreed to be responsible and reimburse us for all of development, commercialization and regulatory expenses for the Licensed Product Candidates, subject to certain limitations as set forth in the KP415 License Agreement.</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successful commercialization of AZSTARYS, APADAZ, and any of our product candidates that may be approved and the development of our product candidates is highly uncertain. At this time, we cannot reasonably estimate the nature, timing or costs required to commercialize AZSTARYS, APADAZ, or any of our product candidates, if approved, and complete the remaining development of any product candidates. This is due to the numerous risks and uncertainties associated with the commercialization and development of our products and product candidates.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expect that our general and administrative expense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 investor relations, disclosure and similar requirements applicable to public reporting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Expense</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Severance expense in 2020 consisted of severance payments and stock-based compensation paid to our former chief business officer who ceased to serve in this role in February 2020. We had no severance expense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(expense) income consists primarily of non-cash costs associated with fair value adjustments to our derivative and warrant liability, amortization of debt issuance costs and debt discount to interest expense and a net loss on extinguishment of debt arising primarily from the debt payoff in the first quarter of 2021. Other (expense) income also includes interest expense incurred on our outstanding borrowings as well as interest and other income consisting primarily of interest earned on investments. These items are unrelated to our core business and thus are recognized as other (expense) income in our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benefit consists of refundable state income tax credits and adjustments to those credits. To date, we have not been required to pay U.S. federal or state income taxes because we have not generated taxable income. We have received state income tax credits related to our qualified research activities in Iowa. These refundable state income tax credits and adjustments to those credits are recognized as income tax expense (benefit) in our statements of operations, and to the extent the refundable state income tax credits are not collected as of period end, they are recognized as accounts receivable in our balance sheets.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61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2"/>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1"/>
        </w:trPr>
        <w:tc>
          <w:tcPr>
            <w:tcW w:w="61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3"/>
              </w:rPr>
              <w:t>Comparison of the Years Ended December 31, 2021 and 2020 (in thousands):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1"/>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Period-to-</w:t>
            </w: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Period Change</w:t>
            </w:r>
          </w:p>
        </w:tc>
      </w:tr>
      <w:tr>
        <w:trPr>
          <w:trHeight w:val="209"/>
        </w:trPr>
        <w:tc>
          <w:tcPr>
            <w:tcW w:w="1120" w:type="dxa"/>
            <w:vAlign w:val="bottom"/>
          </w:tcPr>
          <w:p>
            <w:pPr>
              <w:spacing w:after="0"/>
              <w:rPr>
                <w:sz w:val="18"/>
                <w:szCs w:val="18"/>
                <w:color w:val="auto"/>
              </w:rPr>
            </w:pP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r>
      <w:tr>
        <w:trPr>
          <w:trHeight w:val="215"/>
        </w:trPr>
        <w:tc>
          <w:tcPr>
            <w:tcW w:w="112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and direct contract acquisition costs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15"/>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Severance expense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09"/>
        </w:trPr>
        <w:tc>
          <w:tcPr>
            <w:tcW w:w="11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09"/>
        </w:trPr>
        <w:tc>
          <w:tcPr>
            <w:tcW w:w="112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13,338</w:t>
            </w:r>
          </w:p>
        </w:tc>
      </w:tr>
      <w:tr>
        <w:trPr>
          <w:trHeight w:val="209"/>
        </w:trPr>
        <w:tc>
          <w:tcPr>
            <w:tcW w:w="1120" w:type="dxa"/>
            <w:vAlign w:val="bottom"/>
          </w:tcPr>
          <w:p>
            <w:pPr>
              <w:spacing w:after="0"/>
              <w:rPr>
                <w:sz w:val="18"/>
                <w:szCs w:val="18"/>
                <w:color w:val="auto"/>
              </w:rPr>
            </w:pPr>
          </w:p>
        </w:tc>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(16,096)</w:t>
            </w:r>
          </w:p>
        </w:tc>
      </w:tr>
      <w:tr>
        <w:trPr>
          <w:trHeight w:val="201"/>
        </w:trPr>
        <w:tc>
          <w:tcPr>
            <w:tcW w:w="11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Interest expense related to amortization of debt issuance costs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1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discount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Interest expense on principal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4,559</w:t>
            </w:r>
          </w:p>
        </w:tc>
      </w:tr>
      <w:tr>
        <w:trPr>
          <w:trHeight w:val="215"/>
        </w:trPr>
        <w:tc>
          <w:tcPr>
            <w:tcW w:w="11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Fair value adjustment related to derivative and warrant liability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Interest and other income, net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9"/>
        </w:trPr>
        <w:tc>
          <w:tcPr>
            <w:tcW w:w="11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 income</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09"/>
        </w:trPr>
        <w:tc>
          <w:tcPr>
            <w:tcW w:w="112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15"/>
        </w:trPr>
        <w:tc>
          <w:tcPr>
            <w:tcW w:w="1120" w:type="dxa"/>
            <w:vAlign w:val="bottom"/>
          </w:tcPr>
          <w:p>
            <w:pPr>
              <w:spacing w:after="0"/>
              <w:rPr>
                <w:sz w:val="18"/>
                <w:szCs w:val="18"/>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112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(8,555)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4,205</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loss for the year ended December 31, 2021, was $8.6 million compared to net loss of $12.8 million for the year ended December 31, 2020. The change was primarily attributable to a change in income (loss) from operations of $13.3 million and a decrease in net interest expense and other items of $7.0 million, partially offset by a loss on extinguishment of debt of $16.1 million. In accordance with the January 2021 and June 2021 Inducement Transactions, for the year ended December 31, 2021, we recognized deemed dividends of $37.4 million and $16.9 million, respectively. These deemed dividends represent the difference between the grant date fair value of the respective inducement warrants and the purchase price of the respective inducement warrants. These deemed dividends are added to net loss to arrive at net loss attributable to common stockholders on the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for the year ended December 31, 2021, was $28.7 million, an increase of $15.4 million compared to revenue of $13.3 million for the year ended December 31, 2020. The increase was primarily attributable to an increase in revenue from the KP415 License Agreement of approximately $13.3 million and an increase in revenue from the Corium Consulting Agreement of approximately $3.8 million, partially offset by a decrease in other consulting agreements of approximately $1.7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Costs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Royalties and direct contract acquisition costs for the year ended December 31, 2021, was $2.1 million, an increase of $0.8 million compared to royalty and direct contract acquisition costs of $1.3 million for the year ended December 31, 2020. The increase was primarily attributable to an increase in royalty payments related to revenue from the KP415 License Agreement of approximately $1.5 million, partially offset by a decrease in the recognition of capitalized direct contract acquisition costs related to entering into the KP415 License Agreement of approximately $0.7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$1.3 million, from $8.8 million for the year ended December 31, 2020, to $10.2 million for the year ended December 31, 2021. This increase was primarily attributable to an increase in third-party research and development costs of $0.9 million, an increase in other research and development costs of $0.3 million and an increase in personnel-related costs of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$0.8 million, from $7.9 million for the year ended December 31, 2020, to $8.7 million for the year ended December 31, 2021. This increase was primarily attributable to an increase in professional fees of $0.5 million and an increase in personnel-related costs of $0.3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Expense</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Severance expense of $0.8 million was recognized for the year ended December 31, 2020, due to the termination of our chief business officer in February 2020. Severance expense is comprised of $0.4 million of personnel and other related charges and $0.4 million of stock compensation expense related to the acceleration of vesting on certain stock options upon employee termination. We had no severance expense for the year ended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income increased by $9.1 million, from $7.2 million for the year ended December 31, 2020, to $16.3 million for the year ended December 31, 2021. This period-to-period increase in expense was primarily attributable to a loss on extinguishment of debt of $16.1 million during the first quarter of 2021, partially offset by a decrease in net interest expense and other items of $7.0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December 31, 2021,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December 31, 2021, we had cash, cash equivalents and long-term investments of $127.8 million.</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To date, we have generated revenue from the KP415 License Agreement, reimbursement of out-of-pocket third-party costs, and the performance of consulting services.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registration statement on Form S-3 covering the sale from time to time of up to $80.0 million of our common stock, preferred stock, and debt and/or warrants, which was declared effective by the SEC on April 10, 2020, of 579,260 shares and therefore we cannot issue additional shares under the 2020 ELOC Agreement. Through May 2020, we sold 559,971 shares of common stock (exclusive of the 19,289 commitment shares previously issued to Lincoln Park) under the 2020 ELOC Agreement for approximately $2.3 million in gross proceeds.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agreements with Commave and KVK, or through our Corium Consulting Agreement, and other potential consulting arrangements and any other future arrangements related to one of our product candidates.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In May 2021, we received notice from the U.S. Small Business Administration that our PPP Loan was forgiven in full, including all principal and interest.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July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2021, we had no convertible notes outstanding. During the first quarter of 2021 we repaid in full the convertible notes and terminated the Deerfield Facility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Deerfield Facility Agreement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approximately $3.3 million of the principal amount then due, plus approximately $0.2 million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w:t>
      </w:r>
    </w:p>
    <w:p>
      <w:pPr>
        <w:spacing w:after="0" w:line="1" w:lineRule="exact"/>
        <w:rPr>
          <w:sz w:val="20"/>
          <w:szCs w:val="20"/>
          <w:color w:val="auto"/>
        </w:rPr>
      </w:pPr>
    </w:p>
    <w:p>
      <w:pPr>
        <w:jc w:val="both"/>
        <w:ind w:firstLine="8"/>
        <w:spacing w:after="0" w:line="276"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January 2021 Inducement Transaction, in accordance with the anti-dilution provisions contained within the Deerfield Warrant, the exercise price of the Deerfield Warrant was reduced to $46.25 per share. Further, upon closing of the June 2021 Inducement Transaction, in accordance with the anti-dilution provisions contained within the Deerfield Warrant, the exercise price of the Deerfield Warrant was reduced to $38.34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matured on February 1, 2021, unless earlier converted or repurchased.</w:t>
      </w:r>
    </w:p>
    <w:p>
      <w:pPr>
        <w:spacing w:after="0" w:line="182"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 Exchange Effected in January 2020</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approximately $3.0 million in exchange for the cancellation of an aggregate of approximately $3.0 million of principal amount and accrued interest of the 2021 Note then owned by Kingdon. Upon entering into the January 2020 Exchange Agreement, we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8"/>
        <w:spacing w:after="0" w:line="268" w:lineRule="auto"/>
        <w:tabs>
          <w:tab w:leader="none" w:pos="2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Restructuring</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we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of Delaware, setting forth the preferences, rights and limitations of the Series B-2 Preferred Stock.</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common stock.</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Amendment</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11, 2021, as a condition to the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of Delaware, setting forth the preferences, rights and limitations of the Series B-2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February 8, 2021, we entered into a payoff letter with the Facility Agreement Note Holders, pursuant to which we agreed to pay off and thereby terminate the Facility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payoff letter, all outstanding indebtedness and obligations owed by us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 (in thousands):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Period-to</w:t>
            </w:r>
          </w:p>
        </w:tc>
      </w:tr>
      <w:tr>
        <w:trPr>
          <w:trHeight w:val="209"/>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Period Change</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(15,491)</w:t>
            </w:r>
          </w:p>
        </w:tc>
      </w:tr>
      <w:tr>
        <w:trPr>
          <w:trHeight w:val="21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110,370</w:t>
            </w: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108,024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107,257</w:t>
            </w: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December 31, 2021, net cash provided by operating activities of $10.4 million consisted of $19.4 million in adjustments for non-cash items, partially offset by a net loss of $8.6 million and $0.4 million in changes in working capital. The adjustments for non-cash items primarily consisted of a loss on extinguishment of debt of $16.1 million, stock-based compensation expense of $2.4 million, amortization of debt issuance costs and debt discount of $0.2 million, a change in the fair value adjustment related to derivative and warrant liabilities of $0.1 million and $0.6 million related to depreciation, amortization and other items. The changes in working capital consisted of $1.1 million related to a change in accounts payable and accrued expenses, $0.3 million related to a change in operating lease liabilities and $0.8 million related to a change in prepaid expenses and other assets, partially offset by $1.1 million related to a change in accounts and other receivables, $0.1 million related to a change in operating lease right-of-use assets and $0.7 million related to a change in other liabilities. Net loss was primarily attributable to a loss on extinguishment of debt and our spending on research and development programs and operating costs, partially offset by revenue received under the KP415 License Agreement and the Corium Consulting Agreement.</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year ended December 31, 2020, net cash used in operating activities of $1.9 million consisted of a net loss of $12.8 million, partially offset by $0.4 million in changes in working capital and $10.4 million in adjustments for non-cash items. Net loss was primarily attributable to our spending on research and development programs and operating costs, partially offset by revenue received under the KP415 License Agreement and the Corium Consulting Agreement. The changes in working capital consisted of $0.9 million related to a change in accounts payable and accrued expenses, $0.2 million related to a change in prepaid expenses and other assets and $0.3 million related to operating lease right-of-use assets and other liabilities, partially offset by $0.7 million related to a change in accounts and other receivables and $0.3 million related to operating lease liabilities. The adjustments for non-cash items primarily consisted of stock-based compensation expense of $2.5 million, non-cash interest expense of $4.7 million, amortization of debt issuance costs and debt discount of $2.3 million, loss on sublease and disposal of property and equipment of $0.3 million, a change in the fair value adjustment related to derivative and warrant liabilities of $0.2 million and $0.4 million related to depreciation, amortization and other items.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 ended December 31, 2021, net cash used in investing activities was $15.5 million, which was attributable to purchases of property and equipment of $0.1 million and purchases of long-term investments of $15.4 million.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2020, net cash used in investing activities was $33,000, which was attributable to purchases of property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December 31, 2021, net cash provided by financing activities was $113.1 million, which was primarily attributable to net proceeds from sales of our common stock in the Public Offering of $49.3 million, net proceeds from the January 2021 Inducement Transaction of $41.4 million, net proceeds from the June 2021 Inducement Transaction of $36.8 million and net proceeds from the exercise of common stock warrants of $30.8 million, partially offset by payment for repurchase of shares of $2.8 million, payment of offering costs of $1.3 million, repayment of principal on finance lease liabilities of $0.2 million, payment of debt issuance costs of $2.9 million, and repayment of principal on convertible notes of $37.9 million.</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the year ended December 31, 2020, net cash provided by financing activities was $2.7 million, which was primarily attributable to proceeds from sales of our common stock under the 2020 ELOC of $2.3 million and proceeds from the PPP loan of $0.8 million, partially offset by repayment of principal on finance lease liabilities of $0.2 million and payment of debt issuance and deferred offerings costs of $0.1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current operating forecast, we believe that our existing cash, cash equivalents and long-term investments will be sufficient to fund our operations through and beyond 2025.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4" w:lineRule="exact"/>
        <w:rPr>
          <w:sz w:val="20"/>
          <w:szCs w:val="20"/>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revenues generated under either the KP415 License Agreement or the APADAZ License Agreement;</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KP415 License Agreement;</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Corium Consulting Agreement;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consulting services revenue generated under other potential consulting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we have generated revenue from the KP415 License Agreement, reimbursements of out-of-pocket third-party costs and the performance of consulting services. We expect that, for the foreseeable future, our only sources of revenues will be through payments arising from the KP415 License Agreement, the APADAZ License Agreement, the Corium Consulting Agreement, or through other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expect to continue to incur additional costs associated with operating as a public company.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COVID-19 pandemic has caused and continues to cause major disruptions to businesses and markets worldwide. We cannot predict what the long-term effects of this pandemic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judgements on an ongoing basis. We base our estimates on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94" w:lineRule="exact"/>
        <w:rPr>
          <w:sz w:val="20"/>
          <w:szCs w:val="20"/>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paid to CROs in connection with preclinical and toxicology studies and clinical trials;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our raw materials, drug substance and product candidates; and</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4"/>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expense</w:t>
            </w:r>
          </w:p>
        </w:tc>
        <w:tc>
          <w:tcPr>
            <w:tcW w:w="3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3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40" w:type="dxa"/>
            <w:vAlign w:val="bottom"/>
            <w:vMerge w:val="restart"/>
          </w:tcPr>
          <w:p>
            <w:pPr>
              <w:jc w:val="right"/>
              <w:ind w:right="1650"/>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87" w:lineRule="exact"/>
        <w:rPr>
          <w:sz w:val="20"/>
          <w:szCs w:val="20"/>
          <w:color w:val="auto"/>
        </w:rPr>
      </w:pPr>
    </w:p>
    <w:p>
      <w:pPr>
        <w:jc w:val="both"/>
        <w:ind w:left="460" w:hanging="223"/>
        <w:spacing w:after="0" w:line="293"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spacing w:after="0" w:line="187" w:lineRule="exact"/>
        <w:rPr>
          <w:rFonts w:ascii="Arial" w:cs="Arial" w:eastAsia="Arial" w:hAnsi="Arial"/>
          <w:sz w:val="16"/>
          <w:szCs w:val="16"/>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assumed dividend yield is based on our expectation of not paying dividends for the foreseeable future;</w:t>
      </w:r>
    </w:p>
    <w:p>
      <w:pPr>
        <w:spacing w:after="0" w:line="277"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215" w:lineRule="exact"/>
        <w:rPr>
          <w:rFonts w:ascii="Arial" w:cs="Arial" w:eastAsia="Arial" w:hAnsi="Arial"/>
          <w:sz w:val="18"/>
          <w:szCs w:val="18"/>
          <w:color w:val="auto"/>
        </w:rPr>
      </w:pPr>
    </w:p>
    <w:p>
      <w:pPr>
        <w:ind w:left="460" w:right="20" w:hanging="223"/>
        <w:spacing w:after="0" w:line="27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determine the risk-free interest rate by reference to implied yields available from U.S. Treasury securities with a remaining term equal to the expected life assumed at the date of grant; and</w:t>
      </w:r>
    </w:p>
    <w:p>
      <w:pPr>
        <w:spacing w:after="0" w:line="197" w:lineRule="exact"/>
        <w:rPr>
          <w:rFonts w:ascii="Arial" w:cs="Arial" w:eastAsia="Arial" w:hAnsi="Arial"/>
          <w:sz w:val="18"/>
          <w:szCs w:val="18"/>
          <w:color w:val="auto"/>
        </w:rPr>
      </w:pPr>
    </w:p>
    <w:p>
      <w:pPr>
        <w:ind w:left="460" w:hanging="223"/>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estimate forfeitures based on our historical analysis of actual stock option forfeitures.</w:t>
      </w:r>
    </w:p>
    <w:p>
      <w:pPr>
        <w:spacing w:after="0" w:line="2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account for stock-based compensation arrangements with directors and consultants that contain only service conditions for vesting using a fair value approach. The grant date fair value of these options is measured using the Black-Scholes option pricing model reflecting the same assumptions as applied to employee options in each of the reported periods, other than the expected life, which is assumed to be the remaining contractual life of the option.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to employees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48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1"/>
              </w:rPr>
              <w:t>0.92% - 1.55%</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0.38% - 1.65%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760" w:type="dxa"/>
            <w:vAlign w:val="bottom"/>
          </w:tcPr>
          <w:p>
            <w:pPr>
              <w:ind w:left="20"/>
              <w:spacing w:after="0"/>
              <w:rPr>
                <w:sz w:val="20"/>
                <w:szCs w:val="20"/>
                <w:color w:val="auto"/>
              </w:rPr>
            </w:pPr>
            <w:r>
              <w:rPr>
                <w:rFonts w:ascii="Arial" w:cs="Arial" w:eastAsia="Arial" w:hAnsi="Arial"/>
                <w:sz w:val="18"/>
                <w:szCs w:val="18"/>
                <w:color w:val="auto"/>
              </w:rPr>
              <w:t>- 10.00</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5.50 - 10.00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- 102.57%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89.49% - 93.07%</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center"/>
              <w:ind w:right="490"/>
              <w:spacing w:after="0"/>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140" w:type="dxa"/>
            <w:vAlign w:val="bottom"/>
          </w:tcPr>
          <w:p>
            <w:pPr>
              <w:spacing w:after="0"/>
              <w:rPr>
                <w:sz w:val="19"/>
                <w:szCs w:val="19"/>
                <w:color w:val="auto"/>
              </w:rPr>
            </w:pPr>
          </w:p>
        </w:tc>
      </w:tr>
      <w:tr>
        <w:trPr>
          <w:trHeight w:val="417"/>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40" w:type="dxa"/>
            <w:vAlign w:val="bottom"/>
          </w:tcPr>
          <w:p>
            <w:pPr>
              <w:jc w:val="right"/>
              <w:ind w:right="1490"/>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a common stock warrant issued to Deerfield, put options embedded within those Deerfield warrants, and common stock warrants issued to KVK that meet the definition of derivative financial instruments and are accounted for as derivatives. The fair value of the common stock warrant issued to Deerfield, and put options embedded within the Deerfield Warrants are based on Monte Carlo simulations, while the common stock warrant issued to KVK is valued using a probability-weighted Black-Scholes option pricing model. These derivatives are fair valued at each reporting period.</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derivative liability for the Deerfield common stock warrant was $288,000 and $230,000 at December 31, 2021 and 2020, respectively. The derivative liability for the put options embedded within the Deerfield common stock warrant was $18,000 and $25,000 at December 31, 2021 and 2020, respectively. The derivative liability for the KVK common stock warrant was $24,000 and $49,000 at December 31, 2021 and 2020, respectively. A 10% increase in the enterprise value would result in an increase of $50,000 in the estimated fair value of the Deerfield common stock warrant, an increase of $3,000 in the estimated fair value of the put options embedded within the Deerfield common stock warrant and an increase of $4,000 in the estimated fair value of the KVK common stock warrant at December 31, 2021. Upon exercise of the warrants, we will adjust the associated derivative liability to fair value with any changes recorded in other (expense) income. At such time, such derivative liability will also be reclassified to additional paid-in capital, and no further revaluations will be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of Net Operating Loss Carryforwards and Research and Development Credits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2021, we had federal net operating loss, or NOL, carryforwards of approximately $233.3 million, due to prior period losses, $138.1 million of which, if not utilized, will begin to expire in 2027 and $95.1 million with no expiration. We also had research and development credit carryforwards of $3.8 million with expiration dates ranging from 2027 to 2037 and $2.6 million with no expiration. As of December 31, 2021, we maintain a full valuation allowance over our deferred tax assets for financial reporting purposes.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an ownership changes in the future, as a result of shifts in our stock ownership, including as a result of the conversion of our outstanding convertible debt or as a result of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or ASU 2016-13, which replaces the incurred loss impairment methodology with a methodology that reflects expected credit losses and 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our financial statements and disclosures.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w:t>
      </w:r>
      <w:r>
        <w:rPr>
          <w:rFonts w:ascii="Arial" w:cs="Arial" w:eastAsia="Arial" w:hAnsi="Arial"/>
          <w:sz w:val="17"/>
          <w:szCs w:val="17"/>
          <w:i w:val="1"/>
          <w:iCs w:val="1"/>
          <w:color w:val="auto"/>
        </w:rPr>
        <w:t>Disclosure Framework</w:t>
      </w:r>
      <w:r>
        <w:rPr>
          <w:rFonts w:ascii="Arial" w:cs="Arial" w:eastAsia="Arial" w:hAnsi="Arial"/>
          <w:sz w:val="17"/>
          <w:szCs w:val="17"/>
          <w:color w:val="auto"/>
        </w:rPr>
        <w:t>—</w:t>
      </w:r>
      <w:r>
        <w:rPr>
          <w:rFonts w:ascii="Arial" w:cs="Arial" w:eastAsia="Arial" w:hAnsi="Arial"/>
          <w:sz w:val="17"/>
          <w:szCs w:val="17"/>
          <w:i w:val="1"/>
          <w:iCs w:val="1"/>
          <w:color w:val="auto"/>
        </w:rPr>
        <w:t>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or ASU 2018-13, 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based on the concepts in the FASB Concepts Statement, Conceptual Framework for Financial Reporting—Chapter 8: Notes to Financial Statements, which the FASB finalized on August 28, 2018, including the consideration of costs and benefits. This update applies to all entities that are 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our financial statements and disclosures.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w:t>
      </w:r>
      <w:r>
        <w:rPr>
          <w:rFonts w:ascii="Arial" w:cs="Arial" w:eastAsia="Arial" w:hAnsi="Arial"/>
          <w:sz w:val="16"/>
          <w:szCs w:val="16"/>
          <w:color w:val="auto"/>
        </w:rPr>
        <w:t>—</w:t>
      </w:r>
      <w:r>
        <w:rPr>
          <w:rFonts w:ascii="Arial" w:cs="Arial" w:eastAsia="Arial" w:hAnsi="Arial"/>
          <w:sz w:val="16"/>
          <w:szCs w:val="16"/>
          <w:i w:val="1"/>
          <w:iCs w:val="1"/>
          <w:color w:val="auto"/>
        </w:rPr>
        <w: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w:t>
      </w:r>
      <w:r>
        <w:rPr>
          <w:rFonts w:ascii="Arial" w:cs="Arial" w:eastAsia="Arial" w:hAnsi="Arial"/>
          <w:sz w:val="16"/>
          <w:szCs w:val="16"/>
          <w:color w:val="auto"/>
        </w:rPr>
        <w:t>’</w:t>
      </w:r>
      <w:r>
        <w:rPr>
          <w:rFonts w:ascii="Arial" w:cs="Arial" w:eastAsia="Arial" w:hAnsi="Arial"/>
          <w:sz w:val="16"/>
          <w:szCs w:val="16"/>
          <w:i w:val="1"/>
          <w:iCs w:val="1"/>
          <w:color w:val="auto"/>
        </w:rPr>
        <w:t>s Own Equity (Subtopic 815-40); Accounting for Convertible Instruments and Contracts in an Entity</w:t>
      </w:r>
      <w:r>
        <w:rPr>
          <w:rFonts w:ascii="Arial" w:cs="Arial" w:eastAsia="Arial" w:hAnsi="Arial"/>
          <w:sz w:val="16"/>
          <w:szCs w:val="16"/>
          <w:color w:val="auto"/>
        </w:rPr>
        <w:t>’</w:t>
      </w:r>
      <w:r>
        <w:rPr>
          <w:rFonts w:ascii="Arial" w:cs="Arial" w:eastAsia="Arial" w:hAnsi="Arial"/>
          <w:sz w:val="16"/>
          <w:szCs w:val="16"/>
          <w:i w:val="1"/>
          <w:iCs w:val="1"/>
          <w:color w:val="auto"/>
        </w:rPr>
        <w:t>s Own Equity</w:t>
      </w:r>
      <w:r>
        <w:rPr>
          <w:rFonts w:ascii="Arial" w:cs="Arial" w:eastAsia="Arial" w:hAnsi="Arial"/>
          <w:sz w:val="16"/>
          <w:szCs w:val="16"/>
          <w:color w:val="auto"/>
        </w:rPr>
        <w:t>, or 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or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We do not believe the adoption of ASU 2020-06 will have a material impact on our financial statements and disclosures.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w:t>
      </w:r>
      <w:r>
        <w:rPr>
          <w:rFonts w:ascii="Arial" w:cs="Arial" w:eastAsia="Arial" w:hAnsi="Arial"/>
          <w:sz w:val="17"/>
          <w:szCs w:val="17"/>
          <w:color w:val="auto"/>
        </w:rPr>
        <w:t xml:space="preserve">— </w:t>
      </w:r>
      <w:r>
        <w:rPr>
          <w:rFonts w:ascii="Arial" w:cs="Arial" w:eastAsia="Arial" w:hAnsi="Arial"/>
          <w:sz w:val="17"/>
          <w:szCs w:val="17"/>
          <w:i w:val="1"/>
          <w:iCs w:val="1"/>
          <w:color w:val="auto"/>
        </w:rPr>
        <w: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 Compensation (Topic 718), and Derivatives and Hedging</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w:t>
      </w:r>
      <w:r>
        <w:rPr>
          <w:rFonts w:ascii="Arial" w:cs="Arial" w:eastAsia="Arial" w:hAnsi="Arial"/>
          <w:sz w:val="17"/>
          <w:szCs w:val="17"/>
          <w:color w:val="auto"/>
        </w:rPr>
        <w:t>’</w:t>
      </w:r>
      <w:r>
        <w:rPr>
          <w:rFonts w:ascii="Arial" w:cs="Arial" w:eastAsia="Arial" w:hAnsi="Arial"/>
          <w:sz w:val="17"/>
          <w:szCs w:val="17"/>
          <w:i w:val="1"/>
          <w:iCs w:val="1"/>
          <w:color w:val="auto"/>
        </w:rPr>
        <w:t>s Own Equity (Subtopic 815-40); Issuer</w:t>
      </w:r>
      <w:r>
        <w:rPr>
          <w:rFonts w:ascii="Arial" w:cs="Arial" w:eastAsia="Arial" w:hAnsi="Arial"/>
          <w:sz w:val="17"/>
          <w:szCs w:val="17"/>
          <w:color w:val="auto"/>
        </w:rPr>
        <w:t>’</w:t>
      </w:r>
      <w:r>
        <w:rPr>
          <w:rFonts w:ascii="Arial" w:cs="Arial" w:eastAsia="Arial" w:hAnsi="Arial"/>
          <w:sz w:val="17"/>
          <w:szCs w:val="17"/>
          <w:i w:val="1"/>
          <w:iCs w:val="1"/>
          <w:color w:val="auto"/>
        </w:rPr>
        <w:t>s Accounting for Certain Modifications or Exchanges of Freestanding Equity-Classified Written Call Options, a consensus of the FASB Emerging Issues Task Force</w:t>
      </w:r>
      <w:r>
        <w:rPr>
          <w:rFonts w:ascii="Arial" w:cs="Arial" w:eastAsia="Arial" w:hAnsi="Arial"/>
          <w:sz w:val="17"/>
          <w:szCs w:val="17"/>
          <w:color w:val="auto"/>
        </w:rPr>
        <w:t>, or ASU 2021-04, which aims to clarify and reduce diversity in issuer's accounting for modifications or exchanges of freestanding equity-classified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We do not believe the adoption of ASU 2021-04 will have a material impact on our financial statements and disclosures.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4100"/>
        <w:spacing w:after="0" w:line="281" w:lineRule="auto"/>
        <w:rPr>
          <w:sz w:val="20"/>
          <w:szCs w:val="20"/>
          <w:color w:val="auto"/>
        </w:rPr>
      </w:pPr>
      <w:r>
        <w:rPr>
          <w:rFonts w:ascii="Arial" w:cs="Arial" w:eastAsia="Arial" w:hAnsi="Arial"/>
          <w:sz w:val="18"/>
          <w:szCs w:val="18"/>
          <w:b w:val="1"/>
          <w:bCs w:val="1"/>
          <w:color w:val="auto"/>
        </w:rPr>
        <w:t>ITEM QUANTITATIVE AND QUALITATIVE DISCLOSURES ABOUT MARKET RISK 7A.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8 are set forth beginning in Item 15 of this report and are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CONTROLS AND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2021. Based on the evaluation of our disclosure controls and procedures as of December 31, 2021, our chief executive officer and our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2021, the end of our most recent fiscal year.</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independent registered public accounting firm has not performed an evaluation of our internal control over financial reporting during any period in accordance with the provisions of the Sarbanes-Oxley Act. For as long as we remain a non-accelerated filer,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evaluation required by Rules 13a-15(d) and 15d-15(d) of the Exchange Act that occurred during the most recent fiscal quarter, we noted a material change in our internal control over financial reporting where we entered into an agreement with a third-party financial accounting advisory firm to provide professional services on an as-needed basis. These services could range from technical accounting assistance to staff loan opportunities dependent upon our needs. Except as described above, there have been no changes in the Company’s internal control over financial reporting that occurred during the three months ended December 31, 2021, that have materially affected, or are reasonably likely to materially affect, the Company’s internal control over financial reporting.</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9B.</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ind w:right="3080"/>
        <w:spacing w:after="0" w:line="281" w:lineRule="auto"/>
        <w:rPr>
          <w:sz w:val="20"/>
          <w:szCs w:val="20"/>
          <w:color w:val="auto"/>
        </w:rPr>
      </w:pPr>
      <w:r>
        <w:rPr>
          <w:rFonts w:ascii="Arial" w:cs="Arial" w:eastAsia="Arial" w:hAnsi="Arial"/>
          <w:sz w:val="18"/>
          <w:szCs w:val="18"/>
          <w:b w:val="1"/>
          <w:bCs w:val="1"/>
          <w:color w:val="auto"/>
        </w:rPr>
        <w:t>ITEM DISCLOSURES REGARDING FOREIGN JURISDICTIONS THAT PREVENT INSPECTIONS 9C.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4" w:lineRule="exact"/>
        <w:rPr>
          <w:sz w:val="20"/>
          <w:szCs w:val="20"/>
          <w:color w:val="auto"/>
        </w:rPr>
      </w:pPr>
    </w:p>
    <w:p>
      <w:pPr>
        <w:ind w:right="4420"/>
        <w:spacing w:after="0" w:line="281" w:lineRule="auto"/>
        <w:rPr>
          <w:sz w:val="20"/>
          <w:szCs w:val="20"/>
          <w:color w:val="auto"/>
        </w:rPr>
      </w:pPr>
      <w:r>
        <w:rPr>
          <w:rFonts w:ascii="Arial" w:cs="Arial" w:eastAsia="Arial" w:hAnsi="Arial"/>
          <w:sz w:val="18"/>
          <w:szCs w:val="18"/>
          <w:b w:val="1"/>
          <w:bCs w:val="1"/>
          <w:color w:val="auto"/>
        </w:rPr>
        <w:t>ITEM DIRECTORS, EXECUTIVE OFFICERS AND CORPORATE GOVERNANCE 10.</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 AND NON-EMPLOYEE DIRECTORS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our executive officers and non-employee directors, including their ages as of December 31, 2021:</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60" w:type="dxa"/>
            <w:vAlign w:val="bottom"/>
          </w:tcPr>
          <w:p>
            <w:pPr>
              <w:spacing w:after="0"/>
              <w:rPr>
                <w:sz w:val="20"/>
                <w:szCs w:val="20"/>
                <w:color w:val="auto"/>
              </w:rPr>
            </w:pPr>
          </w:p>
        </w:tc>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r>
      <w:tr>
        <w:trPr>
          <w:trHeight w:val="215"/>
        </w:trPr>
        <w:tc>
          <w:tcPr>
            <w:tcW w:w="3600" w:type="dxa"/>
            <w:vAlign w:val="bottom"/>
          </w:tcPr>
          <w:p>
            <w:pPr>
              <w:ind w:left="180"/>
              <w:spacing w:after="0"/>
              <w:rPr>
                <w:sz w:val="20"/>
                <w:szCs w:val="20"/>
                <w:color w:val="auto"/>
              </w:rPr>
            </w:pPr>
            <w:r>
              <w:rPr>
                <w:rFonts w:ascii="Arial" w:cs="Arial" w:eastAsia="Arial" w:hAnsi="Arial"/>
                <w:sz w:val="18"/>
                <w:szCs w:val="18"/>
                <w:color w:val="auto"/>
              </w:rPr>
              <w:t>Travis C. Mickle, Ph.D.</w:t>
            </w:r>
          </w:p>
        </w:tc>
        <w:tc>
          <w:tcPr>
            <w:tcW w:w="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15"/>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W. Pascoe</w:t>
            </w:r>
          </w:p>
        </w:tc>
        <w:tc>
          <w:tcPr>
            <w:tcW w:w="6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57</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r>
      <w:tr>
        <w:trPr>
          <w:trHeight w:val="215"/>
        </w:trPr>
        <w:tc>
          <w:tcPr>
            <w:tcW w:w="3600" w:type="dxa"/>
            <w:vAlign w:val="bottom"/>
          </w:tcPr>
          <w:p>
            <w:pPr>
              <w:ind w:left="180"/>
              <w:spacing w:after="0"/>
              <w:rPr>
                <w:sz w:val="20"/>
                <w:szCs w:val="20"/>
                <w:color w:val="auto"/>
              </w:rPr>
            </w:pPr>
            <w:r>
              <w:rPr>
                <w:rFonts w:ascii="Arial" w:cs="Arial" w:eastAsia="Arial" w:hAnsi="Arial"/>
                <w:sz w:val="18"/>
                <w:szCs w:val="18"/>
                <w:color w:val="auto"/>
              </w:rPr>
              <w:t>Sven Guenther, Ph.D.</w:t>
            </w:r>
          </w:p>
        </w:tc>
        <w:tc>
          <w:tcPr>
            <w:tcW w:w="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49</w:t>
            </w:r>
          </w:p>
        </w:tc>
        <w:tc>
          <w:tcPr>
            <w:tcW w:w="1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Executive Vice President, Research and Development</w:t>
            </w:r>
          </w:p>
        </w:tc>
      </w:tr>
      <w:tr>
        <w:trPr>
          <w:trHeight w:val="215"/>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 LaDuane Clifton, CPA</w:t>
            </w:r>
          </w:p>
        </w:tc>
        <w:tc>
          <w:tcPr>
            <w:tcW w:w="6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49</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Secretary and Treasurer</w:t>
            </w:r>
          </w:p>
        </w:tc>
      </w:tr>
      <w:tr>
        <w:trPr>
          <w:trHeight w:val="215"/>
        </w:trPr>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5"/>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Tamara A. Seymour</w:t>
            </w:r>
          </w:p>
        </w:tc>
        <w:tc>
          <w:tcPr>
            <w:tcW w:w="6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63</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5"/>
        </w:trPr>
        <w:tc>
          <w:tcPr>
            <w:tcW w:w="3600" w:type="dxa"/>
            <w:vAlign w:val="bottom"/>
          </w:tcPr>
          <w:p>
            <w:pPr>
              <w:ind w:left="180"/>
              <w:spacing w:after="0"/>
              <w:rPr>
                <w:sz w:val="20"/>
                <w:szCs w:val="20"/>
                <w:color w:val="auto"/>
              </w:rPr>
            </w:pPr>
            <w:r>
              <w:rPr>
                <w:rFonts w:ascii="Arial" w:cs="Arial" w:eastAsia="Arial" w:hAnsi="Arial"/>
                <w:sz w:val="18"/>
                <w:szCs w:val="18"/>
                <w:color w:val="auto"/>
              </w:rPr>
              <w:t>Matthew R. Plooster</w:t>
            </w:r>
          </w:p>
        </w:tc>
        <w:tc>
          <w:tcPr>
            <w:tcW w:w="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5"/>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Joseph B. Saluri</w:t>
            </w:r>
          </w:p>
        </w:tc>
        <w:tc>
          <w:tcPr>
            <w:tcW w:w="6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David S. Tierney, M.D.</w:t>
            </w:r>
          </w:p>
        </w:tc>
        <w:tc>
          <w:tcPr>
            <w:tcW w:w="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58</w:t>
            </w:r>
          </w:p>
        </w:tc>
        <w:tc>
          <w:tcPr>
            <w:tcW w:w="16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Travis C. Mickle, Ph.D. </w:t>
      </w:r>
      <w:r>
        <w:rPr>
          <w:rFonts w:ascii="Arial" w:cs="Arial" w:eastAsia="Arial" w:hAnsi="Arial"/>
          <w:sz w:val="16"/>
          <w:szCs w:val="16"/>
          <w:color w:val="auto"/>
        </w:rPr>
        <w:t>is a co-founder of our company and has served as a member of our Board since our inception in 2006 and chairman of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November 2014 to November 2021. Dr. Mickle served as our president and chief scientific officer from 2006 to October 2010, and has served as our president and chief executive officer since October 2010. Prior to founding our company, Dr. Mickle spent five years with New River Pharmaceuticals, a specialty pharmaceutical company, where he was a senior research scientist from 2001 to 2002, the director of chemistry from 2002 to 2003 and the director of drug discovery and CMC from 2003 to 2005. Dr. Mickle received his Ph.D. degree from the University of Iowa and his B.A. degree from Simpson College. Our Board believes that Dr. Mickle’s leadership of our company since its inception, knowledge of our company as founder and experience with pharmaceutical companies provides him with the qualifications and skills to serve as a director of our company.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Richard W. Pascoe </w:t>
      </w:r>
      <w:r>
        <w:rPr>
          <w:rFonts w:ascii="Arial" w:cs="Arial" w:eastAsia="Arial" w:hAnsi="Arial"/>
          <w:sz w:val="16"/>
          <w:szCs w:val="16"/>
          <w:color w:val="auto"/>
        </w:rPr>
        <w:t>has served as a director of KemPharm since January 2014 and as KemPharm’s executive chairman since November 2021. From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to November 2021, Mr. Pascoe served as the president and chief executive officer and on the board of directors of Histogen Inc., a biologics company. From March 2013 to January 2019, Mr. Pascoe was the chief executive officer and director of Apricus Biosciences. From August 2008 to March 2013, Mr. Pascoe was the president and chief executive officer and a director of Pernix Sleep, Inc. (formerly known as Somaxon Pharmaceuticals, Inc.), a specialty pharmaceutical company. Prior to Pernix, from 2005 to 2008, Mr. Pascoe worked for ARIAD Pharmaceuticals, Inc., a specialty pharmaceutical company, where he was most recently senior vice president and chief operating officer. Mr. Pascoe also serves as a director of Seelos Therapeutics, Inc, a specialty pharmaceutical company. Mr. Pascoe received his B.S. degree from the United States Military Academy at West Point. Our Board believes that Mr. Pascoe’s experience as a pharmaceutical company executive provides him with the qualifications and skills to serve as a director of our company.</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Sven Guenther, Ph.D. </w:t>
      </w:r>
      <w:r>
        <w:rPr>
          <w:rFonts w:ascii="Arial" w:cs="Arial" w:eastAsia="Arial" w:hAnsi="Arial"/>
          <w:sz w:val="16"/>
          <w:szCs w:val="16"/>
          <w:color w:val="auto"/>
        </w:rPr>
        <w:t>joined our company as our group leader of research in 2007 and served as a member of our board of directors from April 2012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2015, and has served as our executive vice president, research and development since May 2014. Prior to joining our company, Dr. Guenther served as a research scientist for New River Pharmaceuticals from 2003 to 2007. Dr. Guenther received his Ph.D. degree from the University of Iowa.</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R. LaDuane Clifton, CPA </w:t>
      </w:r>
      <w:r>
        <w:rPr>
          <w:rFonts w:ascii="Arial" w:cs="Arial" w:eastAsia="Arial" w:hAnsi="Arial"/>
          <w:sz w:val="18"/>
          <w:szCs w:val="18"/>
          <w:color w:val="auto"/>
        </w:rPr>
        <w:t>has served as our chief financial officer since June 2015 and as our secretary and treasurer since February 2016. Previously,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Clifton served as our vice president of finance and corporate controller from April 2015 to June 2015. Prior to joining our company, Mr. Clifton served in a variety of positions with The LGL Group, Inc., a publicly held producer of industrial and commercial products and services, from August 2009 to February 2015, including chief financial officer, secretary and treasurer from December 2012 to February 2015, chief accounting officer and secretary from March 2010 to December 2012, and corporate controller from August 2009 to March 2010. From August 2008 to August 2009, Mr. Clifton served as the chief financial officer of a21, Inc., a publicly held holding company with businesses in stock photography and the online retail and manufacturer of framed art, and as its corporate controller from March 2007 to August 2008. Mr. Clifton served in a variety of finance and medical cost analysis roles with Aetna, Inc., a publicly held provider of healthcare benefits, from August 1991 to August 2004. Mr. Clifton was an auditor with KPMG, LLP from August 2004 to March 2007. Mr. Clifton received his B.B.A. and M.B.A. degrees from the University of North Florida and is a certified public accountant in the state of Florida.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Non-Employee Directors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Tamara A. Seymour </w:t>
      </w:r>
      <w:r>
        <w:rPr>
          <w:rFonts w:ascii="Arial" w:cs="Arial" w:eastAsia="Arial" w:hAnsi="Arial"/>
          <w:sz w:val="16"/>
          <w:szCs w:val="16"/>
          <w:color w:val="auto"/>
        </w:rPr>
        <w:t>has served as a director and audit committee chair of KemPharm since August 2021. Ms. Seymour has more than 30 years of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industry experience including 20 years as a chief financial officer. Her extensive experience includes leading multiple private and public financings and M&amp;A transactions as well as leading the finance, investor relations, human resources, administration and managed care functions. She currently serves as a board member and audit committee chair of Artelo Biosciences, Inc. and Kintara Therapeutics, Inc., both publicly-traded clinical-development stage companies. Ms. Seymour served on the board of directors of Beacon Discovery, Inc. from 2018 until their acquisition in March 2021. Ms. Seymour was interim CFO of Immunic, Inc., a publicly-traded clinical-stage drug development company in 2019. She served as CFO of Signal Genetics, Inc. (now Viridian Therapeutics, Inc.), a publicly-traded molecular diagnostics company, from 2014 to 2017, HemaQuest Pharmaceuticals, Inc., a venture-backed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Ms. Seymour is a Certified Public Accountant (inactive). She received an MBA, emphasis in Finance, from Georgia State University, and a BBA, emphasis in Accounting, from Valdosta State University. Our Board believes that Ms. Seymour's experience in corporate management, finance and life science provides her with the qualifications and skills to serve as a director of our company.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Matthew R. Plooster </w:t>
      </w:r>
      <w:r>
        <w:rPr>
          <w:rFonts w:ascii="Arial" w:cs="Arial" w:eastAsia="Arial" w:hAnsi="Arial"/>
          <w:sz w:val="16"/>
          <w:szCs w:val="16"/>
          <w:color w:val="auto"/>
        </w:rPr>
        <w:t>has served as a director of our company since March 2011. Mr. Plooster co-founded Bridgepoint Investment Banking, a division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Bridgepoint Holdings, LLC and Bridgepoint Holdings NE, LLC, where he has served as Managing Director since March 2012. Previously, Mr. Plooster worked as an investment banker at DeWaay Investment Banking from October 2010 to March 2012, Morgan Stanley from August 2009 to November 2009 and Deutsche Bank from 2004 to July 2009. Mr. Plooster received his Certificate in Business Excellence from Columbia Business School and his B.A. degree from the University of Chicago. Our Board believes that Mr. Plooster’s experience as an investor in and transaction experience with healthcare companies, as well as other board of director’s experience, provides him with the qualifications and skills to serve as a director of our company.</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Joseph B. Saluri </w:t>
      </w:r>
      <w:r>
        <w:rPr>
          <w:rFonts w:ascii="Arial" w:cs="Arial" w:eastAsia="Arial" w:hAnsi="Arial"/>
          <w:sz w:val="17"/>
          <w:szCs w:val="17"/>
          <w:color w:val="auto"/>
        </w:rPr>
        <w:t>has served as a director of our company since January 2014. Mr. Saluri currently serves as the chief executive officer and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BlueAllele, LLC, a start-up biotechnology company located in Oakdale, Minnesota. Mr. Saluri previously served as general counsel and executive vice president for Calyxt, Inc. from June 2017 to March 2018. Prior to his employment with Calyxt, Inc., Mr. Saluri served as general counsel for Stine Seed Company and its affiliates from July 1999 to March 2017. Mr. Saluri practiced as an attorney and solicitor at law with Nicholas Critelli Associates, PC, in Des Moines, Iowa and London, England from June 1993 to June 1999. Mr. Saluri served as a director of Newlink Genetics Corporation, a public biopharmaceutical company from May 2010 to July 2017. Mr. Saluri received his J.D. degree from Drake University Law School and his B.S.B.A. degree from Drake University. Our Board believes that Mr. Saluri’s extensive legal background and experience in corporate management, finance and investor relations provides him with the qualifications and skills to serve as a director of our company.</w:t>
      </w:r>
    </w:p>
    <w:p>
      <w:pPr>
        <w:spacing w:after="0" w:line="18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i w:val="1"/>
          <w:iCs w:val="1"/>
          <w:color w:val="auto"/>
        </w:rPr>
        <w:t xml:space="preserve">David S. Tierney </w:t>
      </w:r>
      <w:r>
        <w:rPr>
          <w:rFonts w:ascii="Arial" w:cs="Arial" w:eastAsia="Arial" w:hAnsi="Arial"/>
          <w:sz w:val="16"/>
          <w:szCs w:val="16"/>
          <w:color w:val="auto"/>
        </w:rPr>
        <w:t>has served as a director of our company since March 2015. Since December 2020, Dr. Tierney has served as president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Aramis Biosciences, a clinical-stage immuno</w:t>
      </w:r>
      <w:r>
        <w:rPr>
          <w:rFonts w:ascii="MS PGothic" w:cs="MS PGothic" w:eastAsia="MS PGothic" w:hAnsi="MS PGothic"/>
          <w:sz w:val="16"/>
          <w:szCs w:val="16"/>
          <w:color w:val="auto"/>
        </w:rPr>
        <w:t>‑</w:t>
      </w:r>
      <w:r>
        <w:rPr>
          <w:rFonts w:ascii="Arial" w:cs="Arial" w:eastAsia="Arial" w:hAnsi="Arial"/>
          <w:sz w:val="16"/>
          <w:szCs w:val="16"/>
          <w:color w:val="auto"/>
        </w:rPr>
        <w:t>ophthalmology biopharmaceutical company. From February 2020 until December 2020, Dr. Tierney served as chief executive officer of Pharma Two B, Ltd., a privately held company developing innovative therapeutics based on previously approved drugs for Parkinson disease. From September 2019 until January 2020, Dr. Tierney served as president and chief executive officer of BiopharmX, a dermatology drug development company. From March 2014 until March 2018, Dr. Tierney was president chief executive officer of Icon Bioscience, Inc., a privately held ophthalmology company, which was merged into Psivida, Inc to form Eyepoint Pharmaceuticals. From January 2013 until March 2014, Dr. Tierney was a venture partner at Signet Healthcare Partners, a New York City based life science private equity fund. Dr. Tierney served as president and chief operating officer and as a member of the board of directors of Oceana Therapeutics, Inc., a private specialty pharmaceutical company, from its organization in 2008 through its sale to Salix Pharmaceuticals, Ltd. in December 2011. Dr. Tierney served as the president and chief executive officer and as a member of the board of directors of Valera Pharmaceuticals, Inc., a specialty pharmaceutical company, between August 2000 and April 2007, when Valera completed a merger with lndevus Pharmaceuticals, Inc. From January 2000 to August 2000, Dr. Tierney served as president of Biovail Technologies, a division of Biovail Corporation, a Canadian drug delivery company. From March 1997 to January 2000, Dr. Tierney was senior vice president of drug development at Roberts Pharmaceutical Corporation and from December 1989 to March 1997, Dr. Tierney was employed by Elan Corporation, a pharmaceutical company, in a variety of management positions. Dr. Tierney is also a director of Catalyst Pharmaceuticals, Inc. and Bimeda, Inc., a private global veterinary pharmaceutical company. Dr. Tierney received his medical degree from the Royal College of Surgeons in Dublin, Ireland and was subsequently trained in internal medicine. Our Board believes that Dr. Tierney's experience as a pharmaceutical company executive provides him with the qualifications and skills to serve as a director of our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DELINQUENT SECTION 16(A) REPORTS</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Section 16(a) of the Exchange Act requires the Company’s directors and executive officers (as defined under Rule 16a-1(f) under the Exchange Act), and persons who own more than ten percent of a registered class of the Company’s equity securities, or collectively, the Reporting Persons, to file with the SEC initial reports of beneficial ownership and reports of changes in beneficial ownership of equity securities of the Company.</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Company’s knowledge, based solely on its review of the copies of such forms filed with the SEC and upon written representations of the Reporting Persons received by us, the Company believes, during the year ended December 31, 2021, with the exception of a late Form 4 on November 23, 2021 by Dr. Mickle reporting one transaction, all Section 16(a) filing requirements applicable to its Reporting Persons were complied with.</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COMMITTEE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 separately-designated standing audit committee, or the Audit Committee, consisting of Joseph B. Saluri, Tamara A. Seymour and David S. Tierney, with Ms. Seymour serving as chairperson. Our Board has determined that Ms. Seymour is an “audit committee financial expert” as defined by SEC rules and regulations and that Ms. Seymour qualifies as independent under rules of the Nasdaq Stock Market, or Nasdaq, applicable to directors generally and under Nasdaq rules and Rule 10A-3 of the Exchange Act specific to audit committee members.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adopted the KemPharm, Inc. Code of Business Conduct and Ethics, or the Code of Conduct, that applies to all officers, directors and employees, including our principal executive officer, principal financial officer, principal accounting officer or controller, or persons performing similar functions. The Code of Conduct is available on our website at </w:t>
      </w:r>
      <w:r>
        <w:rPr>
          <w:rFonts w:ascii="Arial" w:cs="Arial" w:eastAsia="Arial" w:hAnsi="Arial"/>
          <w:sz w:val="18"/>
          <w:szCs w:val="18"/>
          <w:u w:val="single" w:color="auto"/>
          <w:color w:val="auto"/>
        </w:rPr>
        <w:t>www.kempharm.com</w:t>
      </w:r>
      <w:r>
        <w:rPr>
          <w:rFonts w:ascii="Arial" w:cs="Arial" w:eastAsia="Arial" w:hAnsi="Arial"/>
          <w:sz w:val="18"/>
          <w:szCs w:val="18"/>
          <w:color w:val="auto"/>
        </w:rPr>
        <w:t>. If we make any substantive amendments to the Code of Conduct or grant any waiver from a provision of the Code of Conduct to any executive officer or director, we will promptly disclose the nature of the amendment or waiver on our website.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chief executive officer, executive chairman and two of our other most highly compensated executive officers for the year ended December 31, 2021 are listed below:</w:t>
      </w:r>
    </w:p>
    <w:p>
      <w:pPr>
        <w:spacing w:after="0" w:line="170" w:lineRule="exact"/>
        <w:rPr>
          <w:sz w:val="20"/>
          <w:szCs w:val="20"/>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Travis C. Mickle, Ph.D., our president, chief executive officer and director;</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Richard W. Pascoe., our executive chairman;</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Sven Guenther, Ph.D., our executive vice president, research and development; and</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 LaDuane Clifton, CPA, our chief financial officer, secretary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these executive officers as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presents the compensation awarded to, earned by or paid to each of our named executive officers for the years ended December 31, 2021, and 2020, as applicable.</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Non-Equity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Incentive Plan</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b w:val="1"/>
                <w:bCs w:val="1"/>
                <w:color w:val="auto"/>
              </w:rPr>
              <w:t>Salary</w:t>
            </w:r>
          </w:p>
        </w:tc>
        <w:tc>
          <w:tcPr>
            <w:tcW w:w="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8"/>
                <w:szCs w:val="18"/>
                <w:b w:val="1"/>
                <w:bCs w:val="1"/>
                <w:color w:val="auto"/>
              </w:rPr>
              <w:t>Bonus</w:t>
            </w:r>
          </w:p>
        </w:tc>
        <w:tc>
          <w:tcPr>
            <w:tcW w:w="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Compensation</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80" w:type="dxa"/>
            <w:vAlign w:val="bottom"/>
          </w:tcPr>
          <w:p>
            <w:pPr>
              <w:spacing w:after="0"/>
              <w:rPr>
                <w:sz w:val="18"/>
                <w:szCs w:val="18"/>
                <w:color w:val="auto"/>
              </w:rPr>
            </w:pPr>
          </w:p>
        </w:tc>
        <w:tc>
          <w:tcPr>
            <w:tcW w:w="8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Name and Principal Position</w:t>
            </w:r>
          </w:p>
        </w:tc>
        <w:tc>
          <w:tcPr>
            <w:tcW w:w="80" w:type="dxa"/>
            <w:vAlign w:val="bottom"/>
          </w:tcPr>
          <w:p>
            <w:pPr>
              <w:spacing w:after="0"/>
              <w:rPr>
                <w:sz w:val="20"/>
                <w:szCs w:val="20"/>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Year</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3" w:lineRule="exact"/>
              <w:rPr>
                <w:sz w:val="20"/>
                <w:szCs w:val="20"/>
                <w:color w:val="auto"/>
              </w:rPr>
            </w:pPr>
            <w:r>
              <w:rPr>
                <w:rFonts w:ascii="Arial" w:cs="Arial" w:eastAsia="Arial" w:hAnsi="Arial"/>
                <w:sz w:val="17"/>
                <w:szCs w:val="17"/>
                <w:b w:val="1"/>
                <w:bCs w:val="1"/>
                <w:color w:val="auto"/>
                <w:w w:val="92"/>
              </w:rPr>
              <w:t xml:space="preserve">($) </w:t>
            </w:r>
            <w:r>
              <w:rPr>
                <w:rFonts w:ascii="Arial" w:cs="Arial" w:eastAsia="Arial" w:hAnsi="Arial"/>
                <w:sz w:val="27"/>
                <w:szCs w:val="27"/>
                <w:b w:val="1"/>
                <w:bCs w:val="1"/>
                <w:color w:val="auto"/>
                <w:w w:val="92"/>
                <w:vertAlign w:val="superscript"/>
              </w:rPr>
              <w:t>(1)</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4"/>
                <w:szCs w:val="14"/>
                <w:b w:val="1"/>
                <w:bCs w:val="1"/>
                <w:color w:val="auto"/>
                <w:w w:val="99"/>
              </w:rPr>
              <w:t>(2)</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4"/>
                <w:szCs w:val="14"/>
                <w:b w:val="1"/>
                <w:bCs w:val="1"/>
                <w:color w:val="auto"/>
                <w:w w:val="99"/>
              </w:rPr>
              <w:t>(3)</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09"/>
        </w:trPr>
        <w:tc>
          <w:tcPr>
            <w:tcW w:w="2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Travis C. Mickle, Ph.D.</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2021</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561,946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199,582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1,883,931</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11,600</w:t>
            </w:r>
          </w:p>
        </w:tc>
        <w:tc>
          <w:tcPr>
            <w:tcW w:w="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2,657,059</w:t>
            </w:r>
          </w:p>
        </w:tc>
      </w:tr>
      <w:tr>
        <w:trPr>
          <w:trHeight w:val="201"/>
        </w:trPr>
        <w:tc>
          <w:tcPr>
            <w:tcW w:w="9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President,</w:t>
            </w: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94"/>
              </w:rPr>
              <w:t>chief</w:t>
            </w: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89"/>
              </w:rPr>
              <w:t>executive</w:t>
            </w:r>
          </w:p>
        </w:tc>
        <w:tc>
          <w:tcPr>
            <w:tcW w:w="440" w:type="dxa"/>
            <w:vAlign w:val="bottom"/>
          </w:tcPr>
          <w:p>
            <w:pPr>
              <w:ind w:left="60"/>
              <w:spacing w:after="0" w:line="201" w:lineRule="exact"/>
              <w:rPr>
                <w:sz w:val="20"/>
                <w:szCs w:val="20"/>
                <w:color w:val="auto"/>
              </w:rPr>
            </w:pPr>
            <w:r>
              <w:rPr>
                <w:rFonts w:ascii="Arial" w:cs="Arial" w:eastAsia="Arial" w:hAnsi="Arial"/>
                <w:sz w:val="18"/>
                <w:szCs w:val="18"/>
                <w:color w:val="auto"/>
                <w:w w:val="89"/>
              </w:rPr>
              <w:t>2020</w:t>
            </w:r>
          </w:p>
        </w:tc>
        <w:tc>
          <w:tcPr>
            <w:tcW w:w="9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89"/>
              </w:rPr>
              <w:t>530,450</w:t>
            </w:r>
          </w:p>
        </w:tc>
        <w:tc>
          <w:tcPr>
            <w:tcW w:w="8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291,748</w:t>
            </w:r>
          </w:p>
        </w:tc>
        <w:tc>
          <w:tcPr>
            <w:tcW w:w="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2"/>
              </w:rPr>
              <w:t>134,381</w:t>
            </w:r>
          </w:p>
        </w:tc>
        <w:tc>
          <w:tcPr>
            <w:tcW w:w="12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11,400</w:t>
            </w:r>
          </w:p>
        </w:tc>
        <w:tc>
          <w:tcPr>
            <w:tcW w:w="9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967,979</w:t>
            </w:r>
          </w:p>
        </w:tc>
      </w:tr>
      <w:tr>
        <w:trPr>
          <w:trHeight w:val="215"/>
        </w:trPr>
        <w:tc>
          <w:tcPr>
            <w:tcW w:w="2360" w:type="dxa"/>
            <w:vAlign w:val="bottom"/>
            <w:gridSpan w:val="5"/>
          </w:tcPr>
          <w:p>
            <w:pPr>
              <w:ind w:left="180"/>
              <w:spacing w:after="0"/>
              <w:rPr>
                <w:sz w:val="20"/>
                <w:szCs w:val="20"/>
                <w:color w:val="auto"/>
              </w:rPr>
            </w:pPr>
            <w:r>
              <w:rPr>
                <w:rFonts w:ascii="Arial" w:cs="Arial" w:eastAsia="Arial" w:hAnsi="Arial"/>
                <w:sz w:val="18"/>
                <w:szCs w:val="18"/>
                <w:color w:val="auto"/>
              </w:rPr>
              <w:t>officer and chairman of the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20" w:type="dxa"/>
            <w:vAlign w:val="bottom"/>
          </w:tcPr>
          <w:p>
            <w:pPr>
              <w:ind w:left="180"/>
              <w:spacing w:after="0"/>
              <w:rPr>
                <w:sz w:val="20"/>
                <w:szCs w:val="20"/>
                <w:color w:val="auto"/>
              </w:rPr>
            </w:pPr>
            <w:r>
              <w:rPr>
                <w:rFonts w:ascii="Arial" w:cs="Arial" w:eastAsia="Arial" w:hAnsi="Arial"/>
                <w:sz w:val="18"/>
                <w:szCs w:val="18"/>
                <w:color w:val="auto"/>
              </w:rPr>
              <w:t>board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1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Richard W. Pascoe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2021</w:t>
            </w:r>
          </w:p>
        </w:tc>
        <w:tc>
          <w:tcPr>
            <w:tcW w:w="960" w:type="dxa"/>
            <w:vAlign w:val="bottom"/>
            <w:gridSpan w:val="2"/>
            <w:shd w:val="clear" w:color="auto" w:fill="CCEEFF"/>
          </w:tcPr>
          <w:p>
            <w:pPr>
              <w:jc w:val="center"/>
              <w:ind w:left="12"/>
              <w:spacing w:after="0" w:line="216" w:lineRule="exact"/>
              <w:rPr>
                <w:sz w:val="20"/>
                <w:szCs w:val="20"/>
                <w:color w:val="auto"/>
              </w:rPr>
            </w:pPr>
            <w:r>
              <w:rPr>
                <w:rFonts w:ascii="Arial" w:cs="Arial" w:eastAsia="Arial" w:hAnsi="Arial"/>
                <w:sz w:val="15"/>
                <w:szCs w:val="15"/>
                <w:color w:val="auto"/>
              </w:rPr>
              <w:t>119,814</w:t>
            </w:r>
            <w:r>
              <w:rPr>
                <w:rFonts w:ascii="Arial" w:cs="Arial" w:eastAsia="Arial" w:hAnsi="Arial"/>
                <w:sz w:val="24"/>
                <w:szCs w:val="24"/>
                <w:color w:val="auto"/>
                <w:vertAlign w:val="superscript"/>
              </w:rPr>
              <w:t>(4)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line="216" w:lineRule="exact"/>
              <w:rPr>
                <w:sz w:val="20"/>
                <w:szCs w:val="20"/>
                <w:color w:val="auto"/>
              </w:rPr>
            </w:pPr>
            <w:r>
              <w:rPr>
                <w:rFonts w:ascii="Arial" w:cs="Arial" w:eastAsia="Arial" w:hAnsi="Arial"/>
                <w:sz w:val="15"/>
                <w:szCs w:val="15"/>
                <w:color w:val="auto"/>
              </w:rPr>
              <w:t>540,401</w:t>
            </w:r>
            <w:r>
              <w:rPr>
                <w:rFonts w:ascii="Arial" w:cs="Arial" w:eastAsia="Arial" w:hAnsi="Arial"/>
                <w:sz w:val="24"/>
                <w:szCs w:val="24"/>
                <w:color w:val="auto"/>
                <w:vertAlign w:val="superscript"/>
              </w:rPr>
              <w:t>(5)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2,267</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712,482</w:t>
            </w:r>
          </w:p>
        </w:tc>
      </w:tr>
      <w:tr>
        <w:trPr>
          <w:trHeight w:val="215"/>
        </w:trPr>
        <w:tc>
          <w:tcPr>
            <w:tcW w:w="2360" w:type="dxa"/>
            <w:vAlign w:val="bottom"/>
            <w:gridSpan w:val="5"/>
          </w:tcPr>
          <w:p>
            <w:pPr>
              <w:ind w:left="180"/>
              <w:spacing w:after="0"/>
              <w:rPr>
                <w:sz w:val="20"/>
                <w:szCs w:val="20"/>
                <w:color w:val="auto"/>
              </w:rPr>
            </w:pPr>
            <w:r>
              <w:rPr>
                <w:rFonts w:ascii="Arial" w:cs="Arial" w:eastAsia="Arial" w:hAnsi="Arial"/>
                <w:sz w:val="18"/>
                <w:szCs w:val="18"/>
                <w:color w:val="auto"/>
              </w:rPr>
              <w:t>Executive Chairman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1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7"/>
              </w:rPr>
              <w:t>Sven Guenther, Ph.D.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2021</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398,982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85,022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584,888</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13,261</w:t>
            </w:r>
          </w:p>
        </w:tc>
        <w:tc>
          <w:tcPr>
            <w:tcW w:w="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1,082,153</w:t>
            </w:r>
          </w:p>
        </w:tc>
      </w:tr>
      <w:tr>
        <w:trPr>
          <w:trHeight w:val="201"/>
        </w:trPr>
        <w:tc>
          <w:tcPr>
            <w:tcW w:w="9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Executive</w:t>
            </w:r>
          </w:p>
        </w:tc>
        <w:tc>
          <w:tcPr>
            <w:tcW w:w="6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vice</w:t>
            </w: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85"/>
              </w:rPr>
              <w:t>president,</w:t>
            </w:r>
          </w:p>
        </w:tc>
        <w:tc>
          <w:tcPr>
            <w:tcW w:w="440" w:type="dxa"/>
            <w:vAlign w:val="bottom"/>
          </w:tcPr>
          <w:p>
            <w:pPr>
              <w:ind w:left="60"/>
              <w:spacing w:after="0" w:line="201" w:lineRule="exact"/>
              <w:rPr>
                <w:sz w:val="20"/>
                <w:szCs w:val="20"/>
                <w:color w:val="auto"/>
              </w:rPr>
            </w:pPr>
            <w:r>
              <w:rPr>
                <w:rFonts w:ascii="Arial" w:cs="Arial" w:eastAsia="Arial" w:hAnsi="Arial"/>
                <w:sz w:val="18"/>
                <w:szCs w:val="18"/>
                <w:color w:val="auto"/>
                <w:w w:val="89"/>
              </w:rPr>
              <w:t>2020</w:t>
            </w:r>
          </w:p>
        </w:tc>
        <w:tc>
          <w:tcPr>
            <w:tcW w:w="960" w:type="dxa"/>
            <w:vAlign w:val="bottom"/>
            <w:gridSpan w:val="2"/>
          </w:tcPr>
          <w:p>
            <w:pPr>
              <w:jc w:val="center"/>
              <w:ind w:left="12"/>
              <w:spacing w:after="0" w:line="201" w:lineRule="exact"/>
              <w:rPr>
                <w:sz w:val="20"/>
                <w:szCs w:val="20"/>
                <w:color w:val="auto"/>
              </w:rPr>
            </w:pPr>
            <w:r>
              <w:rPr>
                <w:rFonts w:ascii="Arial" w:cs="Arial" w:eastAsia="Arial" w:hAnsi="Arial"/>
                <w:sz w:val="18"/>
                <w:szCs w:val="18"/>
                <w:color w:val="auto"/>
                <w:w w:val="89"/>
              </w:rPr>
              <w:t>374,792</w:t>
            </w:r>
          </w:p>
        </w:tc>
        <w:tc>
          <w:tcPr>
            <w:tcW w:w="92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90"/>
              </w:rPr>
              <w:t>10,000</w:t>
            </w:r>
          </w:p>
        </w:tc>
        <w:tc>
          <w:tcPr>
            <w:tcW w:w="120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124,285</w:t>
            </w:r>
          </w:p>
        </w:tc>
        <w:tc>
          <w:tcPr>
            <w:tcW w:w="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7"/>
              </w:rPr>
              <w:t>51,193</w:t>
            </w:r>
          </w:p>
        </w:tc>
        <w:tc>
          <w:tcPr>
            <w:tcW w:w="12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13,061</w:t>
            </w:r>
          </w:p>
        </w:tc>
        <w:tc>
          <w:tcPr>
            <w:tcW w:w="9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563,331</w:t>
            </w:r>
          </w:p>
        </w:tc>
      </w:tr>
      <w:tr>
        <w:trPr>
          <w:trHeight w:val="230"/>
        </w:trPr>
        <w:tc>
          <w:tcPr>
            <w:tcW w:w="2360" w:type="dxa"/>
            <w:vAlign w:val="bottom"/>
            <w:gridSpan w:val="5"/>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5"/>
        </w:trPr>
        <w:tc>
          <w:tcPr>
            <w:tcW w:w="23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 LaDuane Clifton, CPA</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2021</w:t>
            </w:r>
          </w:p>
        </w:tc>
        <w:tc>
          <w:tcPr>
            <w:tcW w:w="9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370,993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92,234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589,929</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13,056</w:t>
            </w:r>
          </w:p>
        </w:tc>
        <w:tc>
          <w:tcPr>
            <w:tcW w:w="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1,056,212</w:t>
            </w:r>
          </w:p>
        </w:tc>
      </w:tr>
      <w:tr>
        <w:trPr>
          <w:trHeight w:val="217"/>
        </w:trPr>
        <w:tc>
          <w:tcPr>
            <w:tcW w:w="720" w:type="dxa"/>
            <w:vAlign w:val="bottom"/>
          </w:tcPr>
          <w:p>
            <w:pPr>
              <w:ind w:left="180"/>
              <w:spacing w:after="0"/>
              <w:rPr>
                <w:sz w:val="20"/>
                <w:szCs w:val="20"/>
                <w:color w:val="auto"/>
              </w:rPr>
            </w:pPr>
            <w:r>
              <w:rPr>
                <w:rFonts w:ascii="Arial" w:cs="Arial" w:eastAsia="Arial" w:hAnsi="Arial"/>
                <w:sz w:val="18"/>
                <w:szCs w:val="18"/>
                <w:color w:val="auto"/>
              </w:rPr>
              <w:t>Chief</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financial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officer,</w:t>
            </w:r>
          </w:p>
        </w:tc>
        <w:tc>
          <w:tcPr>
            <w:tcW w:w="440" w:type="dxa"/>
            <w:vAlign w:val="bottom"/>
          </w:tcPr>
          <w:p>
            <w:pPr>
              <w:ind w:left="60"/>
              <w:spacing w:after="0"/>
              <w:rPr>
                <w:sz w:val="20"/>
                <w:szCs w:val="20"/>
                <w:color w:val="auto"/>
              </w:rPr>
            </w:pPr>
            <w:r>
              <w:rPr>
                <w:rFonts w:ascii="Arial" w:cs="Arial" w:eastAsia="Arial" w:hAnsi="Arial"/>
                <w:sz w:val="18"/>
                <w:szCs w:val="18"/>
                <w:color w:val="auto"/>
                <w:w w:val="89"/>
              </w:rPr>
              <w:t>2020</w:t>
            </w:r>
          </w:p>
        </w:tc>
        <w:tc>
          <w:tcPr>
            <w:tcW w:w="9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350,200</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134,827</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51,193</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4,894</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541,114</w:t>
            </w:r>
          </w:p>
        </w:tc>
      </w:tr>
    </w:tbl>
    <w:p>
      <w:pPr>
        <w:ind w:left="1300"/>
        <w:spacing w:after="0"/>
        <w:rPr>
          <w:sz w:val="20"/>
          <w:szCs w:val="20"/>
          <w:color w:val="auto"/>
        </w:rPr>
      </w:pPr>
      <w:r>
        <w:rPr>
          <w:rFonts w:ascii="Arial" w:cs="Arial" w:eastAsia="Arial" w:hAnsi="Arial"/>
          <w:sz w:val="18"/>
          <w:szCs w:val="18"/>
          <w:color w:val="auto"/>
        </w:rPr>
        <w:t>secretary and treasurer</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(1)The amount for 2020 and 2021 reflect non-equity incentive plan awards paid in 2021 and 2022, for performance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-121920</wp:posOffset>
            </wp:positionV>
            <wp:extent cx="5704205" cy="273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2020 and 2021, respectively.</w:t>
      </w:r>
    </w:p>
    <w:p>
      <w:pPr>
        <w:spacing w:after="0" w:line="9" w:lineRule="exact"/>
        <w:rPr>
          <w:sz w:val="20"/>
          <w:szCs w:val="20"/>
          <w:color w:val="auto"/>
        </w:rPr>
      </w:pPr>
    </w:p>
    <w:p>
      <w:pPr>
        <w:jc w:val="both"/>
        <w:ind w:left="1340" w:right="1120" w:hanging="215"/>
        <w:spacing w:after="0" w:line="264" w:lineRule="auto"/>
        <w:rPr>
          <w:sz w:val="20"/>
          <w:szCs w:val="20"/>
          <w:color w:val="auto"/>
        </w:rPr>
      </w:pPr>
      <w:r>
        <w:rPr>
          <w:rFonts w:ascii="Arial" w:cs="Arial" w:eastAsia="Arial" w:hAnsi="Arial"/>
          <w:sz w:val="17"/>
          <w:szCs w:val="17"/>
          <w:color w:val="auto"/>
        </w:rPr>
        <w:t xml:space="preserve">(2)The amounts reflect the full grant date fair value for awards granted during 2021 and 2020, respectively. The grant date fair value was computed in accordance with ASC Topic 718,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 Compensation</w:t>
      </w:r>
      <w:r>
        <w:rPr>
          <w:rFonts w:ascii="Arial" w:cs="Arial" w:eastAsia="Arial" w:hAnsi="Arial"/>
          <w:sz w:val="17"/>
          <w:szCs w:val="17"/>
          <w:color w:val="auto"/>
        </w:rPr>
        <w:t>.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L to our audited financial statements included in our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1905</wp:posOffset>
            </wp:positionV>
            <wp:extent cx="5704205"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4205" cy="1365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(3)See “Narrative to Summary Compensation Table—Other Compensation” for a description of the items in this column.</w:t>
      </w:r>
    </w:p>
    <w:p>
      <w:pPr>
        <w:spacing w:after="0" w:line="9" w:lineRule="exact"/>
        <w:rPr>
          <w:sz w:val="20"/>
          <w:szCs w:val="20"/>
          <w:color w:val="auto"/>
        </w:rPr>
      </w:pPr>
    </w:p>
    <w:p>
      <w:pPr>
        <w:jc w:val="both"/>
        <w:ind w:left="1340" w:right="1120" w:hanging="215"/>
        <w:spacing w:after="0" w:line="281" w:lineRule="auto"/>
        <w:rPr>
          <w:sz w:val="20"/>
          <w:szCs w:val="20"/>
          <w:color w:val="auto"/>
        </w:rPr>
      </w:pPr>
      <w:r>
        <w:rPr>
          <w:rFonts w:ascii="Arial" w:cs="Arial" w:eastAsia="Arial" w:hAnsi="Arial"/>
          <w:sz w:val="16"/>
          <w:szCs w:val="16"/>
          <w:color w:val="auto"/>
        </w:rPr>
        <w:t>(4)The amount reflects salary of $56,667 Mr. Pascoe earned as executive chairman of our company for the period commencing November 10, 2021 and ending December 31, 2021, and $63,147 in stipends awarded for Mr. Pascoe’s service on our Board, as our lead independent director, as the chairman of our Audit Committee and as a member of our Compensation Committee from January 1, 2021 through November 9, 2021 prior to being appointed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0</wp:posOffset>
            </wp:positionV>
            <wp:extent cx="5704205" cy="410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4205" cy="410210"/>
                    </a:xfrm>
                    <a:prstGeom prst="rect">
                      <a:avLst/>
                    </a:prstGeom>
                    <a:noFill/>
                  </pic:spPr>
                </pic:pic>
              </a:graphicData>
            </a:graphic>
          </wp:anchor>
        </w:drawing>
      </w:r>
    </w:p>
    <w:p>
      <w:pPr>
        <w:ind w:left="1340" w:right="1280" w:hanging="215"/>
        <w:spacing w:after="0" w:line="254" w:lineRule="auto"/>
        <w:rPr>
          <w:sz w:val="20"/>
          <w:szCs w:val="20"/>
          <w:color w:val="auto"/>
        </w:rPr>
      </w:pPr>
      <w:r>
        <w:rPr>
          <w:rFonts w:ascii="Arial" w:cs="Arial" w:eastAsia="Arial" w:hAnsi="Arial"/>
          <w:sz w:val="18"/>
          <w:szCs w:val="18"/>
          <w:color w:val="auto"/>
        </w:rPr>
        <w:t>(5)The amount reflects options granted to Mr. Pascoe in connection with his appointment as our executive chairman with a $360,101 full grant date fair value and options granted to Mr. Pascoe in his capacity as a director with a $180,300 full grant date fair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review compensation at least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 The compensation committee of our Board, or the Compensation Committee,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our Compensation Committee, without members of management present, discusses and ultimately approves the compensation of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named executive officers’ base salaries are reviewed periodically by our Compensation Committee, and adjustments may be made upon the approval of the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1, 2020, our Compensation Committee approved an increase in Dr. Guenther’s annual base salaries to $376,620.</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Effective March 16, 2021, our Compensation Committee approved an increase in Dr. Mickle’s, Dr. Guenther’s and Mr. Clifton annual base salaries to $570,234, $404,867, and $376,465,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Effective February 1, 2022, our Compensation Committee approved an increase in Dr. Mickle’s, Mr. Pascoe, Dr. Guenther’s, and Mr. Clifton annual base salary to $592,000, $425,000, $417,013, and $414,112,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 and Non-Equity Incentive Plan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Board and Compensation Committee may make cash bonus and non-equity incentive plan awards in their discretion.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2022, our Compensation Committee approved cash awards to Dr. Mickle, Mr. Pascoe, Dr. Guenther, and Mr. Clifton of $199,582, $50,000, $85,022, and $92,234, respectively, for their services in 2021. These award amounts were in recognition for Dr. Mickle’s, Mr. Pascoe, Dr. Guenther’s and Mr. Clifton’s performance during the indicated year based on corporate and individual objectives and are reflected in the “Non-Equity Incentive Plan Awards” column of the Summary Compensation Table above for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2014 equity incentive plan, or the 2014 Plan, authorizes us to make grants to eligible recipients of non-qualified stock options, incentive stock options and other stock-based awards. All of our awards under this plan have been in the form of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typically grant stock options at the start of employment to each executive and our other employees. Through December 31, 2021, we have not maintained a policy of granting additional equity on an annual basis, but we have retained discretion to provide additional targeted grants in appropriate circumstances.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award stock options to employees who are not officers of the Company on the date the Single-Person Non-Officer Stock Award Subcommittee of the Compensation Committee (as defined below) approves the grant. In 2015, the Compensation Committee formed a single-person non-officer stock award committee (the "Single-Person Non-Officer Stock Award Subcommittee"), currently composed of our chief executive officer, Travis C. Mickle, to which it delegated authority to grant, without any further action required by the Compensation Committee, stock awards to employees who are not officers of the Company, provided that such grants are made in accordance with guidelines established by the Compensation Committee. If employees are officers of the Company we award stock options on the date the Compensation Committee approves the grant. We set the option exercise price as the last reported sale price of our common stock on The Nasdaq Stock Market on the date of grant. In addition, unless we specifically state otherwise, historical stock prices in this annual report on Form 10-K have been adjusted to reflect a 1-for-16 reverse stock split of our common stock effected on December 23, 2020.</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2021, we granted Dr. Mickle an option to purchase 263,743 shares of common stock. The exercise price of this option is $9.06 per share, which equaled the closing sale price per share of our common stock as reported on The Nasdaq Stock Market on the date of grant. The shares subject to this option will vest in equal annual installments over a period of four years. All shares underlying this option will vest in full and become immediately exercisable upon a change of control of the Company or if Dr. Mickle is terminated without cause or resigns for good reason (each as defined in Dr. Mickle’s employment agreement, discussed under “Employment Arrangements and Potential Payments upon Termination of Employment” herein).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November 2021, we granted Mr. Pascoe an option to purchase 100,000 shares of common stock. The exercise price of this option is $9.10 per share, which equaled the closing sale price per share of our common stock as reported on The Nasdaq Stock Market on the date of grant. Of the shares underlying the option, 50% of such shares will vest upon the closing of the earlier of (x) a "Change in Control" (as defined in the 2014 Plan) of the Company or (y) a transformative business development transaction, as determined in the discretion of the board of directors (together, the "Transactions"); provided that the definitive agreement for either of the Transactions is executed on or prior to November 10, 2022, and Mr. Pascoe is, immediately prior to the closing of the Change in Control or transformative business development transaction, as applicable, still serving as Executive Chairman or as another executive officer; and the remaining 50% of such shares will vest in equal annual installments over a period of four years. All unvested time-based shares underlying this option will vest in full and become immediately exercisable upon a Change in Control (as defined in the 2014 Plan). In addition, this option will vest in full and become immediately exercisable if Mr. Pascoe is terminated without cause or resigns for good reason (each as defined in Mr. Pascoe’s employment agreement, discussed under “Employment Arrangements and Potential Payments upon Termination of Employment” herein), and, with respect to the portion of the option that vests based on the attainment of performance goals, the performance goals will be deemed to have met as of the date of termination.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2021, we granted Dr. Guenther an option to purchase 81,716 shares of common stock. The exercise price of this option is $9.06 per share, which equaled the closing sale price per share of our common stock as reported on The Nasdaq Stock Market on the date of grant. The shares subject to this option will vest in equal annual installments over a period of four years. All shares underlying this option will vest in full and become immediately exercisable upon a change of control of the Company or if Dr. Guenther is terminated without cause or resigns for good reason (each as defined in Dr. Guenther’s employment agreement, discussed under “Employment Arrangements and Potential Payments upon Termination of Employment” herein).</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2021, we granted Mr. Clifton an option to purchase 82,423 shares of common stock. The exercise price of this option is $9.06 per share, which equaled the closing sale price per share of our common stock as reported on The Nasdaq Stock Market on the date of grant. The shares subject to this option will vest in equal annual installments over a period of four years. All shares underlying this option will vest in full and become immediately exercisable upon a change of control of the Company or if Mr. Clifton is terminated without cause or resigns for good reason (each as defined in Mr. Clifton’s employment agreement, discussed under “Employment Arrangements and Potential Payments upon Termination of Employment”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Other amounts shown in the “All Other Compensation” column in the Summary Compensation Table relate to Company contributions to the 401(k) plan, premiums we paid for life and disability insurance policies and tax gross-up payments.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benefits described above, we do not provide perquisites or personal benefits to our named executive officers. We do, however, pay the premiums for medical, dental and vision insurance, and payments for certain qualified dependent care benefits for all of our employees, including our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and Potential Payments upon Termination of Employment</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May 2014, we entered into an employment agreement with Dr. Mickle, under which Dr. Mickle serves as our president and chief executive officer. Under this agreement, upon the execution of a release of claims, Dr. Mickle is eligible to receive severance benefits in specified circumstances.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that we terminate Dr. Mickle without cause or he resigns for good reason, Dr. Mickle will be entitled to receive (a) an amount equal to 18 months of his annual base salary, less applicable deductions, payable in accordance with our normal payroll schedule, (b) a pro rata bonus award payable on the first regularly scheduled pay day following the 60th day after his termination, (c) 18 months of continued health coverage and (d) full vesting of his outstanding equity awards, except that if such termination occurs within 60 days before, upon or within one year following a sale that constitutes a “change in control event” as defined in Section 409A of the Internal Revenue Code of 1986, as amended, or the Code, then in lieu of the payments described in clause (a) Dr. Mickle will be entitled to receive a lump sum payment equal to one and one-half times the sum of his annual salary plus his target annual bonus on the first regularly scheduled pay day following the 60th day after his termination. In the event that we terminate Dr. Mickle with cause, Dr. Mickle resigns without good reason, or his employment is terminated due to mutual agreement, death or disability, then Dr. Mickle will not be entitled to receive severance benefits. Under the terms of Dr. Mickle’s employment agreement, if we enter into any change of control, all then unvested shares subject to outstanding options shall become fully vested and immediately exercisable immediately prior to such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have been adopted in Dr. Mickle’s employment agreement:</w:t>
      </w:r>
    </w:p>
    <w:p>
      <w:pPr>
        <w:spacing w:after="0" w:line="224" w:lineRule="exact"/>
        <w:rPr>
          <w:sz w:val="20"/>
          <w:szCs w:val="20"/>
          <w:color w:val="auto"/>
        </w:rPr>
      </w:pPr>
    </w:p>
    <w:p>
      <w:pPr>
        <w:jc w:val="both"/>
        <w:ind w:left="460" w:hanging="223"/>
        <w:spacing w:after="0" w:line="287"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“cause” means (a) executive is convicted of, or pleads nolo contendere to, a crime constituting a misdemeanor involving dishonesty or moral turpitude or any crime constituting a felony, (b) executive neglects, refuses or fails to perform executive’s material duties, (c) executive commits a material act of dishonesty or otherwise engages in or is guilty of gross negligence or willful misconduct in the performance of executive’s duties or</w:t>
      </w:r>
    </w:p>
    <w:p>
      <w:pPr>
        <w:jc w:val="both"/>
        <w:ind w:left="460" w:firstLine="6"/>
        <w:spacing w:after="0" w:line="254" w:lineRule="auto"/>
        <w:tabs>
          <w:tab w:leader="none" w:pos="7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executive materially breaches the provisions of any written non-competition, non-disclosure or non-solicitation agreement, or any other agreement with us provided, however, that executive shall have 15 days following a notice of termination specifying a condition under clause (b), (c) or (d) constituting cause to cure such condition; and</w:t>
      </w:r>
    </w:p>
    <w:p>
      <w:pPr>
        <w:spacing w:after="0" w:line="190" w:lineRule="exact"/>
        <w:rPr>
          <w:rFonts w:ascii="Arial" w:cs="Arial" w:eastAsia="Arial" w:hAnsi="Arial"/>
          <w:sz w:val="18"/>
          <w:szCs w:val="18"/>
          <w:color w:val="auto"/>
        </w:rPr>
      </w:pPr>
    </w:p>
    <w:p>
      <w:pPr>
        <w:jc w:val="both"/>
        <w:ind w:left="460" w:hanging="223"/>
        <w:spacing w:after="0" w:line="296"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“good reason” means (a) material diminution by us of the executive’s authority, duties or responsibilities the duration of which is greater than 15 days and which is not the result of his acts or omissions which constitute cause, (b) a material change in the geographic location at which the executive must perform services under the agreement, (c) a material diminution in his base salary which is not the result of an across-the-board reduction in base salaries of other senior executives of the Company or (d) any action or inaction that constitutes a material breach by us of the agreement, including our failure to pay any amounts due to the executive or our failure to obtain from a successor the express assumption of the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November 2021, we entered into an employment agreement with Mr. Pascoe, under which Mr. Pascoe serves as our executive chairman. Under this agreement, upon the execution of a release of claims, Mr. Pascoe is eligible to receive severance benefits in specified circumstances.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we terminate Mr. Pascoe without cause or he resigns for good reason, Mr. Pascoe will be entitled to receive (a) an amount equal to 12 months of his annual base salary, less applicable deductions, payable in accordance with our normal payroll schedule, (b) a pro rata bonus award payable on the first regularly scheduled pay day following the 60th day after his termination, (c) 12 months of continued health coverage and (d) full vesting of his outstanding equity awards, except that if such termination occurs within 60 days before, upon or within one year following a sale that constitutes a “change in control event” as defined in Section 409A of the Internal Revenue Code of 1986, as amended, or the Code, then in lieu of the payments described in clause (a) Mr. Pascoe will be entitled to receive a lump sum payment equal to one and one-half times the sum of his annual salary plus his target annual bonus on the first regularly scheduled pay day following the 60th day after his termination; in lieu of the payment described in clause (b) Mr. Pascoe will be entitled to receive an amount equal to his target annual bonus; and the health coverage continuation period described in clause (c) will be extended to 18 months. In the event that we terminate Mr. Pascoe with cause, Mr. Pascoe resigns without good reason, or his employment is terminated due to mutual agreement, death or disability, then Mr. Pascoe will not be entitled to receive severance benefits. Under the terms of Mr. Pascoe's employment agreement, if we consummate a Change in Control (as defined in the 2014 Plan), all then unvested time-based equity awards shall become fully vested and immediately exercisable immediately prior to such change in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have been adopted in Mr. Pascoe’s employment agreement:</w:t>
      </w:r>
    </w:p>
    <w:p>
      <w:pPr>
        <w:spacing w:after="0" w:line="224" w:lineRule="exact"/>
        <w:rPr>
          <w:sz w:val="20"/>
          <w:szCs w:val="20"/>
          <w:color w:val="auto"/>
        </w:rPr>
      </w:pPr>
    </w:p>
    <w:p>
      <w:pPr>
        <w:jc w:val="both"/>
        <w:ind w:left="460" w:hanging="223"/>
        <w:spacing w:after="0" w:line="287"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“cause” means (a) executive is convicted of, or pleads nolo contendere to, a crime constituting a misdemeanor involving dishonesty or moral turpitude or any crime constituting a felony, (b) executive neglects, refuses or fails to perform executive’s material duties, (c) executive commits a material act of dishonesty or otherwise engages in or is guilty of gross negligence or willful misconduct in the performance of executive’s duties or</w:t>
      </w:r>
    </w:p>
    <w:p>
      <w:pPr>
        <w:jc w:val="both"/>
        <w:ind w:left="460" w:firstLine="6"/>
        <w:spacing w:after="0" w:line="254" w:lineRule="auto"/>
        <w:tabs>
          <w:tab w:leader="none" w:pos="7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executive materially breaches the provisions of any written non-competition, non-disclosure or non-solicitation agreement, or any other agreement with us provided, however, that executive shall have 15 days following a notice of termination specifying a condition under clause (b), (c) or (d) constituting cause to cure such condition; and</w:t>
      </w:r>
    </w:p>
    <w:p>
      <w:pPr>
        <w:spacing w:after="0" w:line="190" w:lineRule="exact"/>
        <w:rPr>
          <w:rFonts w:ascii="Arial" w:cs="Arial" w:eastAsia="Arial" w:hAnsi="Arial"/>
          <w:sz w:val="18"/>
          <w:szCs w:val="18"/>
          <w:color w:val="auto"/>
        </w:rPr>
      </w:pPr>
    </w:p>
    <w:p>
      <w:pPr>
        <w:jc w:val="both"/>
        <w:ind w:left="460" w:hanging="223"/>
        <w:spacing w:after="0" w:line="29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“good reason” means (a) material diminution by us of the executive’s authority, duties or responsibilities the duration of which is greater than 15 days and which is not the result of his acts or omissions which constitute cause, (b) a material change in the geographic location at which the executive must perform services under the agreement, (c) a material diminution in his base salary which is not the result of an across-the-board reduction in base salaries of other senior executives of the Company or (d) any action or inaction that constitutes a material breach by us of the agreement, including our failure to pay any amounts due to the executive or our failure to obtain from a successor the express assumption of the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2016, we entered into an amended and restated employment agreement with Dr. Guenther, under which Dr. Guenther serves as our executive vice president, research and development. Under this agreement, upon the execution of a release of claims, Dr. Guenther is eligible to receive severance benefits in specified circumstances.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we terminate Dr. Guenther without cause or he resigns for good reason, Dr. Guenther will be entitled to receive (a) an amount equal to 12 months of his annual base salary, less applicable deductions, payable in accordance with our normal payroll schedule, (b) a pro rata bonus award payable on the first regularly scheduled pay day following the 60th day after his termination, (c) 12 months of continued health coverage and (d) full vesting of his outstanding equity awards, except that if such termination occurs within 60 days before, upon or within one year following a sale that constitutes a “change in control event” as defined in Section 409A of the Code then in lieu of the payment described in clause (a) Dr. Guenther will be entitled to a lump sum payment equal to his annual base salary on the first regularly scheduled pay day following the 60th day after his termination. In the event that we terminate Dr. Guenther with cause, Dr. Guenther resigns without good reason, or the employment is terminated due to mutual agreement, death or disability, then Dr. Guenther will not be entitled to receive severance benefits. Under the terms of Dr. Guenther’s employment agreement, if we enter into any change of control, all then unvested shares subject to outstanding options shall become fully vested and immediately exercisable immediately prior to such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have been adopted in Dr. Guenther’s employment agreement:</w:t>
      </w:r>
    </w:p>
    <w:p>
      <w:pPr>
        <w:spacing w:after="0" w:line="224" w:lineRule="exact"/>
        <w:rPr>
          <w:sz w:val="20"/>
          <w:szCs w:val="20"/>
          <w:color w:val="auto"/>
        </w:rPr>
      </w:pPr>
    </w:p>
    <w:p>
      <w:pPr>
        <w:jc w:val="both"/>
        <w:ind w:left="460" w:hanging="223"/>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“cause” means (a) executive performed an act or acts of willful and material malfeasance or misconduct with respect to the performance of his duties and responsibilities as an employee and executive officer or under the agreement that results in material harm to us that remains uncorrected for 15 days after receipt of written notice, (b) executive’s continued failure to devote his full business time and attention and his best efforts to the faithful performance of his material duties and responsibilities (other than a failure resulting from disability) that remains uncorrected for 15 days after receipt of written notice, (c) executive’s material breach of any material provision of the agreement that remains uncorrected for 15 days after receipt of written notice, (d) executive commits an act of fraud, embezzlement, misappropriation, or personal dishonesty against us (which, if proven, would constitute a felony) or (e) the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executive to a crime constituting a felony; and</w:t>
      </w:r>
    </w:p>
    <w:p>
      <w:pPr>
        <w:spacing w:after="0" w:line="162" w:lineRule="exact"/>
        <w:rPr>
          <w:rFonts w:ascii="Arial" w:cs="Arial" w:eastAsia="Arial" w:hAnsi="Arial"/>
          <w:sz w:val="16"/>
          <w:szCs w:val="16"/>
          <w:color w:val="auto"/>
        </w:rPr>
      </w:pPr>
    </w:p>
    <w:p>
      <w:pPr>
        <w:jc w:val="both"/>
        <w:ind w:left="460" w:hanging="223"/>
        <w:spacing w:after="0" w:line="27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“good reason” means (a) material diminution by us of executive’s authority, duties or responsibilities, the duration of which is greater than 15 days and which is not the result of his acts or omissions which constitute cause (b) a material change in the geographic location at which executive must principally perform services under the agreement, (c) a material diminution in his base salary which is not the result of his acts or omissions which constitute cause or (d) any action or inaction that constitutes a material breach by us of the agreement, including our failure to pay any amounts due to executive or our failure to obtain from a successor the express assumption of the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June 2015, we entered into an amended and restated employment agreement with Mr. Clifton under which he serves as our chief financial officer. Under this agreement, Mr. Clifton is eligible to receive severance benefits in specified circumstances.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that we terminate Mr. Clifton without cause or he resigns for good reason, Mr. Clifton will be entitled to receive (a) an amount equal to 12 months of his annual base salary, less applicable deductions, payable in accordance with our normal payroll schedule, (b) a pro rata bonus award payable on the first regularly scheduled pay day immediately after his termination, (c) 12 months of continued health coverage and (d) full vesting of his outstanding equity awards, except that if such termination occurs upon or within one year following a sale that constitutes a “change in control event” as defined in Section 409A of the Code then in lieu of the payment described in clause (a) Mr. Clifton will be entitled to a lump sum payment equal to his annual base salary on the first regularly scheduled pay day immediately following the effective date of his termination. In the event that we terminate Mr. Clifton with cause, Mr. Clifton resigns without good reason, or the employment is terminated due to mutual agreement, death or disability, then Mr. Clifton will not be entitled to receive severance benefits. Under the terms of Mr. Clifton’s amended and restated employment agreement, as amended, if we enter into any change of control, all then unvested shares subject to outstanding options shall become fully vested and immediately exercisable immediately prior to such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have been adopted in Mr. Clifton’s employment agreement:</w:t>
      </w:r>
    </w:p>
    <w:p>
      <w:pPr>
        <w:spacing w:after="0" w:line="224" w:lineRule="exact"/>
        <w:rPr>
          <w:sz w:val="20"/>
          <w:szCs w:val="20"/>
          <w:color w:val="auto"/>
        </w:rPr>
      </w:pPr>
    </w:p>
    <w:p>
      <w:pPr>
        <w:jc w:val="both"/>
        <w:ind w:left="460" w:hanging="223"/>
        <w:spacing w:after="0" w:line="29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“cause” means (a) executive performed an act or acts of willful and material malfeasance or misconduct with respect to the performance of his duties and responsibilities as an employee and executive officer or under the agreement that results in material harm to us that remains uncorrected for 15 days after receipt of written notice, (b) executive’s continued failure to devote his full business time and attention and his best efforts to the faithful performance of his material duties and responsibilities (other than a failure resulting from disability) that remains uncorrected for 15 days after receipt of written notice, (c) executive’s material breach of any material provision of the agreement that remains uncorrected for 15 days after receipt of written notice, (d) executive commits an act of fraud, embezzlement, misappropriation, or personal dishonesty against us (which, if proven, would constitute a felony) or (e) the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by, executive to a crime constituting a felony; and</w:t>
      </w:r>
    </w:p>
    <w:p>
      <w:pPr>
        <w:spacing w:after="0" w:line="162" w:lineRule="exact"/>
        <w:rPr>
          <w:rFonts w:ascii="Arial" w:cs="Arial" w:eastAsia="Arial" w:hAnsi="Arial"/>
          <w:sz w:val="16"/>
          <w:szCs w:val="16"/>
          <w:color w:val="auto"/>
        </w:rPr>
      </w:pPr>
    </w:p>
    <w:p>
      <w:pPr>
        <w:jc w:val="both"/>
        <w:ind w:left="460" w:hanging="223"/>
        <w:spacing w:after="0" w:line="275"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“good reason” means (a) material diminution by us of executive’s authority, duties or responsibilities the duration of which is greater than 15 days and which is not the result of his acts or omissions which constitute cause, (b) a material change in the geographic location at which executive must perform services under the agreement, (c) a material diminution in executive's base salary which is not the result of his acts or omissions which constitute cause or (d) any action or inaction that constitutes a material breach by us of the agreement, including our failure to pay any amounts due to executive or our failure to obtain from a successor the express assumption of the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End of 2021</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provides information about outstanding stock options held by each of our named executive officers at December 31, 2021. All of these options were granted under our stock incentive plan, or the 2007 Plan, or our 2014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Option Awards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Travis C. Mickle, Ph.D.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3,333</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$93.60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08/17/2022</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1,666</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$93.60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07/30/2024</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13,750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$327.20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09/04/2025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9,375</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$201.92</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02/10/2026</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14,062</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$56.80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01/26/2027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10,546</w:t>
            </w:r>
          </w:p>
        </w:tc>
        <w:tc>
          <w:tcPr>
            <w:tcW w:w="1620" w:type="dxa"/>
            <w:vAlign w:val="bottom"/>
            <w:gridSpan w:val="2"/>
          </w:tcPr>
          <w:p>
            <w:pPr>
              <w:jc w:val="center"/>
              <w:ind w:left="113"/>
              <w:spacing w:after="0"/>
              <w:rPr>
                <w:sz w:val="20"/>
                <w:szCs w:val="20"/>
                <w:color w:val="auto"/>
              </w:rPr>
            </w:pPr>
            <w:r>
              <w:rPr>
                <w:rFonts w:ascii="Arial" w:cs="Arial" w:eastAsia="Arial" w:hAnsi="Arial"/>
                <w:sz w:val="18"/>
                <w:szCs w:val="18"/>
                <w:color w:val="auto"/>
                <w:w w:val="93"/>
              </w:rPr>
              <w:t>3,516</w:t>
            </w:r>
            <w:r>
              <w:rPr>
                <w:rFonts w:ascii="Arial" w:cs="Arial" w:eastAsia="Arial" w:hAnsi="Arial"/>
                <w:sz w:val="14"/>
                <w:szCs w:val="14"/>
                <w:color w:val="auto"/>
                <w:w w:val="93"/>
              </w:rPr>
              <w:t>(1)(2)</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$88.00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01/24/2028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13,125</w:t>
            </w:r>
          </w:p>
        </w:tc>
        <w:tc>
          <w:tcPr>
            <w:tcW w:w="1620" w:type="dxa"/>
            <w:vAlign w:val="bottom"/>
            <w:gridSpan w:val="2"/>
            <w:shd w:val="clear" w:color="auto" w:fill="CCEEFF"/>
          </w:tcPr>
          <w:p>
            <w:pPr>
              <w:jc w:val="center"/>
              <w:ind w:left="93"/>
              <w:spacing w:after="0" w:line="216" w:lineRule="exact"/>
              <w:rPr>
                <w:sz w:val="20"/>
                <w:szCs w:val="20"/>
                <w:color w:val="auto"/>
              </w:rPr>
            </w:pPr>
            <w:r>
              <w:rPr>
                <w:rFonts w:ascii="Arial" w:cs="Arial" w:eastAsia="Arial" w:hAnsi="Arial"/>
                <w:sz w:val="15"/>
                <w:szCs w:val="15"/>
                <w:color w:val="auto"/>
                <w:w w:val="98"/>
              </w:rPr>
              <w:t>13,125</w:t>
            </w:r>
            <w:r>
              <w:rPr>
                <w:rFonts w:ascii="Arial" w:cs="Arial" w:eastAsia="Arial" w:hAnsi="Arial"/>
                <w:sz w:val="24"/>
                <w:szCs w:val="24"/>
                <w:color w:val="auto"/>
                <w:w w:val="98"/>
                <w:vertAlign w:val="superscript"/>
              </w:rPr>
              <w:t>(1)(3)</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$42.56</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02/05/2029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2,250</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$8.2576</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11/24/2029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5"/>
                <w:szCs w:val="15"/>
                <w:color w:val="auto"/>
              </w:rPr>
              <w:t>26,250</w:t>
            </w:r>
            <w:r>
              <w:rPr>
                <w:rFonts w:ascii="Arial" w:cs="Arial" w:eastAsia="Arial" w:hAnsi="Arial"/>
                <w:sz w:val="24"/>
                <w:szCs w:val="24"/>
                <w:color w:val="auto"/>
                <w:vertAlign w:val="superscript"/>
              </w:rPr>
              <w:t>(8)</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$5.984</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02/04/2030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ind w:left="113"/>
              <w:spacing w:after="0" w:line="216" w:lineRule="exact"/>
              <w:rPr>
                <w:sz w:val="20"/>
                <w:szCs w:val="20"/>
                <w:color w:val="auto"/>
              </w:rPr>
            </w:pPr>
            <w:r>
              <w:rPr>
                <w:rFonts w:ascii="Arial" w:cs="Arial" w:eastAsia="Arial" w:hAnsi="Arial"/>
                <w:sz w:val="15"/>
                <w:szCs w:val="15"/>
                <w:color w:val="auto"/>
              </w:rPr>
              <w:t>263,743</w:t>
            </w:r>
            <w:r>
              <w:rPr>
                <w:rFonts w:ascii="Arial" w:cs="Arial" w:eastAsia="Arial" w:hAnsi="Arial"/>
                <w:sz w:val="24"/>
                <w:szCs w:val="24"/>
                <w:color w:val="auto"/>
                <w:vertAlign w:val="superscript"/>
              </w:rPr>
              <w:t>(1)(4)</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$9.06</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08/19/2031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7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5"/>
                <w:szCs w:val="15"/>
                <w:color w:val="auto"/>
              </w:rPr>
              <w:t xml:space="preserve">Richard W. Pascoe </w:t>
            </w:r>
            <w:r>
              <w:rPr>
                <w:rFonts w:ascii="Arial" w:cs="Arial" w:eastAsia="Arial" w:hAnsi="Arial"/>
                <w:sz w:val="24"/>
                <w:szCs w:val="24"/>
                <w:color w:val="auto"/>
                <w:vertAlign w:val="superscript"/>
              </w:rPr>
              <w:t>(7)</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$304.32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08/25/2025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625</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$96.80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05/23/2026</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$63.20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05/22/2027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937</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$97.60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05/21/2028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1,875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$25.92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04/23/2029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1,875</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$4.34</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06/18/2030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4"/>
              </w:rPr>
              <w:t>15,000</w:t>
            </w:r>
            <w:r>
              <w:rPr>
                <w:rFonts w:ascii="Arial" w:cs="Arial" w:eastAsia="Arial" w:hAnsi="Arial"/>
                <w:sz w:val="14"/>
                <w:szCs w:val="14"/>
                <w:color w:val="auto"/>
                <w:w w:val="94"/>
              </w:rPr>
              <w:t>(1)(5)</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$15.47</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06/16/2031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center"/>
              <w:ind w:left="113"/>
              <w:spacing w:after="0" w:line="216" w:lineRule="exact"/>
              <w:rPr>
                <w:sz w:val="20"/>
                <w:szCs w:val="20"/>
                <w:color w:val="auto"/>
              </w:rPr>
            </w:pPr>
            <w:r>
              <w:rPr>
                <w:rFonts w:ascii="Arial" w:cs="Arial" w:eastAsia="Arial" w:hAnsi="Arial"/>
                <w:sz w:val="15"/>
                <w:szCs w:val="15"/>
                <w:color w:val="auto"/>
              </w:rPr>
              <w:t>100,000</w:t>
            </w:r>
            <w:r>
              <w:rPr>
                <w:rFonts w:ascii="Arial" w:cs="Arial" w:eastAsia="Arial" w:hAnsi="Arial"/>
                <w:sz w:val="24"/>
                <w:szCs w:val="24"/>
                <w:color w:val="auto"/>
                <w:vertAlign w:val="superscript"/>
              </w:rPr>
              <w:t>(1)(6)</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$9.10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11/09/2031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Sven Guenther, Ph.D.</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1,250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$93.60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07/09/2024</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3,125</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$327.20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09/03/2025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3,125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$201.92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02/10/2026</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4,687</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$56.80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01/26/2027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3,515</w:t>
            </w:r>
          </w:p>
        </w:tc>
        <w:tc>
          <w:tcPr>
            <w:tcW w:w="162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3"/>
              </w:rPr>
              <w:t>1,172</w:t>
            </w:r>
            <w:r>
              <w:rPr>
                <w:rFonts w:ascii="Arial" w:cs="Arial" w:eastAsia="Arial" w:hAnsi="Arial"/>
                <w:sz w:val="14"/>
                <w:szCs w:val="14"/>
                <w:color w:val="auto"/>
                <w:w w:val="93"/>
              </w:rPr>
              <w:t>(1)(2)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$88.00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01/24/2028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620" w:type="dxa"/>
            <w:vAlign w:val="bottom"/>
            <w:gridSpan w:val="2"/>
          </w:tcPr>
          <w:p>
            <w:pPr>
              <w:jc w:val="center"/>
              <w:ind w:left="113"/>
              <w:spacing w:after="0"/>
              <w:rPr>
                <w:sz w:val="20"/>
                <w:szCs w:val="20"/>
                <w:color w:val="auto"/>
              </w:rPr>
            </w:pPr>
            <w:r>
              <w:rPr>
                <w:rFonts w:ascii="Arial" w:cs="Arial" w:eastAsia="Arial" w:hAnsi="Arial"/>
                <w:sz w:val="18"/>
                <w:szCs w:val="18"/>
                <w:color w:val="auto"/>
                <w:w w:val="93"/>
              </w:rPr>
              <w:t>5,000</w:t>
            </w:r>
            <w:r>
              <w:rPr>
                <w:rFonts w:ascii="Arial" w:cs="Arial" w:eastAsia="Arial" w:hAnsi="Arial"/>
                <w:sz w:val="14"/>
                <w:szCs w:val="14"/>
                <w:color w:val="auto"/>
                <w:w w:val="93"/>
              </w:rPr>
              <w:t>(1)(3)</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$42.56</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02/05/2029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$8.2576</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11/24/2029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5"/>
                <w:szCs w:val="15"/>
                <w:color w:val="auto"/>
              </w:rPr>
              <w:t>10,000</w:t>
            </w:r>
            <w:r>
              <w:rPr>
                <w:rFonts w:ascii="Arial" w:cs="Arial" w:eastAsia="Arial" w:hAnsi="Arial"/>
                <w:sz w:val="24"/>
                <w:szCs w:val="24"/>
                <w:color w:val="auto"/>
                <w:vertAlign w:val="superscript"/>
              </w:rPr>
              <w:t>(8)</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$5.984</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02/04/2030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4"/>
              </w:rPr>
              <w:t>81,716</w:t>
            </w:r>
            <w:r>
              <w:rPr>
                <w:rFonts w:ascii="Arial" w:cs="Arial" w:eastAsia="Arial" w:hAnsi="Arial"/>
                <w:sz w:val="14"/>
                <w:szCs w:val="14"/>
                <w:color w:val="auto"/>
                <w:w w:val="94"/>
              </w:rPr>
              <w:t>(1)(4)</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$9.06</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08/19/2031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R. LaDuane Clifton, CPA</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1,333</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$176.00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04/01/2025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2,812</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$292.64</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06/25/2025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937</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$327.20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09/03/2025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3,125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$201.92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02/10/2026</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4,687</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$56.80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01/26/2027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3,515</w:t>
            </w:r>
          </w:p>
        </w:tc>
        <w:tc>
          <w:tcPr>
            <w:tcW w:w="162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3"/>
              </w:rPr>
              <w:t>1,172</w:t>
            </w:r>
            <w:r>
              <w:rPr>
                <w:rFonts w:ascii="Arial" w:cs="Arial" w:eastAsia="Arial" w:hAnsi="Arial"/>
                <w:sz w:val="14"/>
                <w:szCs w:val="14"/>
                <w:color w:val="auto"/>
                <w:w w:val="93"/>
              </w:rPr>
              <w:t>(1)(2)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$88.00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01/24/2028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620" w:type="dxa"/>
            <w:vAlign w:val="bottom"/>
            <w:gridSpan w:val="2"/>
          </w:tcPr>
          <w:p>
            <w:pPr>
              <w:jc w:val="center"/>
              <w:ind w:left="113"/>
              <w:spacing w:after="0"/>
              <w:rPr>
                <w:sz w:val="20"/>
                <w:szCs w:val="20"/>
                <w:color w:val="auto"/>
              </w:rPr>
            </w:pPr>
            <w:r>
              <w:rPr>
                <w:rFonts w:ascii="Arial" w:cs="Arial" w:eastAsia="Arial" w:hAnsi="Arial"/>
                <w:sz w:val="18"/>
                <w:szCs w:val="18"/>
                <w:color w:val="auto"/>
                <w:w w:val="93"/>
              </w:rPr>
              <w:t>5,000</w:t>
            </w:r>
            <w:r>
              <w:rPr>
                <w:rFonts w:ascii="Arial" w:cs="Arial" w:eastAsia="Arial" w:hAnsi="Arial"/>
                <w:sz w:val="14"/>
                <w:szCs w:val="14"/>
                <w:color w:val="auto"/>
                <w:w w:val="93"/>
              </w:rPr>
              <w:t>(1)(3)</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$42.56</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02/05/2029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2,250</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$8.26</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11/24/2029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5"/>
                <w:szCs w:val="15"/>
                <w:color w:val="auto"/>
              </w:rPr>
              <w:t>10,000</w:t>
            </w:r>
            <w:r>
              <w:rPr>
                <w:rFonts w:ascii="Arial" w:cs="Arial" w:eastAsia="Arial" w:hAnsi="Arial"/>
                <w:sz w:val="24"/>
                <w:szCs w:val="24"/>
                <w:color w:val="auto"/>
                <w:vertAlign w:val="superscript"/>
              </w:rPr>
              <w:t>(8)</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$5.98</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02/04/2030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4"/>
              </w:rPr>
              <w:t>82,423</w:t>
            </w:r>
            <w:r>
              <w:rPr>
                <w:rFonts w:ascii="Arial" w:cs="Arial" w:eastAsia="Arial" w:hAnsi="Arial"/>
                <w:sz w:val="14"/>
                <w:szCs w:val="14"/>
                <w:color w:val="auto"/>
                <w:w w:val="94"/>
              </w:rPr>
              <w:t>(1)(4)</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$9.06</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08/19/2031</w:t>
            </w:r>
          </w:p>
        </w:tc>
        <w:tc>
          <w:tcPr>
            <w:tcW w:w="1140" w:type="dxa"/>
            <w:vAlign w:val="bottom"/>
          </w:tcPr>
          <w:p>
            <w:pPr>
              <w:spacing w:after="0"/>
              <w:rPr>
                <w:sz w:val="18"/>
                <w:szCs w:val="18"/>
                <w:color w:val="auto"/>
              </w:rPr>
            </w:pPr>
          </w:p>
        </w:tc>
      </w:tr>
      <w:tr>
        <w:trPr>
          <w:trHeight w:val="431"/>
        </w:trPr>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gridSpan w:val="2"/>
          </w:tcPr>
          <w:p>
            <w:pPr>
              <w:jc w:val="right"/>
              <w:ind w:right="105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left="1340" w:right="1140" w:hanging="215"/>
        <w:spacing w:after="0" w:line="255" w:lineRule="auto"/>
        <w:rPr>
          <w:sz w:val="20"/>
          <w:szCs w:val="20"/>
          <w:color w:val="auto"/>
        </w:rPr>
      </w:pPr>
      <w:r>
        <w:rPr>
          <w:rFonts w:ascii="Arial" w:cs="Arial" w:eastAsia="Arial" w:hAnsi="Arial"/>
          <w:sz w:val="18"/>
          <w:szCs w:val="18"/>
          <w:color w:val="auto"/>
        </w:rPr>
        <w:t>(1)All shares underlying these option grants will vest in full and become immediately exercisable (i) in the event that the option holder is terminated by us without cause or resigns for good reason or (ii) immediately prior to any change in control of KemPharm.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-408940</wp:posOffset>
            </wp:positionV>
            <wp:extent cx="5704205" cy="410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4205" cy="41021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(2)The shares underlying this option will vest in equal annual installments over a period of four years beginning on January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25, 2019, through January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5080</wp:posOffset>
            </wp:positionV>
            <wp:extent cx="5704205" cy="273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(3)The shares underlying this option will vest in equal annual installments over a period of four years beginning on February</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 2020, through February 6, 2023.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(4)The shares underlying this option will vest in equal annual installments over a period of four years beginning on August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 2022, through August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5080</wp:posOffset>
            </wp:positionV>
            <wp:extent cx="5704205" cy="273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20" w:hanging="215"/>
        <w:spacing w:after="0" w:line="249" w:lineRule="auto"/>
        <w:rPr>
          <w:sz w:val="20"/>
          <w:szCs w:val="20"/>
          <w:color w:val="auto"/>
        </w:rPr>
      </w:pPr>
      <w:r>
        <w:rPr>
          <w:rFonts w:ascii="Arial" w:cs="Arial" w:eastAsia="Arial" w:hAnsi="Arial"/>
          <w:sz w:val="18"/>
          <w:szCs w:val="18"/>
          <w:color w:val="auto"/>
        </w:rPr>
        <w:t>(5)The shares underlying these options will vest on the earlier of (i) June 17, 2022, or (ii) one day prior to the date of the Annual Meeting.</w:t>
      </w:r>
    </w:p>
    <w:p>
      <w:pPr>
        <w:spacing w:after="0" w:line="1" w:lineRule="exact"/>
        <w:rPr>
          <w:sz w:val="20"/>
          <w:szCs w:val="20"/>
          <w:color w:val="auto"/>
        </w:rPr>
      </w:pPr>
    </w:p>
    <w:p>
      <w:pPr>
        <w:jc w:val="both"/>
        <w:ind w:left="1340" w:right="1120" w:hanging="215"/>
        <w:spacing w:after="0" w:line="249" w:lineRule="auto"/>
        <w:rPr>
          <w:sz w:val="20"/>
          <w:szCs w:val="20"/>
          <w:color w:val="auto"/>
        </w:rPr>
      </w:pPr>
      <w:r>
        <w:rPr>
          <w:rFonts w:ascii="Arial" w:cs="Arial" w:eastAsia="Arial" w:hAnsi="Arial"/>
          <w:sz w:val="18"/>
          <w:szCs w:val="18"/>
          <w:color w:val="auto"/>
        </w:rPr>
        <w:t>(6)50% of the shares underlying this option will vest upon the closing of the earlier of (x) a "Change in Control" (as defined in the 2014 Plan) of the Company or (y) a transformative business development transaction, as determined in the discretion of the board of directors (together, the "Transactions"); provided that the definitive agreement for either of the Transactions is executed on or prior to November 10, 2022 and Mr. Pascoe is, immediately prior to the closing of the Transactions still serving as Executive Chairman or as another executive officer; and the remaining 50% of the shares underlying this option will vest in equal annual installments over a period of four years beginning on November 10, 2022, through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3175</wp:posOffset>
            </wp:positionV>
            <wp:extent cx="5704205" cy="273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40" w:hanging="215"/>
        <w:spacing w:after="0" w:line="249" w:lineRule="auto"/>
        <w:rPr>
          <w:sz w:val="20"/>
          <w:szCs w:val="20"/>
          <w:color w:val="auto"/>
        </w:rPr>
      </w:pPr>
      <w:r>
        <w:rPr>
          <w:rFonts w:ascii="Arial" w:cs="Arial" w:eastAsia="Arial" w:hAnsi="Arial"/>
          <w:sz w:val="18"/>
          <w:szCs w:val="18"/>
          <w:color w:val="auto"/>
        </w:rPr>
        <w:t>(7)The options shown in the table represent stock options granted to Mr. Pascoe both in his capacity as a director and as our executive chairman.</w:t>
      </w:r>
    </w:p>
    <w:p>
      <w:pPr>
        <w:spacing w:after="0" w:line="1" w:lineRule="exact"/>
        <w:rPr>
          <w:sz w:val="20"/>
          <w:szCs w:val="20"/>
          <w:color w:val="auto"/>
        </w:rPr>
      </w:pPr>
    </w:p>
    <w:p>
      <w:pPr>
        <w:ind w:left="1340" w:right="1160" w:hanging="215"/>
        <w:spacing w:after="0" w:line="259" w:lineRule="auto"/>
        <w:rPr>
          <w:sz w:val="20"/>
          <w:szCs w:val="20"/>
          <w:color w:val="auto"/>
        </w:rPr>
      </w:pPr>
      <w:r>
        <w:rPr>
          <w:rFonts w:ascii="Arial" w:cs="Arial" w:eastAsia="Arial" w:hAnsi="Arial"/>
          <w:sz w:val="18"/>
          <w:szCs w:val="18"/>
          <w:color w:val="auto"/>
        </w:rPr>
        <w:t>(8)The shares subject to this option became vested in full and immediately exercisable upon the approval of the AZSTARYS NDA by the FDA in March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named executive officers did not participate in, or otherwise receive any benefits under, any qualified or non-qualified defined benefit pension plan sponsored by us during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named executive officers did not participate in, or otherwise receive any benefits under, any nonqualified deferred compensation plan sponsored by us during 2021 or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Board adopted and our stockholders have approved our 2014 Plan. The 2014 Plan became effective on April 15, 2015. In June 2021, the Company's stockholders approved an Amended and Restated 2014 Equity Incentive Plan, or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As of December 31, 2021, options exercisable for 1,262,573 shares of our common stock have been granted and 17,152 shares of our common stock have been issued under our A&amp;R 2014 Plan. Our A&amp;R 2014 Plan provides for the grant of incentive stock options within the meaning of Section 422 of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A&amp;R 2014 Plan also provides for the grant of performance cash awards to our employees, consultants and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maximum number of shares of our common stock that may be issued under our A&amp;R 2014 Plan as of December 31, 2021 was 5,489,660 shares. The number of shares of our common stock reserved for issuance under our 2014 Plan will automatically increase on January 1 of each year, continuing through January 1, 2031, by 4.0% of the total number of shares of our common stock outstanding on December 31 of the preceding calendar year, or a lesser number of shares as may be determined by our Board. On January 1, 2022, the maximum number of shares of our common stock reserved for issuance under our A&amp;R 2014 Plan was increased by 1,400,225 shares as a result of this automatic increase. The maximum number of shares that may be issued pursuant to the exercise of incentive stock options under the A&amp;R 2014 Plan is 13,600,000. The aggregate maximum number of shares subject to awards granted during a single fiscal year to any non-employee director, taken together with any cash fees paid to such non-employee director during the fiscal year, cannot exceed $500,000 in total value, calculating the value of any such awards based on the grant date fair value of such awards for financial reporting purposes and excluding the value of any dividend equivalent payments paid pursuant to any award granted in a previous fiscal year.</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Shares issued under our A&amp;R 2014 Plan may be authorized but unissued or reacquired shares of our common stock. Shares subject to stock awards granted under our A&amp;R 2014 Plan that expire or terminate without being exercised in full, or that are paid out in cash rather than in shares, will not reduce the number of shares available for issuance under our A&amp;R 2014 Plan. Additionally, shares issued pursuant to stock awards under our A&amp;R 2014 Plan that we repurchase or that are forfeited, as well as shares reacquired by us as consideration for the exercise or purchase price of a stock award or to satisfy tax withholding obligations related to a stock award, will become available for future grant under our A&amp;R 2014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Board, or a duly authorized committee thereof, has the authority to administer our A&amp;R 2014 Plan. Our Board has delegated its authority to administer our A&amp;R 2014 Plan to our Compensation Committee under the terms of the Compensation Committee’s charter. Our Board, or a duly authorized committee thereof, may also delegate to one or more of our officers the authority to (a) designate employees other than officers to receive specified stock awards and</w:t>
      </w:r>
    </w:p>
    <w:p>
      <w:pPr>
        <w:spacing w:after="0" w:line="1" w:lineRule="exact"/>
        <w:rPr>
          <w:sz w:val="20"/>
          <w:szCs w:val="20"/>
          <w:color w:val="auto"/>
        </w:rPr>
      </w:pPr>
    </w:p>
    <w:p>
      <w:pPr>
        <w:jc w:val="both"/>
        <w:ind w:firstLine="8"/>
        <w:spacing w:after="0" w:line="251" w:lineRule="auto"/>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number of shares of our common stock to be subject to such stock awards. Our Compensation Committee has delegated this authority to our chief executive officer, Travis C. Mickle, but not for himself and not for our executive officers. Subject to the terms of our A&amp;R 2014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A&amp;R 2014 Plan.</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administrator has the power to modify outstanding awards under our A&amp;R 2014 Plan. Subject to the terms of our A&amp;R 2014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adversely affected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A&amp;R 2014 Plan permits the grant of performance-based stock and cash awards.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A&amp;R 2014 Plan provides that in the event of a specified corporate transaction, including a consolidation, merger, or similar transaction involving our company, the sale, lease or other disposition of all or substantially all of the assets of our company or the consolidated assets of our company and our subsidiaries, or a sale or disposition of at least 50% of the outstanding capital stock of our company, the administrator will determine how to treat each outstanding stock award. The administrator may:</w:t>
      </w:r>
    </w:p>
    <w:p>
      <w:pPr>
        <w:spacing w:after="0" w:line="187" w:lineRule="exact"/>
        <w:rPr>
          <w:sz w:val="20"/>
          <w:szCs w:val="20"/>
          <w:color w:val="auto"/>
        </w:rPr>
      </w:pPr>
    </w:p>
    <w:p>
      <w:pPr>
        <w:ind w:left="720" w:hanging="214"/>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an stock award by a successor corporation;</w:t>
      </w:r>
    </w:p>
    <w:p>
      <w:pPr>
        <w:spacing w:after="0" w:line="223" w:lineRule="exact"/>
        <w:rPr>
          <w:rFonts w:ascii="Arial" w:cs="Arial" w:eastAsia="Arial" w:hAnsi="Arial"/>
          <w:sz w:val="18"/>
          <w:szCs w:val="18"/>
          <w:color w:val="auto"/>
        </w:rPr>
      </w:pPr>
    </w:p>
    <w:p>
      <w:pPr>
        <w:ind w:left="720" w:hanging="214"/>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224" w:lineRule="exact"/>
        <w:rPr>
          <w:rFonts w:ascii="Arial" w:cs="Arial" w:eastAsia="Arial" w:hAnsi="Arial"/>
          <w:sz w:val="18"/>
          <w:szCs w:val="18"/>
          <w:color w:val="auto"/>
        </w:rPr>
      </w:pPr>
    </w:p>
    <w:p>
      <w:pPr>
        <w:ind w:left="720" w:hanging="214"/>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224" w:lineRule="exact"/>
        <w:rPr>
          <w:rFonts w:ascii="Arial" w:cs="Arial" w:eastAsia="Arial" w:hAnsi="Arial"/>
          <w:sz w:val="18"/>
          <w:szCs w:val="18"/>
          <w:color w:val="auto"/>
        </w:rPr>
      </w:pPr>
    </w:p>
    <w:p>
      <w:pPr>
        <w:ind w:left="720" w:hanging="214"/>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 held by us; or</w:t>
      </w:r>
    </w:p>
    <w:p>
      <w:pPr>
        <w:spacing w:after="0" w:line="223" w:lineRule="exact"/>
        <w:rPr>
          <w:rFonts w:ascii="Arial" w:cs="Arial" w:eastAsia="Arial" w:hAnsi="Arial"/>
          <w:sz w:val="18"/>
          <w:szCs w:val="18"/>
          <w:color w:val="auto"/>
        </w:rPr>
      </w:pPr>
    </w:p>
    <w:p>
      <w:pPr>
        <w:ind w:left="720" w:right="280" w:hanging="214"/>
        <w:spacing w:after="0" w:line="27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cancel the stock award prior to the transaction in exchange for a cash payment, which may be reduced by the exercise price payable in connection with the stock award.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administrator may provide, in an individual award agreement or in any other written agreement between us and the participant, that the stock award will be subject to additional acceleration of vesting and exercisability in the event of a change in control. In the absence of such a provision, no such acceleration of the stock award will 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Amendment or Termination</w:t>
      </w:r>
    </w:p>
    <w:p>
      <w:pPr>
        <w:spacing w:after="0" w:line="2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board has the authority to amend, suspend, or terminate our A&amp;R 2014 Plan, provided that such action does not materially impair the existing rights of any participant without such participant’s written consent. No incentive stock options may be granted after the tenth anniversary of the date our Board originally adopted our 2014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Plan</w:t>
      </w:r>
    </w:p>
    <w:p>
      <w:pPr>
        <w:spacing w:after="0" w:line="224"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Our 2007 Plan was adopted by our Board and approved by our stockholders in June 2007. Awards outstanding under our 2007 Plan prior to completion of our initial public offering continue to be governed by their existing terms under the 2007 Plan. No further awards will be made under the 2007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options to purchase 11,306 shares of our common stock were outstanding under the 2007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Board or the Compensation Committee of our Board act as the administrator of the 2007 Plan. The administrator has the complete discretion to make all decisions relating to the plan and outstanding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Employees, non-employee directors and consultants were eligible to participate in our 2007 Plan however only employees were eligible for the grant of incentive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2007 Plan provides for the award of incentive and non-statutory stock options and the award of incentive stock (including phantom stock credits to acquire incentive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may (a) grant awards under the 2007 Plan conditional upon an election by a participant to defer payment of a portion of his or her salary,</w:t>
      </w:r>
    </w:p>
    <w:p>
      <w:pPr>
        <w:spacing w:after="0" w:line="46" w:lineRule="exact"/>
        <w:rPr>
          <w:sz w:val="20"/>
          <w:szCs w:val="20"/>
          <w:color w:val="auto"/>
        </w:rPr>
      </w:pPr>
    </w:p>
    <w:p>
      <w:pPr>
        <w:jc w:val="both"/>
        <w:ind w:right="20" w:firstLine="8"/>
        <w:spacing w:after="0" w:line="254"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give a participant a choice between two types of awards or combinations of awards, (c) grant awards in the alternative so that acceptance of or exercise of one award cancels the right of a participant to another and (d) grant awards in any combination or combinations and subject to any condition or condition consistent with the terms of the 2007 Plan that the administrator in its sole discretion may determine.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Awards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the terms of the 2007 Plan, the administrator determines the terms of all awards. The exercise price for stock options granted under the 2007 Plan may not be less than 100% of the fair market value of our common stock on the grant date; however, the exercise price for an incentive stock option granted to a holder of more than 10% of our stock may not be less than 110% of such fair market value on the grant date. Options are generally transferable only by will or the laws of descent and distribution, and may be exercised during the holder’s lifetime only by the holder or, in the case of a non-statutory stock option, by the holder’s guardian or legal representative.</w:t>
      </w:r>
    </w:p>
    <w:p>
      <w:pPr>
        <w:spacing w:after="0" w:line="18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term of options granted under the 2007 Plan may not exceed ten years and will generally expire sooner if the optionee’s service terminates. Options vest at the times determined by the administrator.</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Shares may be awarded under the 2007 Plan in consideration for services rendered to us or sold under the 2007 Plan. Shares awarded or sold under the 2007 Plan may be fully vested at grant or subject to special forfeiture conditions or rights of repurchase as determined by the administrator.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June 2014, our form of incentive stock option agreement provided for acceleration of vesting upon a change of control for incentive stock option awards issued under our 2007 Plan. All unvested shares subject to such an incentive stock option award will vest in full and become exercisable immediately prior to the effective date of a change of control transaction.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form of non-qualified stock option agreement provides for similar acceleration of vesting upon a change of control for non-qualified stock option awards issued under our 2007 Plan. All unvested shares subject to a non-qualified stock option award will vest in full and become immediately exercisable if the holder is terminated without cause within 24 months after the consummation of a change of control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Capitalization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change is made in the shares of the common stock by reason of any merger, consolidation, reorganization, recapitalization, stock dividend, split up, combination of shares, exchange of shares, change in corporate structure, or otherwise, appropriate adjustments will be made by the administrator to the kind and number of shares and price per share of stock subject to each outstanding award under our 2007 Plan. Any increase in the shares, or the right to acquire shares, as the result of such an adjustment will be subject to the same terms and conditions that apply to the award for which such increase was received. No fractional shares of common stock will be issued under the 2007 Plan on account of any such adjustment, and rights to shares always will be limited after such an adjustment to the lower full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may at any time amend the 2007 Plan. However, our Board must obtain approval of our stockholders or any amendment requiring such approval under federal tax or federal securities laws. In addition, our Board may not alter or impair any award previously granted under the 2007 Plan without the consent of the holder of such award. The 2007 Plan will terminate ten years after the earliest of the date the 2007 Plan was adopted by our Board, the date our stockholder approved the 2007 Plan or a date determined by our Board.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also immediately and fully vested when made.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Matters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2" w:lineRule="exact"/>
        <w:rPr>
          <w:sz w:val="20"/>
          <w:szCs w:val="20"/>
          <w:color w:val="auto"/>
        </w:rPr>
      </w:pPr>
    </w:p>
    <w:p>
      <w:pPr>
        <w:ind w:left="460" w:hanging="223"/>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4"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are required to indemnify our directors to the fullest extent permitted by Delaware law. Our amended and restated bylaws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with discretion to indemnify our officers and employees when determined appropriate by the board. We have entered into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other than the securities litigation matter we previously disclosed under Item 3—Legal Proceedings in our annual report on Form 10-K, we are not aware of any threatened litigation that may result in claims for indemnification.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Sales Plans</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COMPENSATION</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February 2016, our Compensation Committee adopted a non-employee director compensation policy. The policy provides for stipends to be paid to each of our non-employee directors for service on the Board and for service on the Audit Committee, the Compensation Committee and the Nominating and Corporate Governance Committee. In June 2020, our Compensation Committee amended the policy to suspend payment for committee membership, committee chairs, and for the role of lead independent director. In March 2021, the Board further amended and restated the non-employee director compensation policy to increase the number of shares subject to each non-employee director’s annual option grant, for each non-employee director who continues to serve as a non-employee member of our Board following the annual meeting of our stockholders, from 1,875 shares of our common stock to 15,000 shares of our common stock. These stock options will vest and become exercisable in full on the earliest of (i) the first anniversary of the grant date,</w:t>
      </w:r>
    </w:p>
    <w:p>
      <w:pPr>
        <w:spacing w:after="0" w:line="4" w:lineRule="exact"/>
        <w:rPr>
          <w:sz w:val="20"/>
          <w:szCs w:val="20"/>
          <w:color w:val="auto"/>
        </w:rPr>
      </w:pPr>
    </w:p>
    <w:p>
      <w:pPr>
        <w:jc w:val="both"/>
        <w:ind w:firstLine="8"/>
        <w:spacing w:after="0" w:line="254" w:lineRule="auto"/>
        <w:tabs>
          <w:tab w:leader="none" w:pos="2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day before the first annual stockholders meeting occurring after the grant date or (iii) immediately prior to a change in control of the Company, subject in each case to the director’s continued service on such vesting date. As of December 31, 2021, the stipends payable under this policy were as follows: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Chairman</w:t>
            </w:r>
          </w:p>
        </w:tc>
      </w:tr>
      <w:tr>
        <w:trPr>
          <w:trHeight w:val="215"/>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Additional</w:t>
            </w:r>
          </w:p>
        </w:tc>
      </w:tr>
      <w:tr>
        <w:trPr>
          <w:trHeight w:val="215"/>
        </w:trPr>
        <w:tc>
          <w:tcPr>
            <w:tcW w:w="5760" w:type="dxa"/>
            <w:vAlign w:val="bottom"/>
          </w:tcPr>
          <w:p>
            <w:pPr>
              <w:spacing w:after="0"/>
              <w:rPr>
                <w:sz w:val="18"/>
                <w:szCs w:val="18"/>
                <w:color w:val="auto"/>
              </w:rPr>
            </w:pPr>
          </w:p>
        </w:tc>
        <w:tc>
          <w:tcPr>
            <w:tcW w:w="16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Member Annual</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15"/>
        </w:trPr>
        <w:tc>
          <w:tcPr>
            <w:tcW w:w="5760" w:type="dxa"/>
            <w:vAlign w:val="bottom"/>
          </w:tcPr>
          <w:p>
            <w:pPr>
              <w:spacing w:after="0"/>
              <w:rPr>
                <w:sz w:val="18"/>
                <w:szCs w:val="18"/>
                <w:color w:val="auto"/>
              </w:rPr>
            </w:pPr>
          </w:p>
        </w:tc>
        <w:tc>
          <w:tcPr>
            <w:tcW w:w="162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Service Stipend</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Service Stipend</w:t>
            </w:r>
          </w:p>
        </w:tc>
      </w:tr>
      <w:tr>
        <w:trPr>
          <w:trHeight w:val="234"/>
        </w:trPr>
        <w:tc>
          <w:tcPr>
            <w:tcW w:w="5760" w:type="dxa"/>
            <w:vAlign w:val="bottom"/>
          </w:tcPr>
          <w:p>
            <w:pPr>
              <w:spacing w:after="0"/>
              <w:rPr>
                <w:sz w:val="20"/>
                <w:szCs w:val="20"/>
                <w:color w:val="auto"/>
              </w:rPr>
            </w:pPr>
          </w:p>
        </w:tc>
        <w:tc>
          <w:tcPr>
            <w:tcW w:w="16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of Directors</w:t>
            </w:r>
          </w:p>
        </w:tc>
        <w:tc>
          <w:tcPr>
            <w:tcW w:w="16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35,000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15,000</w:t>
            </w:r>
          </w:p>
        </w:tc>
      </w:tr>
      <w:tr>
        <w:trPr>
          <w:trHeight w:val="215"/>
        </w:trPr>
        <w:tc>
          <w:tcPr>
            <w:tcW w:w="5760" w:type="dxa"/>
            <w:vAlign w:val="bottom"/>
          </w:tcPr>
          <w:p>
            <w:pPr>
              <w:ind w:left="20"/>
              <w:spacing w:after="0"/>
              <w:rPr>
                <w:sz w:val="20"/>
                <w:szCs w:val="20"/>
                <w:color w:val="auto"/>
              </w:rPr>
            </w:pPr>
            <w:r>
              <w:rPr>
                <w:rFonts w:ascii="Arial" w:cs="Arial" w:eastAsia="Arial" w:hAnsi="Arial"/>
                <w:sz w:val="18"/>
                <w:szCs w:val="18"/>
                <w:color w:val="auto"/>
              </w:rPr>
              <w:t>Audit Committee</w:t>
            </w:r>
          </w:p>
        </w:tc>
        <w:tc>
          <w:tcPr>
            <w:tcW w:w="1620" w:type="dxa"/>
            <w:vAlign w:val="bottom"/>
          </w:tcPr>
          <w:p>
            <w:pPr>
              <w:jc w:val="center"/>
              <w:ind w:left="110"/>
              <w:spacing w:after="0"/>
              <w:rPr>
                <w:sz w:val="20"/>
                <w:szCs w:val="20"/>
                <w:color w:val="auto"/>
              </w:rPr>
            </w:pPr>
            <w:r>
              <w:rPr>
                <w:rFonts w:ascii="Arial" w:cs="Arial" w:eastAsia="Arial" w:hAnsi="Arial"/>
                <w:sz w:val="18"/>
                <w:szCs w:val="18"/>
                <w:color w:val="auto"/>
                <w:w w:val="93"/>
              </w:rPr>
              <w:t>7,500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15,000</w:t>
            </w: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w:t>
            </w:r>
          </w:p>
        </w:tc>
        <w:tc>
          <w:tcPr>
            <w:tcW w:w="16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5,000</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10,000</w:t>
            </w:r>
          </w:p>
        </w:tc>
      </w:tr>
      <w:tr>
        <w:trPr>
          <w:trHeight w:val="215"/>
        </w:trPr>
        <w:tc>
          <w:tcPr>
            <w:tcW w:w="5760" w:type="dxa"/>
            <w:vAlign w:val="bottom"/>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620" w:type="dxa"/>
            <w:vAlign w:val="bottom"/>
          </w:tcPr>
          <w:p>
            <w:pPr>
              <w:jc w:val="center"/>
              <w:ind w:left="110"/>
              <w:spacing w:after="0"/>
              <w:rPr>
                <w:sz w:val="20"/>
                <w:szCs w:val="20"/>
                <w:color w:val="auto"/>
              </w:rPr>
            </w:pPr>
            <w:r>
              <w:rPr>
                <w:rFonts w:ascii="Arial" w:cs="Arial" w:eastAsia="Arial" w:hAnsi="Arial"/>
                <w:sz w:val="18"/>
                <w:szCs w:val="18"/>
                <w:color w:val="auto"/>
                <w:w w:val="93"/>
              </w:rPr>
              <w:t>5,000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7,500</w:t>
            </w: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Lead Independent Director</w:t>
            </w:r>
          </w:p>
        </w:tc>
        <w:tc>
          <w:tcPr>
            <w:tcW w:w="16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15,000</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These stipends are payable in four equal quarterly installments on the last day of each quarter. In addition to stipends the non-employee director compensation policy also provides for an annual option grant for each non-employee director for service on our Board.</w:t>
      </w:r>
    </w:p>
    <w:p>
      <w:pPr>
        <w:spacing w:after="0" w:line="170"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Pursuant to our non-employee director compensation policy, as amended, on the date of each annual meeting of our stockholders, each director who continues to serve as a non-employee member of our Board following such stockholders meeting will be automatically granted a stock option.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Director Compensation Table</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information regarding compensation earned for service on our Board during 2021 by our non-employee directors. Dr. Mickle, our president and chief executive officer, was also a director during 2021 but did not receive any additional compensation for his service as a director. Dr. Mickle’s compensation as an executive officer is set forth above under “Executive Compensation—Summary Compensation Table.” Mr. Pascoe, our executive chairman, was also a director during 2021; his compensation for his service as a director prior to his appointment as executive chairman on November 10, 2021, is set forth above under “Executive Compensation—Summary Compensation Table.”</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Fees Earned or</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Paid in Cash</w:t>
            </w:r>
          </w:p>
        </w:tc>
        <w:tc>
          <w:tcPr>
            <w:tcW w:w="100" w:type="dxa"/>
            <w:vAlign w:val="bottom"/>
          </w:tcPr>
          <w:p>
            <w:pPr>
              <w:spacing w:after="0"/>
              <w:rPr>
                <w:sz w:val="18"/>
                <w:szCs w:val="18"/>
                <w:color w:val="auto"/>
              </w:rPr>
            </w:pPr>
          </w:p>
        </w:tc>
        <w:tc>
          <w:tcPr>
            <w:tcW w:w="2620" w:type="dxa"/>
            <w:vAlign w:val="bottom"/>
          </w:tcPr>
          <w:p>
            <w:pPr>
              <w:ind w:left="620"/>
              <w:spacing w:after="0"/>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r>
      <w:tr>
        <w:trPr>
          <w:trHeight w:val="234"/>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0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R. Plooster</w:t>
            </w:r>
          </w:p>
        </w:tc>
        <w:tc>
          <w:tcPr>
            <w:tcW w:w="2280" w:type="dxa"/>
            <w:vAlign w:val="bottom"/>
            <w:gridSpan w:val="2"/>
            <w:shd w:val="clear" w:color="auto" w:fill="CCEEFF"/>
          </w:tcPr>
          <w:p>
            <w:pPr>
              <w:jc w:val="center"/>
              <w:ind w:left="40"/>
              <w:spacing w:after="0" w:line="209" w:lineRule="exact"/>
              <w:rPr>
                <w:sz w:val="20"/>
                <w:szCs w:val="20"/>
                <w:color w:val="auto"/>
              </w:rPr>
            </w:pPr>
            <w:r>
              <w:rPr>
                <w:rFonts w:ascii="Arial" w:cs="Arial" w:eastAsia="Arial" w:hAnsi="Arial"/>
                <w:sz w:val="15"/>
                <w:szCs w:val="15"/>
                <w:color w:val="auto"/>
              </w:rPr>
              <w:t xml:space="preserve">55,000 </w:t>
            </w:r>
            <w:r>
              <w:rPr>
                <w:rFonts w:ascii="Arial" w:cs="Arial" w:eastAsia="Arial" w:hAnsi="Arial"/>
                <w:sz w:val="24"/>
                <w:szCs w:val="24"/>
                <w:color w:val="auto"/>
                <w:vertAlign w:val="superscript"/>
              </w:rPr>
              <w:t>(2)</w:t>
            </w:r>
          </w:p>
        </w:tc>
        <w:tc>
          <w:tcPr>
            <w:tcW w:w="2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180,300</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235,300</w:t>
            </w:r>
          </w:p>
        </w:tc>
      </w:tr>
      <w:tr>
        <w:trPr>
          <w:trHeight w:val="215"/>
        </w:trPr>
        <w:tc>
          <w:tcPr>
            <w:tcW w:w="2760" w:type="dxa"/>
            <w:vAlign w:val="bottom"/>
          </w:tcPr>
          <w:p>
            <w:pPr>
              <w:ind w:left="20"/>
              <w:spacing w:after="0"/>
              <w:rPr>
                <w:sz w:val="20"/>
                <w:szCs w:val="20"/>
                <w:color w:val="auto"/>
              </w:rPr>
            </w:pPr>
            <w:r>
              <w:rPr>
                <w:rFonts w:ascii="Arial" w:cs="Arial" w:eastAsia="Arial" w:hAnsi="Arial"/>
                <w:sz w:val="18"/>
                <w:szCs w:val="18"/>
                <w:color w:val="auto"/>
              </w:rPr>
              <w:t>Joseph B. Saluri</w:t>
            </w:r>
          </w:p>
        </w:tc>
        <w:tc>
          <w:tcPr>
            <w:tcW w:w="2280" w:type="dxa"/>
            <w:vAlign w:val="bottom"/>
            <w:gridSpan w:val="2"/>
          </w:tcPr>
          <w:p>
            <w:pPr>
              <w:jc w:val="center"/>
              <w:ind w:left="40"/>
              <w:spacing w:after="0" w:line="216" w:lineRule="exact"/>
              <w:rPr>
                <w:sz w:val="20"/>
                <w:szCs w:val="20"/>
                <w:color w:val="auto"/>
              </w:rPr>
            </w:pPr>
            <w:r>
              <w:rPr>
                <w:rFonts w:ascii="Arial" w:cs="Arial" w:eastAsia="Arial" w:hAnsi="Arial"/>
                <w:sz w:val="15"/>
                <w:szCs w:val="15"/>
                <w:color w:val="auto"/>
              </w:rPr>
              <w:t xml:space="preserve">55,707 </w:t>
            </w:r>
            <w:r>
              <w:rPr>
                <w:rFonts w:ascii="Arial" w:cs="Arial" w:eastAsia="Arial" w:hAnsi="Arial"/>
                <w:sz w:val="24"/>
                <w:szCs w:val="24"/>
                <w:color w:val="auto"/>
                <w:vertAlign w:val="superscript"/>
              </w:rPr>
              <w:t>(3)</w:t>
            </w:r>
          </w:p>
        </w:tc>
        <w:tc>
          <w:tcPr>
            <w:tcW w:w="2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180,300</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236,007</w:t>
            </w:r>
          </w:p>
        </w:tc>
      </w:tr>
      <w:tr>
        <w:trPr>
          <w:trHeight w:val="215"/>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S. Tierney</w:t>
            </w:r>
          </w:p>
        </w:tc>
        <w:tc>
          <w:tcPr>
            <w:tcW w:w="2280" w:type="dxa"/>
            <w:vAlign w:val="bottom"/>
            <w:gridSpan w:val="2"/>
            <w:shd w:val="clear" w:color="auto" w:fill="CCEEFF"/>
          </w:tcPr>
          <w:p>
            <w:pPr>
              <w:jc w:val="center"/>
              <w:ind w:left="40"/>
              <w:spacing w:after="0" w:line="216" w:lineRule="exact"/>
              <w:rPr>
                <w:sz w:val="20"/>
                <w:szCs w:val="20"/>
                <w:color w:val="auto"/>
              </w:rPr>
            </w:pPr>
            <w:r>
              <w:rPr>
                <w:rFonts w:ascii="Arial" w:cs="Arial" w:eastAsia="Arial" w:hAnsi="Arial"/>
                <w:sz w:val="15"/>
                <w:szCs w:val="15"/>
                <w:color w:val="auto"/>
              </w:rPr>
              <w:t xml:space="preserve">50,799 </w:t>
            </w:r>
            <w:r>
              <w:rPr>
                <w:rFonts w:ascii="Arial" w:cs="Arial" w:eastAsia="Arial" w:hAnsi="Arial"/>
                <w:sz w:val="24"/>
                <w:szCs w:val="24"/>
                <w:color w:val="auto"/>
                <w:vertAlign w:val="superscript"/>
              </w:rPr>
              <w:t>(4)</w:t>
            </w:r>
          </w:p>
        </w:tc>
        <w:tc>
          <w:tcPr>
            <w:tcW w:w="2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180,300</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231,099</w:t>
            </w:r>
          </w:p>
        </w:tc>
      </w:tr>
      <w:tr>
        <w:trPr>
          <w:trHeight w:val="389"/>
        </w:trPr>
        <w:tc>
          <w:tcPr>
            <w:tcW w:w="2760" w:type="dxa"/>
            <w:vAlign w:val="bottom"/>
          </w:tcPr>
          <w:p>
            <w:pPr>
              <w:ind w:left="20"/>
              <w:spacing w:after="0"/>
              <w:rPr>
                <w:sz w:val="20"/>
                <w:szCs w:val="20"/>
                <w:color w:val="auto"/>
              </w:rPr>
            </w:pPr>
            <w:r>
              <w:rPr>
                <w:rFonts w:ascii="Arial" w:cs="Arial" w:eastAsia="Arial" w:hAnsi="Arial"/>
                <w:sz w:val="18"/>
                <w:szCs w:val="18"/>
                <w:color w:val="auto"/>
              </w:rPr>
              <w:t>Tamara A. Seymour</w:t>
            </w:r>
          </w:p>
        </w:tc>
        <w:tc>
          <w:tcPr>
            <w:tcW w:w="2280" w:type="dxa"/>
            <w:vAlign w:val="bottom"/>
            <w:gridSpan w:val="2"/>
          </w:tcPr>
          <w:p>
            <w:pPr>
              <w:jc w:val="center"/>
              <w:ind w:left="40"/>
              <w:spacing w:after="0"/>
              <w:rPr>
                <w:sz w:val="20"/>
                <w:szCs w:val="20"/>
                <w:color w:val="auto"/>
              </w:rPr>
            </w:pPr>
            <w:r>
              <w:rPr>
                <w:rFonts w:ascii="Arial" w:cs="Arial" w:eastAsia="Arial" w:hAnsi="Arial"/>
                <w:sz w:val="18"/>
                <w:szCs w:val="18"/>
                <w:color w:val="auto"/>
                <w:w w:val="85"/>
              </w:rPr>
              <w:t xml:space="preserve">21,957 </w:t>
            </w:r>
            <w:r>
              <w:rPr>
                <w:rFonts w:ascii="Arial" w:cs="Arial" w:eastAsia="Arial" w:hAnsi="Arial"/>
                <w:sz w:val="29"/>
                <w:szCs w:val="29"/>
                <w:color w:val="auto"/>
                <w:w w:val="85"/>
                <w:vertAlign w:val="superscript"/>
              </w:rPr>
              <w:t>(5)</w:t>
            </w:r>
          </w:p>
        </w:tc>
        <w:tc>
          <w:tcPr>
            <w:tcW w:w="2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162,669</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184,626</w:t>
            </w:r>
          </w:p>
        </w:tc>
      </w:tr>
    </w:tbl>
    <w:p>
      <w:pPr>
        <w:spacing w:after="0" w:line="27" w:lineRule="exact"/>
        <w:rPr>
          <w:sz w:val="20"/>
          <w:szCs w:val="20"/>
          <w:color w:val="auto"/>
        </w:rPr>
      </w:pPr>
    </w:p>
    <w:p>
      <w:pPr>
        <w:jc w:val="both"/>
        <w:ind w:left="1340" w:right="1120" w:hanging="215"/>
        <w:spacing w:after="0" w:line="252" w:lineRule="auto"/>
        <w:rPr>
          <w:sz w:val="20"/>
          <w:szCs w:val="20"/>
          <w:color w:val="auto"/>
        </w:rPr>
      </w:pPr>
      <w:r>
        <w:rPr>
          <w:rFonts w:ascii="Arial" w:cs="Arial" w:eastAsia="Arial" w:hAnsi="Arial"/>
          <w:sz w:val="18"/>
          <w:szCs w:val="18"/>
          <w:color w:val="auto"/>
        </w:rPr>
        <w:t>(1)This column reflects the full grant date fair value for options granted during the year as measured pursuant to ASC Topic 718 as stock-based compensation in our financial statements.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L to our audited financial statements included in our Annual Report on Form 10-K for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-818515</wp:posOffset>
            </wp:positionV>
            <wp:extent cx="5704205" cy="8210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04205" cy="821055"/>
                    </a:xfrm>
                    <a:prstGeom prst="rect">
                      <a:avLst/>
                    </a:prstGeom>
                    <a:noFill/>
                  </pic:spPr>
                </pic:pic>
              </a:graphicData>
            </a:graphic>
          </wp:anchor>
        </w:drawing>
      </w:r>
    </w:p>
    <w:p>
      <w:pPr>
        <w:jc w:val="both"/>
        <w:ind w:left="1340" w:right="1120" w:hanging="215"/>
        <w:spacing w:after="0" w:line="249" w:lineRule="auto"/>
        <w:rPr>
          <w:sz w:val="20"/>
          <w:szCs w:val="20"/>
          <w:color w:val="auto"/>
        </w:rPr>
      </w:pPr>
      <w:r>
        <w:rPr>
          <w:rFonts w:ascii="Arial" w:cs="Arial" w:eastAsia="Arial" w:hAnsi="Arial"/>
          <w:sz w:val="18"/>
          <w:szCs w:val="18"/>
          <w:color w:val="auto"/>
        </w:rPr>
        <w:t>(2)Represents stipends awarded for Mr. Plooster’s service on our Board, as the chairman of our Compensation Committee and as a member of our Nominating and Corporate Governance Committee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635</wp:posOffset>
            </wp:positionV>
            <wp:extent cx="5704205" cy="410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4205" cy="410210"/>
                    </a:xfrm>
                    <a:prstGeom prst="rect">
                      <a:avLst/>
                    </a:prstGeom>
                    <a:noFill/>
                  </pic:spPr>
                </pic:pic>
              </a:graphicData>
            </a:graphic>
          </wp:anchor>
        </w:drawing>
      </w:r>
    </w:p>
    <w:p>
      <w:pPr>
        <w:jc w:val="both"/>
        <w:ind w:left="1340" w:right="1120" w:hanging="215"/>
        <w:spacing w:after="0" w:line="249" w:lineRule="auto"/>
        <w:rPr>
          <w:sz w:val="20"/>
          <w:szCs w:val="20"/>
          <w:color w:val="auto"/>
        </w:rPr>
      </w:pPr>
      <w:r>
        <w:rPr>
          <w:rFonts w:ascii="Arial" w:cs="Arial" w:eastAsia="Arial" w:hAnsi="Arial"/>
          <w:sz w:val="18"/>
          <w:szCs w:val="18"/>
          <w:color w:val="auto"/>
        </w:rPr>
        <w:t>(3)Represents stipends awarded for Mr. Saluri’s service on our Board, as a member of our Audit Committee and as the chairman of our Nominating and Corporate Governance Committee during 2021, and as a member of the Compensation Committee from November 10, 2021, to December 31, 2021.</w:t>
      </w:r>
    </w:p>
    <w:p>
      <w:pPr>
        <w:spacing w:after="0" w:line="2" w:lineRule="exact"/>
        <w:rPr>
          <w:sz w:val="20"/>
          <w:szCs w:val="20"/>
          <w:color w:val="auto"/>
        </w:rPr>
      </w:pPr>
    </w:p>
    <w:p>
      <w:pPr>
        <w:jc w:val="both"/>
        <w:ind w:left="1340" w:right="1120" w:hanging="215"/>
        <w:spacing w:after="0" w:line="281" w:lineRule="auto"/>
        <w:rPr>
          <w:sz w:val="20"/>
          <w:szCs w:val="20"/>
          <w:color w:val="auto"/>
        </w:rPr>
      </w:pPr>
      <w:r>
        <w:rPr>
          <w:rFonts w:ascii="Arial" w:cs="Arial" w:eastAsia="Arial" w:hAnsi="Arial"/>
          <w:sz w:val="16"/>
          <w:szCs w:val="16"/>
          <w:color w:val="auto"/>
        </w:rPr>
        <w:t>(4)Represents stipends awarded for Mr. Tierney’s service on our Board, as a member of our Compensation Committee and as a member of our Nominating and Corporate Governance Committee during 2021, and as a member of the Audit Committee from January 1, 2021, to August 17, 2021 and again from November 10, 2021, to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0</wp:posOffset>
            </wp:positionV>
            <wp:extent cx="5704205" cy="273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40" w:hanging="215"/>
        <w:spacing w:after="0" w:line="293" w:lineRule="auto"/>
        <w:rPr>
          <w:sz w:val="20"/>
          <w:szCs w:val="20"/>
          <w:color w:val="auto"/>
        </w:rPr>
      </w:pPr>
      <w:r>
        <w:rPr>
          <w:rFonts w:ascii="Arial" w:cs="Arial" w:eastAsia="Arial" w:hAnsi="Arial"/>
          <w:sz w:val="17"/>
          <w:szCs w:val="17"/>
          <w:color w:val="auto"/>
        </w:rPr>
        <w:t>(5)Represents stipends awarded for Ms. Seymour's service on our Board, as the chairman of our Audit Committee and as a member of our Compensation Committee from August 18</w:t>
      </w:r>
      <w:r>
        <w:rPr>
          <w:rFonts w:ascii="Arial" w:cs="Arial" w:eastAsia="Arial" w:hAnsi="Arial"/>
          <w:sz w:val="28"/>
          <w:szCs w:val="28"/>
          <w:color w:val="auto"/>
          <w:vertAlign w:val="superscript"/>
        </w:rPr>
        <w:t>,</w:t>
      </w:r>
      <w:r>
        <w:rPr>
          <w:rFonts w:ascii="Arial" w:cs="Arial" w:eastAsia="Arial" w:hAnsi="Arial"/>
          <w:sz w:val="17"/>
          <w:szCs w:val="17"/>
          <w:color w:val="auto"/>
        </w:rPr>
        <w:t xml:space="preserve"> 2021, through December 31, 2021.</w:t>
      </w:r>
    </w:p>
    <w:p>
      <w:pPr>
        <w:spacing w:after="0"/>
        <w:rPr>
          <w:sz w:val="20"/>
          <w:szCs w:val="20"/>
          <w:color w:val="auto"/>
        </w:rPr>
      </w:pPr>
      <w:r>
        <w:rPr>
          <w:rFonts w:ascii="Arial" w:cs="Arial" w:eastAsia="Arial" w:hAnsi="Arial"/>
          <w:sz w:val="17"/>
          <w:szCs w:val="17"/>
          <w:color w:val="auto"/>
        </w:rPr>
        <w:t>The table below shows the aggregate number of option awards outstanding for each of our non-employee directors as of December 31, 2021:</w:t>
      </w: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 Option</w:t>
            </w:r>
          </w:p>
        </w:tc>
      </w:tr>
      <w:tr>
        <w:trPr>
          <w:trHeight w:val="215"/>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0"/>
              </w:rPr>
              <w:t>Awards Outstanding</w:t>
            </w:r>
          </w:p>
        </w:tc>
      </w:tr>
      <w:tr>
        <w:trPr>
          <w:trHeight w:val="23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R. Plooster</w:t>
            </w:r>
          </w:p>
        </w:tc>
        <w:tc>
          <w:tcPr>
            <w:tcW w:w="4580" w:type="dxa"/>
            <w:vAlign w:val="bottom"/>
            <w:gridSpan w:val="2"/>
            <w:shd w:val="clear" w:color="auto" w:fill="CCEEFF"/>
          </w:tcPr>
          <w:p>
            <w:pPr>
              <w:jc w:val="center"/>
              <w:ind w:left="140"/>
              <w:spacing w:after="0" w:line="209" w:lineRule="exact"/>
              <w:rPr>
                <w:sz w:val="20"/>
                <w:szCs w:val="20"/>
                <w:color w:val="auto"/>
              </w:rPr>
            </w:pPr>
            <w:r>
              <w:rPr>
                <w:rFonts w:ascii="Arial" w:cs="Arial" w:eastAsia="Arial" w:hAnsi="Arial"/>
                <w:sz w:val="15"/>
                <w:szCs w:val="15"/>
                <w:color w:val="auto"/>
              </w:rPr>
              <w:t xml:space="preserve">22,312 </w:t>
            </w:r>
            <w:r>
              <w:rPr>
                <w:rFonts w:ascii="Arial" w:cs="Arial" w:eastAsia="Arial" w:hAnsi="Arial"/>
                <w:sz w:val="24"/>
                <w:szCs w:val="24"/>
                <w:color w:val="auto"/>
                <w:vertAlign w:val="superscript"/>
              </w:rPr>
              <w:t>(2)</w:t>
            </w: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color w:val="auto"/>
              </w:rPr>
              <w:t>Joseph B. Saluri</w:t>
            </w:r>
          </w:p>
        </w:tc>
        <w:tc>
          <w:tcPr>
            <w:tcW w:w="4580" w:type="dxa"/>
            <w:vAlign w:val="bottom"/>
            <w:gridSpan w:val="2"/>
          </w:tcPr>
          <w:p>
            <w:pPr>
              <w:jc w:val="center"/>
              <w:ind w:left="140"/>
              <w:spacing w:after="0" w:line="216" w:lineRule="exact"/>
              <w:rPr>
                <w:sz w:val="20"/>
                <w:szCs w:val="20"/>
                <w:color w:val="auto"/>
              </w:rPr>
            </w:pPr>
            <w:r>
              <w:rPr>
                <w:rFonts w:ascii="Arial" w:cs="Arial" w:eastAsia="Arial" w:hAnsi="Arial"/>
                <w:sz w:val="15"/>
                <w:szCs w:val="15"/>
                <w:color w:val="auto"/>
              </w:rPr>
              <w:t xml:space="preserve">21,562 </w:t>
            </w:r>
            <w:r>
              <w:rPr>
                <w:rFonts w:ascii="Arial" w:cs="Arial" w:eastAsia="Arial" w:hAnsi="Arial"/>
                <w:sz w:val="24"/>
                <w:szCs w:val="24"/>
                <w:color w:val="auto"/>
                <w:vertAlign w:val="superscript"/>
              </w:rPr>
              <w:t>(1)</w:t>
            </w: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S. Tierney</w:t>
            </w:r>
          </w:p>
        </w:tc>
        <w:tc>
          <w:tcPr>
            <w:tcW w:w="4580" w:type="dxa"/>
            <w:vAlign w:val="bottom"/>
            <w:gridSpan w:val="2"/>
            <w:shd w:val="clear" w:color="auto" w:fill="CCEEFF"/>
          </w:tcPr>
          <w:p>
            <w:pPr>
              <w:jc w:val="center"/>
              <w:ind w:left="140"/>
              <w:spacing w:after="0" w:line="216" w:lineRule="exact"/>
              <w:rPr>
                <w:sz w:val="20"/>
                <w:szCs w:val="20"/>
                <w:color w:val="auto"/>
              </w:rPr>
            </w:pPr>
            <w:r>
              <w:rPr>
                <w:rFonts w:ascii="Arial" w:cs="Arial" w:eastAsia="Arial" w:hAnsi="Arial"/>
                <w:sz w:val="15"/>
                <w:szCs w:val="15"/>
                <w:color w:val="auto"/>
              </w:rPr>
              <w:t xml:space="preserve">21,562 </w:t>
            </w:r>
            <w:r>
              <w:rPr>
                <w:rFonts w:ascii="Arial" w:cs="Arial" w:eastAsia="Arial" w:hAnsi="Arial"/>
                <w:sz w:val="24"/>
                <w:szCs w:val="24"/>
                <w:color w:val="auto"/>
                <w:vertAlign w:val="superscript"/>
              </w:rPr>
              <w:t>(1)</w:t>
            </w:r>
          </w:p>
        </w:tc>
      </w:tr>
      <w:tr>
        <w:trPr>
          <w:trHeight w:val="389"/>
        </w:trPr>
        <w:tc>
          <w:tcPr>
            <w:tcW w:w="4400" w:type="dxa"/>
            <w:vAlign w:val="bottom"/>
          </w:tcPr>
          <w:p>
            <w:pPr>
              <w:ind w:left="20"/>
              <w:spacing w:after="0"/>
              <w:rPr>
                <w:sz w:val="20"/>
                <w:szCs w:val="20"/>
                <w:color w:val="auto"/>
              </w:rPr>
            </w:pPr>
            <w:r>
              <w:rPr>
                <w:rFonts w:ascii="Arial" w:cs="Arial" w:eastAsia="Arial" w:hAnsi="Arial"/>
                <w:sz w:val="18"/>
                <w:szCs w:val="18"/>
                <w:color w:val="auto"/>
              </w:rPr>
              <w:t>Tamara A. Seymour</w:t>
            </w:r>
          </w:p>
        </w:tc>
        <w:tc>
          <w:tcPr>
            <w:tcW w:w="4580" w:type="dxa"/>
            <w:vAlign w:val="bottom"/>
            <w:gridSpan w:val="2"/>
          </w:tcPr>
          <w:p>
            <w:pPr>
              <w:jc w:val="center"/>
              <w:ind w:left="140"/>
              <w:spacing w:after="0"/>
              <w:rPr>
                <w:sz w:val="20"/>
                <w:szCs w:val="20"/>
                <w:color w:val="auto"/>
              </w:rPr>
            </w:pPr>
            <w:r>
              <w:rPr>
                <w:rFonts w:ascii="Arial" w:cs="Arial" w:eastAsia="Arial" w:hAnsi="Arial"/>
                <w:sz w:val="18"/>
                <w:szCs w:val="18"/>
                <w:color w:val="auto"/>
                <w:w w:val="85"/>
              </w:rPr>
              <w:t xml:space="preserve">22,500 </w:t>
            </w:r>
            <w:r>
              <w:rPr>
                <w:rFonts w:ascii="Arial" w:cs="Arial" w:eastAsia="Arial" w:hAnsi="Arial"/>
                <w:sz w:val="29"/>
                <w:szCs w:val="29"/>
                <w:color w:val="auto"/>
                <w:w w:val="85"/>
                <w:vertAlign w:val="superscript"/>
              </w:rPr>
              <w:t>(3)</w:t>
            </w:r>
          </w:p>
        </w:tc>
      </w:tr>
    </w:tbl>
    <w:p>
      <w:pPr>
        <w:spacing w:after="0" w:line="27" w:lineRule="exact"/>
        <w:rPr>
          <w:sz w:val="20"/>
          <w:szCs w:val="20"/>
          <w:color w:val="auto"/>
        </w:rPr>
      </w:pPr>
    </w:p>
    <w:p>
      <w:pPr>
        <w:jc w:val="both"/>
        <w:ind w:left="1340" w:right="1140" w:hanging="215"/>
        <w:spacing w:after="0" w:line="290" w:lineRule="auto"/>
        <w:rPr>
          <w:sz w:val="20"/>
          <w:szCs w:val="20"/>
          <w:color w:val="auto"/>
        </w:rPr>
      </w:pPr>
      <w:r>
        <w:rPr>
          <w:rFonts w:ascii="Arial" w:cs="Arial" w:eastAsia="Arial" w:hAnsi="Arial"/>
          <w:sz w:val="16"/>
          <w:szCs w:val="16"/>
          <w:color w:val="auto"/>
        </w:rPr>
        <w:t>(1)As of December 31, 2021, 6,562 shares underlying these options were vested. The remaining 15,000 shares underlying these options will vest on the earlier of (i) June 17, 2022 or (ii) one day prior to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-272415</wp:posOffset>
            </wp:positionV>
            <wp:extent cx="5704205" cy="273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40" w:hanging="215"/>
        <w:spacing w:after="0" w:line="281" w:lineRule="auto"/>
        <w:rPr>
          <w:sz w:val="20"/>
          <w:szCs w:val="20"/>
          <w:color w:val="auto"/>
        </w:rPr>
      </w:pPr>
      <w:r>
        <w:rPr>
          <w:rFonts w:ascii="Arial" w:cs="Arial" w:eastAsia="Arial" w:hAnsi="Arial"/>
          <w:sz w:val="16"/>
          <w:szCs w:val="16"/>
          <w:color w:val="auto"/>
        </w:rPr>
        <w:t>(2)As of December 31, 2021, 7,312 shares underlying these options were vested. The remaining 15,000 shares underlying these options will vest on the earlier of (i) June 17, 2022 or (ii) one day prior to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0</wp:posOffset>
            </wp:positionV>
            <wp:extent cx="5704205" cy="273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40" w:hanging="215"/>
        <w:spacing w:after="0" w:line="183" w:lineRule="auto"/>
        <w:rPr>
          <w:sz w:val="20"/>
          <w:szCs w:val="20"/>
          <w:color w:val="auto"/>
        </w:rPr>
      </w:pPr>
      <w:r>
        <w:rPr>
          <w:rFonts w:ascii="Arial" w:cs="Arial" w:eastAsia="Arial" w:hAnsi="Arial"/>
          <w:sz w:val="32"/>
          <w:szCs w:val="32"/>
          <w:color w:val="auto"/>
          <w:vertAlign w:val="subscript"/>
        </w:rPr>
        <w:t>(3)</w:t>
      </w:r>
      <w:r>
        <w:rPr>
          <w:rFonts w:ascii="Arial" w:cs="Arial" w:eastAsia="Arial" w:hAnsi="Arial"/>
          <w:sz w:val="17"/>
          <w:szCs w:val="17"/>
          <w:color w:val="auto"/>
        </w:rPr>
        <w:t>As of December 31, 2021, 22,500 shares underlying these options will vest in equal annual installments over a period of three years beginning on August 18, 2022, through August 18, 2024.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SECURITY OWNERSHIP OF CERTAIN BENEFICIAL OWNERS AND MANAGEMENT AND RELATED STOCKHOLDER</w:t>
      </w:r>
    </w:p>
    <w:p>
      <w:pPr>
        <w:spacing w:after="0" w:line="27" w:lineRule="exact"/>
        <w:rPr>
          <w:sz w:val="20"/>
          <w:szCs w:val="20"/>
          <w:color w:val="auto"/>
        </w:rPr>
      </w:pPr>
    </w:p>
    <w:p>
      <w:pPr>
        <w:ind w:left="700" w:hanging="692"/>
        <w:spacing w:after="0"/>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MATTERS.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beneficial ownership of our common stock as of March 29, 2022. for:</w:t>
      </w:r>
    </w:p>
    <w:p>
      <w:pPr>
        <w:spacing w:after="0" w:line="224" w:lineRule="exact"/>
        <w:rPr>
          <w:sz w:val="20"/>
          <w:szCs w:val="20"/>
          <w:color w:val="auto"/>
        </w:rPr>
      </w:pPr>
    </w:p>
    <w:p>
      <w:pPr>
        <w:ind w:left="460" w:hanging="223"/>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4" w:lineRule="exact"/>
        <w:rPr>
          <w:rFonts w:ascii="Arial" w:cs="Arial" w:eastAsia="Arial" w:hAnsi="Arial"/>
          <w:sz w:val="18"/>
          <w:szCs w:val="18"/>
          <w:color w:val="auto"/>
        </w:rPr>
      </w:pPr>
    </w:p>
    <w:p>
      <w:pPr>
        <w:ind w:left="460" w:hanging="223"/>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percentage ownership information shown in the table is based upon 34,422,503 shares of common stock outstanding as of March 29, 2022.</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(i) the conversion of outstanding convertible notes, assuming a conversion date of May 28, 2022, and (ii) the exercise of stock options or warrants that are either immediately exercisable or exercisable on or before May 28, 2022, which is 60 days after March 29, 2022. These shares are deemed to be outstanding and beneficially owned by the person holding those convertible notes,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Except as otherwise noted below, the address for persons listed in the table is c/o KemPharm, Inc., 1180 Celebration Blvd., Suite 103, Celebration, FL 34747.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11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140" w:type="dxa"/>
            <w:vAlign w:val="bottom"/>
          </w:tcPr>
          <w:p>
            <w:pPr>
              <w:spacing w:after="0"/>
              <w:rPr>
                <w:sz w:val="20"/>
                <w:szCs w:val="20"/>
                <w:color w:val="auto"/>
              </w:rPr>
            </w:pPr>
          </w:p>
        </w:tc>
      </w:tr>
      <w:tr>
        <w:trPr>
          <w:trHeight w:val="189"/>
        </w:trPr>
        <w:tc>
          <w:tcPr>
            <w:tcW w:w="1140" w:type="dxa"/>
            <w:vAlign w:val="bottom"/>
            <w:tcBorders>
              <w:right w:val="single" w:sz="8" w:color="CCEEFF"/>
            </w:tcBorders>
          </w:tcPr>
          <w:p>
            <w:pPr>
              <w:spacing w:after="0"/>
              <w:rPr>
                <w:sz w:val="16"/>
                <w:szCs w:val="16"/>
                <w:color w:val="auto"/>
              </w:rPr>
            </w:pPr>
          </w:p>
        </w:tc>
        <w:tc>
          <w:tcPr>
            <w:tcW w:w="59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Name of Beneficial Owner</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Principal Stockholders: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9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Samuel J. Braun </w:t>
            </w:r>
            <w:r>
              <w:rPr>
                <w:rFonts w:ascii="Arial" w:cs="Arial" w:eastAsia="Arial" w:hAnsi="Arial"/>
                <w:sz w:val="24"/>
                <w:szCs w:val="24"/>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3,021,660</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8.8%</w:t>
            </w: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4"/>
                <w:szCs w:val="24"/>
                <w:color w:val="auto"/>
                <w:vertAlign w:val="superscript"/>
              </w:rPr>
              <w:t>(2)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2,235,542</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6.5%</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9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Travis C. Mickle, Ph.D. </w:t>
            </w:r>
            <w:r>
              <w:rPr>
                <w:rFonts w:ascii="Arial" w:cs="Arial" w:eastAsia="Arial" w:hAnsi="Arial"/>
                <w:sz w:val="24"/>
                <w:szCs w:val="24"/>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263,209</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Sven Guenther, Ph.D. </w:t>
            </w:r>
            <w:r>
              <w:rPr>
                <w:rFonts w:ascii="Arial" w:cs="Arial" w:eastAsia="Arial" w:hAnsi="Arial"/>
                <w:sz w:val="24"/>
                <w:szCs w:val="24"/>
                <w:color w:val="auto"/>
                <w:vertAlign w:val="superscript"/>
              </w:rPr>
              <w:t>(4)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40,614</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9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R. LaDuane Clifton, CPA </w:t>
            </w:r>
            <w:r>
              <w:rPr>
                <w:rFonts w:ascii="Arial" w:cs="Arial" w:eastAsia="Arial" w:hAnsi="Arial"/>
                <w:sz w:val="24"/>
                <w:szCs w:val="24"/>
                <w:color w:val="auto"/>
                <w:vertAlign w:val="superscript"/>
              </w:rPr>
              <w:t>(5)</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42,571</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Richard W. Pascoe </w:t>
            </w:r>
            <w:r>
              <w:rPr>
                <w:rFonts w:ascii="Arial" w:cs="Arial" w:eastAsia="Arial" w:hAnsi="Arial"/>
                <w:sz w:val="24"/>
                <w:szCs w:val="24"/>
                <w:color w:val="auto"/>
                <w:vertAlign w:val="superscript"/>
              </w:rPr>
              <w:t>(6)</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9,847</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9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Matthew R. Plooster </w:t>
            </w:r>
            <w:r>
              <w:rPr>
                <w:rFonts w:ascii="Arial" w:cs="Arial" w:eastAsia="Arial" w:hAnsi="Arial"/>
                <w:sz w:val="24"/>
                <w:szCs w:val="24"/>
                <w:color w:val="auto"/>
                <w:vertAlign w:val="superscript"/>
              </w:rPr>
              <w:t>(7)</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11,413</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Joseph B. Saluri </w:t>
            </w:r>
            <w:r>
              <w:rPr>
                <w:rFonts w:ascii="Arial" w:cs="Arial" w:eastAsia="Arial" w:hAnsi="Arial"/>
                <w:sz w:val="24"/>
                <w:szCs w:val="24"/>
                <w:color w:val="auto"/>
                <w:vertAlign w:val="superscript"/>
              </w:rPr>
              <w:t>(8)</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7,868</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9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David S. Tierney </w:t>
            </w:r>
            <w:r>
              <w:rPr>
                <w:rFonts w:ascii="Arial" w:cs="Arial" w:eastAsia="Arial" w:hAnsi="Arial"/>
                <w:sz w:val="24"/>
                <w:szCs w:val="24"/>
                <w:color w:val="auto"/>
                <w:vertAlign w:val="superscript"/>
              </w:rPr>
              <w:t>(9)</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10,855</w:t>
            </w:r>
          </w:p>
        </w:tc>
        <w:tc>
          <w:tcPr>
            <w:tcW w:w="1600" w:type="dxa"/>
            <w:vAlign w:val="bottom"/>
            <w:gridSpan w:val="2"/>
          </w:tcPr>
          <w:p>
            <w:pPr>
              <w:jc w:val="center"/>
              <w:ind w:left="1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4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5"/>
                <w:szCs w:val="15"/>
                <w:color w:val="auto"/>
              </w:rPr>
              <w:t xml:space="preserve">All current directors and executive officers as a group (7 persons) </w:t>
            </w:r>
            <w:r>
              <w:rPr>
                <w:rFonts w:ascii="Arial" w:cs="Arial" w:eastAsia="Arial" w:hAnsi="Arial"/>
                <w:sz w:val="24"/>
                <w:szCs w:val="24"/>
                <w:color w:val="auto"/>
                <w:vertAlign w:val="superscript"/>
              </w:rPr>
              <w:t>(10)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386,377</w:t>
            </w:r>
          </w:p>
        </w:tc>
        <w:tc>
          <w:tcPr>
            <w:tcW w:w="16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1.1%</w:t>
            </w:r>
          </w:p>
        </w:tc>
        <w:tc>
          <w:tcPr>
            <w:tcW w:w="1140" w:type="dxa"/>
            <w:vAlign w:val="bottom"/>
          </w:tcPr>
          <w:p>
            <w:pPr>
              <w:spacing w:after="0"/>
              <w:rPr>
                <w:sz w:val="18"/>
                <w:szCs w:val="18"/>
                <w:color w:val="auto"/>
              </w:rPr>
            </w:pPr>
          </w:p>
        </w:tc>
      </w:tr>
      <w:tr>
        <w:trPr>
          <w:trHeight w:val="431"/>
        </w:trPr>
        <w:tc>
          <w:tcPr>
            <w:tcW w:w="1140" w:type="dxa"/>
            <w:vAlign w:val="bottom"/>
          </w:tcPr>
          <w:p>
            <w:pPr>
              <w:spacing w:after="0"/>
              <w:rPr>
                <w:sz w:val="24"/>
                <w:szCs w:val="24"/>
                <w:color w:val="auto"/>
              </w:rPr>
            </w:pPr>
          </w:p>
        </w:tc>
        <w:tc>
          <w:tcPr>
            <w:tcW w:w="5920" w:type="dxa"/>
            <w:vAlign w:val="bottom"/>
            <w:gridSpan w:val="2"/>
          </w:tcPr>
          <w:p>
            <w:pPr>
              <w:ind w:left="4340"/>
              <w:spacing w:after="0"/>
              <w:rPr>
                <w:sz w:val="20"/>
                <w:szCs w:val="20"/>
                <w:color w:val="auto"/>
              </w:rPr>
            </w:pPr>
            <w:r>
              <w:rPr>
                <w:rFonts w:ascii="Arial" w:cs="Arial" w:eastAsia="Arial" w:hAnsi="Arial"/>
                <w:sz w:val="18"/>
                <w:szCs w:val="18"/>
                <w:color w:val="auto"/>
              </w:rPr>
              <w:t>141</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1500" w:hanging="369"/>
        <w:spacing w:after="0"/>
        <w:tabs>
          <w:tab w:leader="none" w:pos="1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-121920</wp:posOffset>
            </wp:positionV>
            <wp:extent cx="5704205" cy="136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04205" cy="136525"/>
                    </a:xfrm>
                    <a:prstGeom prst="rect">
                      <a:avLst/>
                    </a:prstGeom>
                    <a:noFill/>
                  </pic:spPr>
                </pic:pic>
              </a:graphicData>
            </a:graphic>
          </wp:anchor>
        </w:drawing>
      </w:r>
    </w:p>
    <w:p>
      <w:pPr>
        <w:spacing w:after="0" w:line="3" w:lineRule="exact"/>
        <w:rPr>
          <w:sz w:val="20"/>
          <w:szCs w:val="20"/>
          <w:color w:val="auto"/>
        </w:rPr>
      </w:pPr>
    </w:p>
    <w:p>
      <w:pPr>
        <w:jc w:val="both"/>
        <w:ind w:left="1500" w:right="1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reported on a Schedule 13G/A filed by Samuel J. Braun with the SEC on January 12, 2022. Mr. Braun has sole voting and dispositive power over 2,657,160 shares and shared voting and dispositive power over 364,500 shares. ThinkSwitch Capital, LLC has shared voting and dispositive power over 323,500 shares. ThetaBurn Investments LLC has shared voting and dispositive power over 41,000 shares. The principal business address of Samuel J. Braun is 5 West Main St., Box 361, Warner, SD 57479-0361.</w:t>
      </w:r>
    </w:p>
    <w:p>
      <w:pPr>
        <w:spacing w:after="0" w:line="3" w:lineRule="exact"/>
        <w:rPr>
          <w:rFonts w:ascii="Arial" w:cs="Arial" w:eastAsia="Arial" w:hAnsi="Arial"/>
          <w:sz w:val="18"/>
          <w:szCs w:val="18"/>
          <w:color w:val="auto"/>
        </w:rPr>
      </w:pPr>
    </w:p>
    <w:p>
      <w:pPr>
        <w:ind w:left="1500" w:right="39" w:hanging="369"/>
        <w:spacing w:after="0" w:line="192"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reported on a Schedule 13G filed by BlackRock, Inc. with the SEC on February 4, 2022. The principal business address of BlackRock, Inc. is 55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New York, NY 10055.</w:t>
      </w:r>
    </w:p>
    <w:p>
      <w:pPr>
        <w:jc w:val="both"/>
        <w:ind w:left="1500" w:right="19" w:hanging="369"/>
        <w:spacing w:after="0" w:line="264" w:lineRule="auto"/>
        <w:tabs>
          <w:tab w:leader="none" w:pos="1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(a) 36,521 shares of common stock held directly by Dr. Mickle, (b) 9,824 shares of common stock held by the Travis C. Mickle 2015 Dynasty Trust dated 7/21/2015, for which Ms. Christal M.M. Mickle ("Ms. Mickle") serves as trustee, (c) 15,242 shares of common stock held by the Christal M.M. Mickle 2015 Gift Trust dated 7/21/2015, for which Dr. Mickle serves as trustee, (d) 96,153 shares of common stock held by Mickle Holdings, LLC, for which Dr. Mickle is the sole manager member (e) 1,034 shares of common stock held by Mickle Investments LLC, for which Dr. Mickle is the sole manager member, and (g) 104,435 shares of common stock underlying options held by Dr. Mickle that are exercisable within 60 days of March 29, 2022.</w:t>
      </w:r>
    </w:p>
    <w:p>
      <w:pPr>
        <w:spacing w:after="0" w:line="1" w:lineRule="exact"/>
        <w:rPr>
          <w:rFonts w:ascii="Arial" w:cs="Arial" w:eastAsia="Arial" w:hAnsi="Arial"/>
          <w:sz w:val="17"/>
          <w:szCs w:val="17"/>
          <w:color w:val="auto"/>
        </w:rPr>
      </w:pPr>
    </w:p>
    <w:p>
      <w:pPr>
        <w:ind w:left="1500" w:right="3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2,740 shares of common stock held directly by Dr. Guenther, and (b) 37,874 shares of common stock underlying options that are exercisable within 60 days of March 29, 2022.</w:t>
      </w:r>
    </w:p>
    <w:p>
      <w:pPr>
        <w:spacing w:after="0" w:line="1" w:lineRule="exact"/>
        <w:rPr>
          <w:rFonts w:ascii="Arial" w:cs="Arial" w:eastAsia="Arial" w:hAnsi="Arial"/>
          <w:sz w:val="18"/>
          <w:szCs w:val="18"/>
          <w:color w:val="auto"/>
        </w:rPr>
      </w:pPr>
    </w:p>
    <w:p>
      <w:pPr>
        <w:ind w:left="1500" w:right="3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5,240 shares of common stock held directly by Mr. Clifton, and (b) 37,331 shares of common stock underlying options that are exercisable within 60 days of March 29, 2022.</w:t>
      </w:r>
    </w:p>
    <w:p>
      <w:pPr>
        <w:spacing w:after="0" w:line="1" w:lineRule="exact"/>
        <w:rPr>
          <w:rFonts w:ascii="Arial" w:cs="Arial" w:eastAsia="Arial" w:hAnsi="Arial"/>
          <w:sz w:val="18"/>
          <w:szCs w:val="18"/>
          <w:color w:val="auto"/>
        </w:rPr>
      </w:pPr>
    </w:p>
    <w:p>
      <w:pPr>
        <w:ind w:left="1500" w:right="1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3,285 shares of common stock held directly by Mr. Pascoe, and (b) 6,562 shares of common stock underlying options that are exercisable within 60 days of March 29, 2022.</w:t>
      </w:r>
    </w:p>
    <w:p>
      <w:pPr>
        <w:spacing w:after="0" w:line="1" w:lineRule="exact"/>
        <w:rPr>
          <w:rFonts w:ascii="Arial" w:cs="Arial" w:eastAsia="Arial" w:hAnsi="Arial"/>
          <w:sz w:val="18"/>
          <w:szCs w:val="18"/>
          <w:color w:val="auto"/>
        </w:rPr>
      </w:pPr>
    </w:p>
    <w:p>
      <w:pPr>
        <w:jc w:val="both"/>
        <w:ind w:left="1500" w:right="39" w:hanging="369"/>
        <w:spacing w:after="0" w:line="281"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(a) 1,532 shares of common stock held directly by Mr. Plooster, (b) 69 shares of common stock held by TD Ameritrade Clearing Inc. Custodian FBO Matthew Ryan Plooster Roth IRA, for which Mr. Plooster serves as trustee,</w:t>
      </w:r>
    </w:p>
    <w:p>
      <w:pPr>
        <w:ind w:left="1500" w:right="39"/>
        <w:spacing w:after="0" w:line="264" w:lineRule="auto"/>
        <w:rPr>
          <w:rFonts w:ascii="Arial" w:cs="Arial" w:eastAsia="Arial" w:hAnsi="Arial"/>
          <w:sz w:val="16"/>
          <w:szCs w:val="16"/>
          <w:color w:val="auto"/>
        </w:rPr>
      </w:pPr>
      <w:r>
        <w:rPr>
          <w:rFonts w:ascii="Arial" w:cs="Arial" w:eastAsia="Arial" w:hAnsi="Arial"/>
          <w:sz w:val="17"/>
          <w:szCs w:val="17"/>
          <w:color w:val="auto"/>
        </w:rPr>
        <w:t>(c) 2,500 shares of common stock held by jointly by Mr. Plooster and his spouse, and (d) 7,312 shares of common stock underlying options held by Mr. Plooster that are exercisable within 60 days of March 29, 2022.</w:t>
      </w:r>
    </w:p>
    <w:p>
      <w:pPr>
        <w:ind w:left="1500" w:right="3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1,306 shares of common stock held directly by Mr. Saluri and (b) 6,562 shares of common stock underlying options that are exercisable within 60 days of March 29, 2022.</w:t>
      </w:r>
    </w:p>
    <w:p>
      <w:pPr>
        <w:spacing w:after="0" w:line="1" w:lineRule="exact"/>
        <w:rPr>
          <w:rFonts w:ascii="Arial" w:cs="Arial" w:eastAsia="Arial" w:hAnsi="Arial"/>
          <w:sz w:val="18"/>
          <w:szCs w:val="18"/>
          <w:color w:val="auto"/>
        </w:rPr>
      </w:pPr>
    </w:p>
    <w:p>
      <w:pPr>
        <w:ind w:left="1500" w:right="39" w:hanging="369"/>
        <w:spacing w:after="0" w:line="24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3,835 shares of common stock held directly by Mr. Tierney and (b) 7,020 shares of common stock underlying options that are exercisable within 60 days of March 29, 2022.</w:t>
      </w:r>
    </w:p>
    <w:p>
      <w:pPr>
        <w:spacing w:after="0" w:line="1" w:lineRule="exact"/>
        <w:rPr>
          <w:rFonts w:ascii="Arial" w:cs="Arial" w:eastAsia="Arial" w:hAnsi="Arial"/>
          <w:sz w:val="18"/>
          <w:szCs w:val="18"/>
          <w:color w:val="auto"/>
        </w:rPr>
      </w:pPr>
    </w:p>
    <w:p>
      <w:pPr>
        <w:ind w:left="1500" w:right="39" w:hanging="369"/>
        <w:spacing w:after="0" w:line="259"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(a) 179,281 shares of common stock, and (b) 207,096 shares of common stock underlying options that are exercisable within 60 days of 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-3430270</wp:posOffset>
            </wp:positionV>
            <wp:extent cx="5704205" cy="273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04205" cy="27368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-2199005</wp:posOffset>
            </wp:positionV>
            <wp:extent cx="5704205" cy="273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04205" cy="27368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-1651635</wp:posOffset>
            </wp:positionV>
            <wp:extent cx="5704205" cy="273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04205" cy="27368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-830580</wp:posOffset>
            </wp:positionV>
            <wp:extent cx="5704205" cy="273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04205" cy="27368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-283210</wp:posOffset>
            </wp:positionV>
            <wp:extent cx="5704205" cy="273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AUTHORIZED FOR ISSUANCE UNDER THE EQUITY COMPENSATION PLANS</w:t>
      </w:r>
    </w:p>
    <w:p>
      <w:pPr>
        <w:spacing w:after="0" w:line="228"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following table provides information with respect to all of our equity compensation plans in effect as of December 31, 2021. Information is included for the 2007 Plan and the A&amp;R 2014 Plan, each of which was in effect as of December 31, 2021, and was adopted with the approval of our stockholders.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17145</wp:posOffset>
            </wp:positionV>
            <wp:extent cx="24885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7" w:lineRule="exact"/>
        <w:rPr>
          <w:sz w:val="20"/>
          <w:szCs w:val="20"/>
          <w:color w:val="auto"/>
        </w:rPr>
      </w:pPr>
    </w:p>
    <w:p>
      <w:pPr>
        <w:ind w:left="1140" w:right="280"/>
        <w:spacing w:after="0" w:line="257"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Equity compensation plans not approved by security holders</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w:t>
            </w: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for future</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to be issued</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Weighted-average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upon exercise of</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exercise price of</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outstanding options,</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outstanding options,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reflected</w:t>
            </w:r>
          </w:p>
        </w:tc>
        <w:tc>
          <w:tcPr>
            <w:tcW w:w="0" w:type="dxa"/>
            <w:vAlign w:val="bottom"/>
          </w:tcPr>
          <w:p>
            <w:pPr>
              <w:spacing w:after="0"/>
              <w:rPr>
                <w:sz w:val="1"/>
                <w:szCs w:val="1"/>
                <w:color w:val="auto"/>
              </w:rPr>
            </w:pPr>
          </w:p>
        </w:tc>
      </w:tr>
      <w:tr>
        <w:trPr>
          <w:trHeight w:val="215"/>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rights</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rights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234"/>
        </w:trPr>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(#)(a)</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($)(b)</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(#)(c)</w:t>
            </w:r>
          </w:p>
        </w:tc>
        <w:tc>
          <w:tcPr>
            <w:tcW w:w="0" w:type="dxa"/>
            <w:vAlign w:val="bottom"/>
          </w:tcPr>
          <w:p>
            <w:pPr>
              <w:spacing w:after="0"/>
              <w:rPr>
                <w:sz w:val="1"/>
                <w:szCs w:val="1"/>
                <w:color w:val="auto"/>
              </w:rPr>
            </w:pPr>
          </w:p>
        </w:tc>
      </w:tr>
      <w:tr>
        <w:trPr>
          <w:trHeight w:val="504"/>
        </w:trPr>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xml:space="preserve">1,273,879 </w:t>
            </w:r>
            <w:r>
              <w:rPr>
                <w:rFonts w:ascii="Arial" w:cs="Arial" w:eastAsia="Arial" w:hAnsi="Arial"/>
                <w:sz w:val="29"/>
                <w:szCs w:val="29"/>
                <w:color w:val="auto"/>
                <w:w w:val="86"/>
                <w:vertAlign w:val="superscript"/>
              </w:rPr>
              <w:t>(1)</w:t>
            </w:r>
          </w:p>
        </w:tc>
        <w:tc>
          <w:tcPr>
            <w:tcW w:w="180" w:type="dxa"/>
            <w:vAlign w:val="bottom"/>
          </w:tcPr>
          <w:p>
            <w:pPr>
              <w:spacing w:after="0"/>
              <w:rPr>
                <w:sz w:val="24"/>
                <w:szCs w:val="24"/>
                <w:color w:val="auto"/>
              </w:rPr>
            </w:pPr>
          </w:p>
        </w:tc>
        <w:tc>
          <w:tcPr>
            <w:tcW w:w="15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$27.58</w:t>
            </w:r>
          </w:p>
        </w:tc>
        <w:tc>
          <w:tcPr>
            <w:tcW w:w="180" w:type="dxa"/>
            <w:vAlign w:val="bottom"/>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 xml:space="preserve">5,709,935 </w:t>
            </w:r>
            <w:r>
              <w:rPr>
                <w:rFonts w:ascii="Arial" w:cs="Arial" w:eastAsia="Arial" w:hAnsi="Arial"/>
                <w:sz w:val="29"/>
                <w:szCs w:val="29"/>
                <w:color w:val="auto"/>
                <w:w w:val="86"/>
                <w:vertAlign w:val="superscript"/>
              </w:rPr>
              <w:t>(2)</w:t>
            </w:r>
          </w:p>
        </w:tc>
        <w:tc>
          <w:tcPr>
            <w:tcW w:w="0" w:type="dxa"/>
            <w:vAlign w:val="bottom"/>
          </w:tcPr>
          <w:p>
            <w:pPr>
              <w:spacing w:after="0"/>
              <w:rPr>
                <w:sz w:val="1"/>
                <w:szCs w:val="1"/>
                <w:color w:val="auto"/>
              </w:rPr>
            </w:pPr>
          </w:p>
        </w:tc>
      </w:tr>
      <w:tr>
        <w:trPr>
          <w:trHeight w:val="230"/>
        </w:trPr>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1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1,273,879</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5,709,935</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-709295</wp:posOffset>
            </wp:positionV>
            <wp:extent cx="5704205" cy="273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04205" cy="273685"/>
                    </a:xfrm>
                    <a:prstGeom prst="rect">
                      <a:avLst/>
                    </a:prstGeom>
                    <a:noFill/>
                  </pic:spPr>
                </pic:pic>
              </a:graphicData>
            </a:graphic>
          </wp:anchor>
        </w:drawing>
        <w:drawing>
          <wp:anchor simplePos="0" relativeHeight="251657728" behindDoc="1" locked="0" layoutInCell="0" allowOverlap="1">
            <wp:simplePos x="0" y="0"/>
            <wp:positionH relativeFrom="column">
              <wp:posOffset>-2599055</wp:posOffset>
            </wp:positionH>
            <wp:positionV relativeFrom="paragraph">
              <wp:posOffset>-161925</wp:posOffset>
            </wp:positionV>
            <wp:extent cx="570420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420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320"/>
            <w:col w:w="6020"/>
          </w:cols>
          <w:pgMar w:left="320" w:top="125" w:right="339" w:bottom="1440" w:gutter="0" w:footer="0" w:header="0"/>
          <w:type w:val="continuous"/>
        </w:sectPr>
      </w:pPr>
    </w:p>
    <w:p>
      <w:pPr>
        <w:spacing w:after="0" w:line="1" w:lineRule="exact"/>
        <w:rPr>
          <w:sz w:val="20"/>
          <w:szCs w:val="20"/>
          <w:color w:val="auto"/>
        </w:rPr>
      </w:pPr>
    </w:p>
    <w:p>
      <w:pPr>
        <w:jc w:val="both"/>
        <w:ind w:left="1340" w:right="1140" w:hanging="215"/>
        <w:spacing w:after="0" w:line="258" w:lineRule="auto"/>
        <w:rPr>
          <w:sz w:val="20"/>
          <w:szCs w:val="20"/>
          <w:color w:val="auto"/>
        </w:rPr>
      </w:pPr>
      <w:r>
        <w:rPr>
          <w:rFonts w:ascii="Arial" w:cs="Arial" w:eastAsia="Arial" w:hAnsi="Arial"/>
          <w:sz w:val="18"/>
          <w:szCs w:val="18"/>
          <w:color w:val="auto"/>
        </w:rPr>
        <w:t>(1)Includes (i) options to purchase a total of 11,306 shares of our common stock under the 2007 Plan and (ii) options to purchase a total of 1,262,573 shares of common stock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-273050</wp:posOffset>
            </wp:positionV>
            <wp:extent cx="5704205" cy="273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20" w:hanging="215"/>
        <w:spacing w:after="0" w:line="268" w:lineRule="auto"/>
        <w:rPr>
          <w:sz w:val="20"/>
          <w:szCs w:val="20"/>
          <w:color w:val="auto"/>
        </w:rPr>
      </w:pPr>
      <w:r>
        <w:rPr>
          <w:rFonts w:ascii="Arial" w:cs="Arial" w:eastAsia="Arial" w:hAnsi="Arial"/>
          <w:sz w:val="17"/>
          <w:szCs w:val="17"/>
          <w:color w:val="auto"/>
        </w:rPr>
        <w:t>(2)Consists of 4,209,935 shares of common stock reserved for issuance under the A&amp;R 2014 Plan and 1,500,000 shares of common stock reserved for issuance under the 2021 ESPP. The number of shares of our common stock reserved for issuance under the A&amp;R 2014 Plan will automatically increase each year on January 1 from January 1, 2016 continuing through January 1, 2031, by (i) 4.0% of the total number of shares of our common stock outstanding on December 31 of the preceding calendar year, or (ii) a lesser number of shares determined by our Board. Pursuant to the terms of the 2014 Plan, an additional 1,400,225 shares of common stock were added to the number of shares reserved for issuance under the 2014 Plan, effective January 1,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2460"/>
        <w:spacing w:after="0" w:line="281" w:lineRule="auto"/>
        <w:rPr>
          <w:sz w:val="20"/>
          <w:szCs w:val="20"/>
          <w:color w:val="auto"/>
        </w:rPr>
      </w:pPr>
      <w:r>
        <w:rPr>
          <w:rFonts w:ascii="Arial" w:cs="Arial" w:eastAsia="Arial" w:hAnsi="Arial"/>
          <w:sz w:val="18"/>
          <w:szCs w:val="18"/>
          <w:b w:val="1"/>
          <w:bCs w:val="1"/>
          <w:color w:val="auto"/>
        </w:rPr>
        <w:t>ITEM CERTAIN RELATIONSHIPS AND RELATED TRANSACTIONS, AND DIRECTOR INDEPENDENCE 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are certain transactions, arrangements and relationships with persons who are, or were during the period beginning January 1, 2020, our directors, executive officers or shareholders owning 5% or more of our outstanding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2020, we entered into a December 2020 Exchange Agreement and Amendment to Facility Agreement, Notes and Investors’ Rights Agreement (the “December 2020 Exchange Agreement”), which was amended on December 24, 2020. Pursuant to the December 2020 Exchange Agreement, (a) we made a cash pre-payment (the “Debt Payment”) of a portion of the principal amount of our then outstanding senior secured convertible notes issued in December 2019 and January 2020 (the “Senior Secured Notes”) and the senior secured convertible promissory note (the “Deerfield Note”) then held by Deerfield Private Design Fund III, L.P., which was a 5% stockholder (“Deerfield” and together with Deerfield Special Situations Fund, L.P., the “Deerfield Lenders”), to the Deerfield Lenders, Delaware Street Capital Master Fund, L.P. and M. Kingdon Offshore Master Fund, LP, or, collectively, the Holders, in an aggregate amount equal to approximately $30.3 million; and (b) issued 31,476.98412 shares of our Series B-2 Preferred Stock and warrants exercisable for 3,632,019 shares of our common stock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Senior Secured Notes and the Deerfield Note was approximately $7.6 million.</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further information regarding this agreement, see “Item 7—Management’s Discussion and Analysis of Financial Condition and Results of Operations— Liquidity and Capital Resources—Debt Restructuring."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r>
        <w:rPr>
          <w:rFonts w:ascii="Arial" w:cs="Arial" w:eastAsia="Arial" w:hAnsi="Arial"/>
          <w:sz w:val="18"/>
          <w:szCs w:val="18"/>
          <w:b w:val="1"/>
          <w:bCs w:val="1"/>
          <w:color w:val="auto"/>
        </w:rPr>
        <w:t xml:space="preserve"> Rights Agreement</w:t>
      </w:r>
    </w:p>
    <w:p>
      <w:pPr>
        <w:spacing w:after="0" w:line="2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entered into an investors’ rights agreement with some of our stockholders, including Deerfield Private Design Fund III, L.P., which was a 5% stockholder. The investors’ rights agreement, among other things, grants these stockholders specified registration rights with respect to shares of our common stock, including shares of common stock issued or issuable upon conversion or reclassification of the shares of our redeemable convertible preferred stock, convertible notes and warrants held by them. The provisions of this agreement, other than those relating to registration rights, terminated on the two-year anniversary of our initial public offering as to all stockholders party to such agreement, other than Deerfield Private Design Fund III, L.P.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the board.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For more information regarding these agreements, see “Executive Compensation—Limitations on Liability and Indemnification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INDEPENDENCE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required under Nasdaq listing standards, a majority of the members of our Board must qualify as “independent,” as affirmatively determined by the Board. Our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four directors are independent directors within the meaning of the applicable Nasdaq listing standards: Matthew R. Plooster, Joseph B. Saluri, David S. Tierney and Tamara A. Seymour.</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making this determination, the Board found that none of these directors had a material or other disqualifying relationship with us. The Board considered the current and prior relationships that each non-employee director has with us and all other facts and circumstances our Board deemed relevant in determining their independence, including the beneficial ownership of our capital stock by each non-employee director. Dr. Mickle, our president and chief executive officer, and Mr. Pascoe, our executive chairman are not independent directors by virtue of their employment with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Members of Committees of the Board of Directors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Each of the members of each of the Audit Committee, the Compensation Committee and the Nominating and Corporate Governance Committee are independent, as determined in accordance with the applicable independence requirements for each such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w:t>
        <w:tab/>
        <w:t>PRINCIPAL ACCOUNTING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2021, and December 31, 2020, by RSM US LLP, or RSM, the Company’s principal accountant for those fiscal years (in thousands).</w:t>
      </w:r>
    </w:p>
    <w:p>
      <w:pPr>
        <w:spacing w:after="0" w:line="67" w:lineRule="exact"/>
        <w:rPr>
          <w:sz w:val="20"/>
          <w:szCs w:val="20"/>
          <w:color w:val="auto"/>
        </w:rPr>
      </w:pPr>
    </w:p>
    <w:tbl>
      <w:tblPr>
        <w:tblLayout w:type="fixed"/>
        <w:tblInd w:w="1120" w:type="dxa"/>
        <w:tblCellMar>
          <w:top w:w="0" w:type="dxa"/>
          <w:left w:w="0" w:type="dxa"/>
          <w:bottom w:w="0" w:type="dxa"/>
          <w:right w:w="0" w:type="dxa"/>
        </w:tblCellMar>
      </w:tblPr>
      <w:tr>
        <w:trPr>
          <w:trHeight w:val="333"/>
        </w:trPr>
        <w:tc>
          <w:tcPr>
            <w:tcW w:w="568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 xml:space="preserve">Year Ended December 31, </w:t>
            </w:r>
            <w:r>
              <w:rPr>
                <w:rFonts w:ascii="Arial" w:cs="Arial" w:eastAsia="Arial" w:hAnsi="Arial"/>
                <w:sz w:val="29"/>
                <w:szCs w:val="29"/>
                <w:b w:val="1"/>
                <w:bCs w:val="1"/>
                <w:color w:val="auto"/>
                <w:vertAlign w:val="superscript"/>
              </w:rPr>
              <w:t>(1)</w:t>
            </w:r>
          </w:p>
        </w:tc>
        <w:tc>
          <w:tcPr>
            <w:tcW w:w="460" w:type="dxa"/>
            <w:vAlign w:val="bottom"/>
            <w:tcBorders>
              <w:bottom w:val="single" w:sz="8" w:color="auto"/>
            </w:tcBorders>
          </w:tcPr>
          <w:p>
            <w:pPr>
              <w:spacing w:after="0"/>
              <w:rPr>
                <w:sz w:val="24"/>
                <w:szCs w:val="24"/>
                <w:color w:val="auto"/>
              </w:rPr>
            </w:pPr>
          </w:p>
        </w:tc>
      </w:tr>
      <w:tr>
        <w:trPr>
          <w:trHeight w:val="209"/>
        </w:trPr>
        <w:tc>
          <w:tcPr>
            <w:tcW w:w="568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09"/>
        </w:trPr>
        <w:tc>
          <w:tcPr>
            <w:tcW w:w="568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 xml:space="preserve">Audit Fees </w:t>
            </w:r>
            <w:r>
              <w:rPr>
                <w:rFonts w:ascii="Arial" w:cs="Arial" w:eastAsia="Arial" w:hAnsi="Arial"/>
                <w:sz w:val="24"/>
                <w:szCs w:val="24"/>
                <w:color w:val="auto"/>
                <w:vertAlign w:val="superscript"/>
              </w:rPr>
              <w:t>(2)</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2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5"/>
        </w:trPr>
        <w:tc>
          <w:tcPr>
            <w:tcW w:w="568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Audit-related Fees </w:t>
            </w:r>
            <w:r>
              <w:rPr>
                <w:rFonts w:ascii="Arial" w:cs="Arial" w:eastAsia="Arial" w:hAnsi="Arial"/>
                <w:sz w:val="24"/>
                <w:szCs w:val="24"/>
                <w:color w:val="auto"/>
                <w:vertAlign w:val="superscript"/>
              </w:rPr>
              <w:t>(3)</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680" w:type="dxa"/>
            <w:vAlign w:val="bottom"/>
            <w:shd w:val="clear" w:color="auto" w:fill="CCEEFF"/>
          </w:tcPr>
          <w:p>
            <w:pPr>
              <w:ind w:left="20"/>
              <w:spacing w:after="0" w:line="216" w:lineRule="exact"/>
              <w:rPr>
                <w:sz w:val="20"/>
                <w:szCs w:val="20"/>
                <w:color w:val="auto"/>
              </w:rPr>
            </w:pPr>
            <w:r>
              <w:rPr>
                <w:rFonts w:ascii="Arial" w:cs="Arial" w:eastAsia="Arial" w:hAnsi="Arial"/>
                <w:sz w:val="15"/>
                <w:szCs w:val="15"/>
                <w:color w:val="auto"/>
              </w:rPr>
              <w:t xml:space="preserve">Tax Fees </w:t>
            </w:r>
            <w:r>
              <w:rPr>
                <w:rFonts w:ascii="Arial" w:cs="Arial" w:eastAsia="Arial" w:hAnsi="Arial"/>
                <w:sz w:val="24"/>
                <w:szCs w:val="24"/>
                <w:color w:val="auto"/>
                <w:vertAlign w:val="superscript"/>
              </w:rPr>
              <w:t>(4)</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68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All Other Fees </w:t>
            </w:r>
            <w:r>
              <w:rPr>
                <w:rFonts w:ascii="Arial" w:cs="Arial" w:eastAsia="Arial" w:hAnsi="Arial"/>
                <w:sz w:val="24"/>
                <w:szCs w:val="24"/>
                <w:color w:val="auto"/>
                <w:vertAlign w:val="superscript"/>
              </w:rPr>
              <w:t>(5)</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(1)All fees described above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-121920</wp:posOffset>
            </wp:positionV>
            <wp:extent cx="5704205" cy="136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4205" cy="136525"/>
                    </a:xfrm>
                    <a:prstGeom prst="rect">
                      <a:avLst/>
                    </a:prstGeom>
                    <a:noFill/>
                  </pic:spPr>
                </pic:pic>
              </a:graphicData>
            </a:graphic>
          </wp:anchor>
        </w:drawing>
      </w:r>
    </w:p>
    <w:p>
      <w:pPr>
        <w:spacing w:after="0" w:line="3" w:lineRule="exact"/>
        <w:rPr>
          <w:sz w:val="20"/>
          <w:szCs w:val="20"/>
          <w:color w:val="auto"/>
        </w:rPr>
      </w:pPr>
    </w:p>
    <w:p>
      <w:pPr>
        <w:jc w:val="both"/>
        <w:ind w:left="1340" w:right="1120" w:hanging="215"/>
        <w:spacing w:after="0" w:line="249" w:lineRule="auto"/>
        <w:rPr>
          <w:sz w:val="20"/>
          <w:szCs w:val="20"/>
          <w:color w:val="auto"/>
        </w:rPr>
      </w:pPr>
      <w:r>
        <w:rPr>
          <w:rFonts w:ascii="Arial" w:cs="Arial" w:eastAsia="Arial" w:hAnsi="Arial"/>
          <w:sz w:val="18"/>
          <w:szCs w:val="18"/>
          <w:color w:val="auto"/>
        </w:rPr>
        <w:t>(2)Audit Fees are fees for the annual audit and quarterly reviews of the Company's financial statements, audits required by public company regulation, professional consultations with respect to accounting issues, registration statement filings and issuance of consents and similar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1270</wp:posOffset>
            </wp:positionV>
            <wp:extent cx="5704205" cy="410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4205" cy="410210"/>
                    </a:xfrm>
                    <a:prstGeom prst="rect">
                      <a:avLst/>
                    </a:prstGeom>
                    <a:noFill/>
                  </pic:spPr>
                </pic:pic>
              </a:graphicData>
            </a:graphic>
          </wp:anchor>
        </w:drawing>
      </w:r>
    </w:p>
    <w:p>
      <w:pPr>
        <w:jc w:val="both"/>
        <w:ind w:left="1340" w:right="1120" w:hanging="215"/>
        <w:spacing w:after="0" w:line="249" w:lineRule="auto"/>
        <w:rPr>
          <w:sz w:val="20"/>
          <w:szCs w:val="20"/>
          <w:color w:val="auto"/>
        </w:rPr>
      </w:pPr>
      <w:r>
        <w:rPr>
          <w:rFonts w:ascii="Arial" w:cs="Arial" w:eastAsia="Arial" w:hAnsi="Arial"/>
          <w:sz w:val="18"/>
          <w:szCs w:val="18"/>
          <w:color w:val="auto"/>
        </w:rPr>
        <w:t>(3)Audit-related Fees are fees for assurance and related services that are reasonably related to the performance of the audit or review of our financial statements and are not reported under “Audit Fees.” No Audit-related Fees were billed in fiscal year 2021 or 2020.</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(4)Tax Fees are fees for tax compliance, planning and preparation. No Tax Fees were billed in fiscal year 2021 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5080</wp:posOffset>
            </wp:positionV>
            <wp:extent cx="5704205" cy="273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04205" cy="273685"/>
                    </a:xfrm>
                    <a:prstGeom prst="rect">
                      <a:avLst/>
                    </a:prstGeom>
                    <a:noFill/>
                  </pic:spPr>
                </pic:pic>
              </a:graphicData>
            </a:graphic>
          </wp:anchor>
        </w:drawing>
      </w:r>
    </w:p>
    <w:p>
      <w:pPr>
        <w:jc w:val="both"/>
        <w:ind w:left="1340" w:right="1140" w:hanging="215"/>
        <w:spacing w:after="0" w:line="259" w:lineRule="auto"/>
        <w:rPr>
          <w:sz w:val="20"/>
          <w:szCs w:val="20"/>
          <w:color w:val="auto"/>
        </w:rPr>
      </w:pPr>
      <w:r>
        <w:rPr>
          <w:rFonts w:ascii="Arial" w:cs="Arial" w:eastAsia="Arial" w:hAnsi="Arial"/>
          <w:sz w:val="18"/>
          <w:szCs w:val="18"/>
          <w:color w:val="auto"/>
        </w:rPr>
        <w:t>(5)All Other Fees are fees for products and services other than the services described above. No Other Fees were billed in fiscal year 2021 or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tax services and other permissible non-audit services, so long as such non-audit services will not impair the independent registered public accounting firm’s independence and are consistent with applicable rules and regulations,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Audit Committee has determined that the rendering of services other than audit services by RSM was compatible with maintaining the independent registered public accounting firm’s independence.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01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8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620" w:type="dxa"/>
            <w:vAlign w:val="bottom"/>
            <w:gridSpan w:val="10"/>
            <w:vMerge w:val="restart"/>
          </w:tcPr>
          <w:p>
            <w:pPr>
              <w:ind w:left="220"/>
              <w:spacing w:after="0"/>
              <w:rPr>
                <w:sz w:val="20"/>
                <w:szCs w:val="20"/>
                <w:color w:val="auto"/>
              </w:rPr>
            </w:pPr>
            <w:r>
              <w:rPr>
                <w:rFonts w:ascii="Arial" w:cs="Arial" w:eastAsia="Arial" w:hAnsi="Arial"/>
                <w:sz w:val="18"/>
                <w:szCs w:val="18"/>
                <w:b w:val="1"/>
                <w:bCs w:val="1"/>
                <w:color w:val="auto"/>
              </w:rPr>
              <w:t>EXHIBITS AND FINANCIAL STATEMENT SCHEDULES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15.</w:t>
            </w:r>
          </w:p>
        </w:tc>
        <w:tc>
          <w:tcPr>
            <w:tcW w:w="9620" w:type="dxa"/>
            <w:vAlign w:val="bottom"/>
            <w:gridSpan w:val="10"/>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0100" w:type="dxa"/>
            <w:vAlign w:val="bottom"/>
            <w:gridSpan w:val="11"/>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9620" w:type="dxa"/>
            <w:vAlign w:val="bottom"/>
            <w:gridSpan w:val="10"/>
          </w:tcPr>
          <w:p>
            <w:pPr>
              <w:ind w:left="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80" w:type="dxa"/>
            <w:vAlign w:val="bottom"/>
            <w:gridSpan w:val="8"/>
            <w:shd w:val="clear" w:color="auto" w:fill="CCEEFF"/>
          </w:tcPr>
          <w:p>
            <w:pPr>
              <w:spacing w:after="0" w:line="169" w:lineRule="exact"/>
              <w:rPr>
                <w:rFonts w:ascii="Arial" w:cs="Arial" w:eastAsia="Arial" w:hAnsi="Arial"/>
                <w:sz w:val="18"/>
                <w:szCs w:val="18"/>
                <w:color w:val="0000EE"/>
              </w:rPr>
            </w:pPr>
            <w:hyperlink w:anchor="page148">
              <w:r>
                <w:rPr>
                  <w:rFonts w:ascii="Arial" w:cs="Arial" w:eastAsia="Arial" w:hAnsi="Arial"/>
                  <w:sz w:val="18"/>
                  <w:szCs w:val="18"/>
                  <w:color w:val="0000EE"/>
                </w:rPr>
                <w:t xml:space="preserve">Reports of RSM US LLP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49)</w:t>
            </w:r>
          </w:p>
        </w:tc>
        <w:tc>
          <w:tcPr>
            <w:tcW w:w="1140" w:type="dxa"/>
            <w:vAlign w:val="bottom"/>
            <w:gridSpan w:val="3"/>
            <w:shd w:val="clear" w:color="auto" w:fill="CCEEFF"/>
          </w:tcPr>
          <w:p>
            <w:pPr>
              <w:jc w:val="center"/>
              <w:ind w:left="30"/>
              <w:spacing w:after="0" w:line="169"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148</w:t>
              </w:r>
            </w:hyperlink>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280" w:type="dxa"/>
            <w:vAlign w:val="bottom"/>
            <w:gridSpan w:val="8"/>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 xml:space="preserve">Balance Sheets as of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31, 2021 and 2020</w:t>
            </w:r>
          </w:p>
        </w:tc>
        <w:tc>
          <w:tcPr>
            <w:tcW w:w="1140" w:type="dxa"/>
            <w:vAlign w:val="bottom"/>
            <w:gridSpan w:val="3"/>
          </w:tcPr>
          <w:p>
            <w:pPr>
              <w:jc w:val="center"/>
              <w:ind w:left="30"/>
              <w:spacing w:after="0" w:line="176"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149</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280" w:type="dxa"/>
            <w:vAlign w:val="bottom"/>
            <w:gridSpan w:val="8"/>
            <w:shd w:val="clear" w:color="auto" w:fill="CCEEFF"/>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 xml:space="preserve">Statements of Operations for the years ended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31, 2021 and 2020</w:t>
            </w:r>
          </w:p>
        </w:tc>
        <w:tc>
          <w:tcPr>
            <w:tcW w:w="1140" w:type="dxa"/>
            <w:vAlign w:val="bottom"/>
            <w:gridSpan w:val="3"/>
            <w:shd w:val="clear" w:color="auto" w:fill="CCEEFF"/>
          </w:tcPr>
          <w:p>
            <w:pPr>
              <w:jc w:val="center"/>
              <w:ind w:left="30"/>
              <w:spacing w:after="0" w:line="17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150</w:t>
              </w:r>
            </w:hyperlink>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280" w:type="dxa"/>
            <w:vAlign w:val="bottom"/>
            <w:gridSpan w:val="8"/>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 xml:space="preserve">Statements of Changes in Stockholders’ Equity (Deficit) for the years ended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31, 2021 and 2020</w:t>
            </w:r>
          </w:p>
        </w:tc>
        <w:tc>
          <w:tcPr>
            <w:tcW w:w="1140" w:type="dxa"/>
            <w:vAlign w:val="bottom"/>
            <w:gridSpan w:val="3"/>
          </w:tcPr>
          <w:p>
            <w:pPr>
              <w:jc w:val="center"/>
              <w:ind w:left="30"/>
              <w:spacing w:after="0" w:line="17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151</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280" w:type="dxa"/>
            <w:vAlign w:val="bottom"/>
            <w:gridSpan w:val="8"/>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 xml:space="preserve">Statements of Cash Flows for the years ended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31, 2021 and 2020</w:t>
            </w:r>
          </w:p>
        </w:tc>
        <w:tc>
          <w:tcPr>
            <w:tcW w:w="1140" w:type="dxa"/>
            <w:vAlign w:val="bottom"/>
            <w:gridSpan w:val="3"/>
            <w:shd w:val="clear" w:color="auto" w:fill="CCEEFF"/>
          </w:tcPr>
          <w:p>
            <w:pPr>
              <w:jc w:val="center"/>
              <w:ind w:left="30"/>
              <w:spacing w:after="0" w:line="176" w:lineRule="exact"/>
              <w:rPr>
                <w:rFonts w:ascii="Arial" w:cs="Arial" w:eastAsia="Arial" w:hAnsi="Arial"/>
                <w:sz w:val="18"/>
                <w:szCs w:val="18"/>
                <w:color w:val="0000EE"/>
                <w:w w:val="86"/>
              </w:rPr>
            </w:pPr>
            <w:hyperlink w:anchor="page154">
              <w:r>
                <w:rPr>
                  <w:rFonts w:ascii="Arial" w:cs="Arial" w:eastAsia="Arial" w:hAnsi="Arial"/>
                  <w:sz w:val="18"/>
                  <w:szCs w:val="18"/>
                  <w:color w:val="0000EE"/>
                  <w:w w:val="86"/>
                </w:rPr>
                <w:t>153</w:t>
              </w:r>
            </w:hyperlink>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3320" w:type="dxa"/>
            <w:vAlign w:val="bottom"/>
            <w:gridSpan w:val="6"/>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Notes to Financial Statements</w:t>
              </w:r>
            </w:hyperlink>
          </w:p>
        </w:tc>
        <w:tc>
          <w:tcPr>
            <w:tcW w:w="59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center"/>
              <w:ind w:right="380"/>
              <w:spacing w:after="0" w:line="176" w:lineRule="exact"/>
              <w:rPr>
                <w:rFonts w:ascii="Arial" w:cs="Arial" w:eastAsia="Arial" w:hAnsi="Arial"/>
                <w:sz w:val="18"/>
                <w:szCs w:val="18"/>
                <w:color w:val="0000EE"/>
                <w:w w:val="86"/>
              </w:rPr>
            </w:pPr>
            <w:hyperlink w:anchor="page155">
              <w:r>
                <w:rPr>
                  <w:rFonts w:ascii="Arial" w:cs="Arial" w:eastAsia="Arial" w:hAnsi="Arial"/>
                  <w:sz w:val="18"/>
                  <w:szCs w:val="18"/>
                  <w:color w:val="0000EE"/>
                  <w:w w:val="86"/>
                </w:rPr>
                <w:t>154</w:t>
              </w:r>
            </w:hyperlink>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9280" w:type="dxa"/>
            <w:vAlign w:val="bottom"/>
            <w:gridSpan w:val="8"/>
          </w:tcPr>
          <w:p>
            <w:pPr>
              <w:ind w:left="60"/>
              <w:spacing w:after="0"/>
              <w:rPr>
                <w:sz w:val="20"/>
                <w:szCs w:val="20"/>
                <w:color w:val="auto"/>
              </w:rPr>
            </w:pPr>
            <w:r>
              <w:rPr>
                <w:rFonts w:ascii="Arial" w:cs="Arial" w:eastAsia="Arial" w:hAnsi="Arial"/>
                <w:sz w:val="18"/>
                <w:szCs w:val="18"/>
                <w:i w:val="1"/>
                <w:iCs w:val="1"/>
                <w:color w:val="auto"/>
              </w:rPr>
              <w:t>Financial Statement Schedules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20" w:type="dxa"/>
            <w:vAlign w:val="bottom"/>
            <w:gridSpan w:val="12"/>
          </w:tcPr>
          <w:p>
            <w:pPr>
              <w:ind w:left="40"/>
              <w:spacing w:after="0"/>
              <w:rPr>
                <w:sz w:val="20"/>
                <w:szCs w:val="20"/>
                <w:color w:val="auto"/>
              </w:rPr>
            </w:pPr>
            <w:r>
              <w:rPr>
                <w:rFonts w:ascii="Arial" w:cs="Arial" w:eastAsia="Arial" w:hAnsi="Arial"/>
                <w:sz w:val="18"/>
                <w:szCs w:val="18"/>
                <w:color w:val="auto"/>
                <w:w w:val="91"/>
              </w:rPr>
              <w:t>All other schedules are omitted because they are not required or the required information is included in the financial statements or notes thereto.</w:t>
            </w: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9280" w:type="dxa"/>
            <w:vAlign w:val="bottom"/>
            <w:gridSpan w:val="8"/>
          </w:tcPr>
          <w:p>
            <w:pPr>
              <w:ind w:left="60"/>
              <w:spacing w:after="0"/>
              <w:rPr>
                <w:sz w:val="20"/>
                <w:szCs w:val="20"/>
                <w:color w:val="auto"/>
              </w:rPr>
            </w:pPr>
            <w:r>
              <w:rPr>
                <w:rFonts w:ascii="Arial" w:cs="Arial" w:eastAsia="Arial" w:hAnsi="Arial"/>
                <w:sz w:val="18"/>
                <w:szCs w:val="18"/>
                <w:i w:val="1"/>
                <w:iCs w:val="1"/>
                <w:color w:val="auto"/>
              </w:rPr>
              <w:t>Exhibits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80" w:type="dxa"/>
            <w:vAlign w:val="bottom"/>
            <w:gridSpan w:val="8"/>
          </w:tcPr>
          <w:p>
            <w:pPr>
              <w:ind w:left="4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report.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8"/>
          </w:tcPr>
          <w:p>
            <w:pPr>
              <w:jc w:val="right"/>
              <w:ind w:right="490"/>
              <w:spacing w:after="0"/>
              <w:rPr>
                <w:sz w:val="20"/>
                <w:szCs w:val="20"/>
                <w:color w:val="auto"/>
              </w:rPr>
            </w:pPr>
            <w:r>
              <w:rPr>
                <w:rFonts w:ascii="Arial" w:cs="Arial" w:eastAsia="Arial" w:hAnsi="Arial"/>
                <w:sz w:val="18"/>
                <w:szCs w:val="18"/>
                <w:color w:val="auto"/>
              </w:rPr>
              <w:t>147</w:t>
            </w:r>
          </w:p>
        </w:tc>
        <w:tc>
          <w:tcPr>
            <w:tcW w:w="3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08"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 Board of Directors of KemPharm,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balance sheets of KemPharm, Inc. (the Company) as of December 31, 2021 and 2020, the related statements of operations, changes in stockholdersʼ equity (deficit) and cash flows for the years then ended, and the related notes to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2022</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5"/>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KEMPHARM,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BALANCE SHEETS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8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112,346</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r>
      <w:tr>
        <w:trPr>
          <w:trHeight w:val="215"/>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Accounts and other receivables</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2,579</w:t>
            </w:r>
          </w:p>
        </w:tc>
      </w:tr>
      <w:tr>
        <w:trPr>
          <w:trHeight w:val="215"/>
        </w:trPr>
        <w:tc>
          <w:tcPr>
            <w:tcW w:w="8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r>
      <w:tr>
        <w:trPr>
          <w:trHeight w:val="229"/>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09"/>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1,039</w:t>
            </w:r>
          </w:p>
        </w:tc>
      </w:tr>
      <w:tr>
        <w:trPr>
          <w:trHeight w:val="215"/>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0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132,941</w:t>
            </w: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6,647</w:t>
            </w:r>
          </w:p>
        </w:tc>
      </w:tr>
      <w:tr>
        <w:trPr>
          <w:trHeight w:val="215"/>
        </w:trPr>
        <w:tc>
          <w:tcPr>
            <w:tcW w:w="8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15"/>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Current portion of loans payable</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15"/>
        </w:trPr>
        <w:tc>
          <w:tcPr>
            <w:tcW w:w="800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7,536</w:t>
            </w:r>
          </w:p>
        </w:tc>
      </w:tr>
      <w:tr>
        <w:trPr>
          <w:trHeight w:val="215"/>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Convertible notes, less current portion, net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67,658</w:t>
            </w: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Derivative and warrant liability</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15"/>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Loans payable, less current portion</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391</w:t>
            </w:r>
          </w:p>
        </w:tc>
      </w:tr>
      <w:tr>
        <w:trPr>
          <w:trHeight w:val="215"/>
        </w:trPr>
        <w:tc>
          <w:tcPr>
            <w:tcW w:w="80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77,621</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H)</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1280" w:type="dxa"/>
            <w:vAlign w:val="bottom"/>
            <w:shd w:val="clear" w:color="auto" w:fill="CCEEFF"/>
          </w:tcPr>
          <w:p>
            <w:pPr>
              <w:spacing w:after="0"/>
              <w:rPr>
                <w:sz w:val="18"/>
                <w:szCs w:val="18"/>
                <w:color w:val="auto"/>
              </w:rPr>
            </w:pPr>
          </w:p>
        </w:tc>
        <w:tc>
          <w:tcPr>
            <w:tcW w:w="6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8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1"/>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Series A convertible preferred stock, $0.0001 par value, no shares authorized, issued or outstanding as of</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8000" w:type="dxa"/>
            <w:vAlign w:val="bottom"/>
            <w:gridSpan w:val="2"/>
          </w:tcPr>
          <w:p>
            <w:pPr>
              <w:ind w:left="340"/>
              <w:spacing w:after="0"/>
              <w:rPr>
                <w:sz w:val="20"/>
                <w:szCs w:val="20"/>
                <w:color w:val="auto"/>
              </w:rPr>
            </w:pPr>
            <w:r>
              <w:rPr>
                <w:rFonts w:ascii="Arial" w:cs="Arial" w:eastAsia="Arial" w:hAnsi="Arial"/>
                <w:sz w:val="18"/>
                <w:szCs w:val="18"/>
                <w:color w:val="auto"/>
                <w:w w:val="96"/>
              </w:rPr>
              <w:t>December 31, 2021; 9,578 shares authorized, 9,577 shares issued and no shares outstanding as of</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December 31, 2020</w:t>
            </w:r>
          </w:p>
        </w:tc>
        <w:tc>
          <w:tcPr>
            <w:tcW w:w="3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1"/>
        </w:trPr>
        <w:tc>
          <w:tcPr>
            <w:tcW w:w="8000" w:type="dxa"/>
            <w:vAlign w:val="bottom"/>
            <w:tcBorders>
              <w:right w:val="single" w:sz="8" w:color="CCEEFF"/>
            </w:tcBorders>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B-1 convertible preferred stock, $0.0001 par value, no shares authorized, issued or outstanding as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of December 31, 2021; 1,576 shares authorized and issued and no shares outstanding as of December 31,</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67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1"/>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Series B-2 convertible preferred stock, $0.0001 par value, no shares authorized, issued or outstanding as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8000" w:type="dxa"/>
            <w:vAlign w:val="bottom"/>
            <w:gridSpan w:val="2"/>
          </w:tcPr>
          <w:p>
            <w:pPr>
              <w:ind w:left="340"/>
              <w:spacing w:after="0"/>
              <w:rPr>
                <w:sz w:val="20"/>
                <w:szCs w:val="20"/>
                <w:color w:val="auto"/>
              </w:rPr>
            </w:pPr>
            <w:r>
              <w:rPr>
                <w:rFonts w:ascii="Arial" w:cs="Arial" w:eastAsia="Arial" w:hAnsi="Arial"/>
                <w:sz w:val="18"/>
                <w:szCs w:val="18"/>
                <w:color w:val="auto"/>
                <w:w w:val="91"/>
              </w:rPr>
              <w:t>of December 31, 2021; 27,000 shares authorized and issued and no shares outstanding as of December</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280" w:type="dxa"/>
            <w:vAlign w:val="bottom"/>
          </w:tcPr>
          <w:p>
            <w:pPr>
              <w:ind w:left="340"/>
              <w:spacing w:after="0"/>
              <w:rPr>
                <w:sz w:val="20"/>
                <w:szCs w:val="20"/>
                <w:color w:val="auto"/>
              </w:rPr>
            </w:pPr>
            <w:r>
              <w:rPr>
                <w:rFonts w:ascii="Arial" w:cs="Arial" w:eastAsia="Arial" w:hAnsi="Arial"/>
                <w:sz w:val="18"/>
                <w:szCs w:val="18"/>
                <w:color w:val="auto"/>
              </w:rPr>
              <w:t>31, 2020</w:t>
            </w:r>
          </w:p>
        </w:tc>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1"/>
        </w:trPr>
        <w:tc>
          <w:tcPr>
            <w:tcW w:w="8000" w:type="dxa"/>
            <w:vAlign w:val="bottom"/>
            <w:tcBorders>
              <w:right w:val="single" w:sz="8" w:color="CCEEFF"/>
            </w:tcBorders>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Undesignated preferred stock, $0.0001 par value, 10,000,000 shares authorized, no shares issued or</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outstanding as of December 31, 2021; 9,961,846 shares authorized, no shares issued or outstanding as of</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2020</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1"/>
        </w:trPr>
        <w:tc>
          <w:tcPr>
            <w:tcW w:w="80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Common stock, $0.0001 par value, 250,000,000 shares authorized, 35,325,801  shares  issued  and</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8000" w:type="dxa"/>
            <w:vAlign w:val="bottom"/>
            <w:gridSpan w:val="2"/>
          </w:tcPr>
          <w:p>
            <w:pPr>
              <w:ind w:left="160"/>
              <w:spacing w:after="0"/>
              <w:rPr>
                <w:sz w:val="20"/>
                <w:szCs w:val="20"/>
                <w:color w:val="auto"/>
              </w:rPr>
            </w:pPr>
            <w:r>
              <w:rPr>
                <w:rFonts w:ascii="Arial" w:cs="Arial" w:eastAsia="Arial" w:hAnsi="Arial"/>
                <w:sz w:val="18"/>
                <w:szCs w:val="18"/>
                <w:color w:val="auto"/>
                <w:w w:val="93"/>
              </w:rPr>
              <w:t>35,005,640 shares outstanding as of December 31, 2021; 4,537,321 shares issued and outstanding as of</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December 31, 2020</w:t>
            </w:r>
          </w:p>
        </w:tc>
        <w:tc>
          <w:tcPr>
            <w:tcW w:w="3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5"/>
        </w:trPr>
        <w:tc>
          <w:tcPr>
            <w:tcW w:w="80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396,957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192,062</w:t>
            </w:r>
          </w:p>
        </w:tc>
      </w:tr>
      <w:tr>
        <w:trPr>
          <w:trHeight w:val="215"/>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Treasury stock, at cost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00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(267,029)</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(258,474)</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127,118</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(66,412)</w:t>
            </w:r>
          </w:p>
        </w:tc>
      </w:tr>
      <w:tr>
        <w:trPr>
          <w:trHeight w:val="229"/>
        </w:trPr>
        <w:tc>
          <w:tcPr>
            <w:tcW w:w="8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 (deficit)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132,941</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240"/>
          </w:cols>
          <w:pgMar w:left="320" w:top="108"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9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5"/>
        </w:trPr>
        <w:tc>
          <w:tcPr>
            <w:tcW w:w="1280" w:type="dxa"/>
            <w:vAlign w:val="bottom"/>
            <w:tcBorders>
              <w:top w:val="single" w:sz="8" w:color="0000EE"/>
            </w:tcBorders>
          </w:tcPr>
          <w:p>
            <w:pPr>
              <w:spacing w:after="0"/>
              <w:rPr>
                <w:sz w:val="24"/>
                <w:szCs w:val="24"/>
                <w:color w:val="auto"/>
              </w:rPr>
            </w:pPr>
          </w:p>
        </w:tc>
        <w:tc>
          <w:tcPr>
            <w:tcW w:w="6520" w:type="dxa"/>
            <w:vAlign w:val="bottom"/>
          </w:tcPr>
          <w:p>
            <w:pPr>
              <w:jc w:val="center"/>
              <w:ind w:left="2070"/>
              <w:spacing w:after="0"/>
              <w:rPr>
                <w:sz w:val="20"/>
                <w:szCs w:val="20"/>
                <w:color w:val="auto"/>
              </w:rPr>
            </w:pPr>
            <w:r>
              <w:rPr>
                <w:rFonts w:ascii="Arial" w:cs="Arial" w:eastAsia="Arial" w:hAnsi="Arial"/>
                <w:sz w:val="18"/>
                <w:szCs w:val="18"/>
                <w:b w:val="1"/>
                <w:bCs w:val="1"/>
                <w:color w:val="auto"/>
              </w:rPr>
              <w:t>KEMPHARM,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6520" w:type="dxa"/>
            <w:vAlign w:val="bottom"/>
          </w:tcPr>
          <w:p>
            <w:pPr>
              <w:jc w:val="center"/>
              <w:ind w:left="2070"/>
              <w:spacing w:after="0"/>
              <w:rPr>
                <w:sz w:val="20"/>
                <w:szCs w:val="20"/>
                <w:color w:val="auto"/>
              </w:rPr>
            </w:pPr>
            <w:r>
              <w:rPr>
                <w:rFonts w:ascii="Arial" w:cs="Arial" w:eastAsia="Arial" w:hAnsi="Arial"/>
                <w:sz w:val="18"/>
                <w:szCs w:val="18"/>
                <w:b w:val="1"/>
                <w:bCs w:val="1"/>
                <w:color w:val="auto"/>
                <w:w w:val="98"/>
              </w:rPr>
              <w:t>STATEMENTS OF OPERATIONS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20" w:type="dxa"/>
            <w:vAlign w:val="bottom"/>
          </w:tcPr>
          <w:p>
            <w:pPr>
              <w:jc w:val="center"/>
              <w:ind w:left="20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1"/>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28,650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13,288</w:t>
            </w:r>
          </w:p>
        </w:tc>
      </w:tr>
      <w:tr>
        <w:trPr>
          <w:trHeight w:val="215"/>
        </w:trPr>
        <w:tc>
          <w:tcPr>
            <w:tcW w:w="7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Royalty and direct contract acquisition costs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10,161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8,843</w:t>
            </w:r>
          </w:p>
        </w:tc>
      </w:tr>
      <w:tr>
        <w:trPr>
          <w:trHeight w:val="215"/>
        </w:trPr>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7,921</w:t>
            </w: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Severance expense</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r>
      <w:tr>
        <w:trPr>
          <w:trHeight w:val="209"/>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20,921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18,897</w:t>
            </w: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w:t>
            </w:r>
          </w:p>
        </w:tc>
      </w:tr>
      <w:tr>
        <w:trPr>
          <w:trHeight w:val="209"/>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related to amortization of debt issuance costs and discount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Interest expense on principal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(4,785)</w:t>
            </w:r>
          </w:p>
        </w:tc>
      </w:tr>
      <w:tr>
        <w:trPr>
          <w:trHeight w:val="215"/>
        </w:trPr>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 net</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r>
      <w:tr>
        <w:trPr>
          <w:trHeight w:val="209"/>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income</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(12,794)</w:t>
            </w:r>
          </w:p>
        </w:tc>
      </w:tr>
      <w:tr>
        <w:trPr>
          <w:trHeight w:val="215"/>
        </w:trPr>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r>
      <w:tr>
        <w:trPr>
          <w:trHeight w:val="209"/>
        </w:trPr>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(54,342)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78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1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(62,897)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(12,760)</w:t>
            </w:r>
          </w:p>
        </w:tc>
      </w:tr>
      <w:tr>
        <w:trPr>
          <w:trHeight w:val="20"/>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7800" w:type="dxa"/>
            <w:vAlign w:val="bottom"/>
            <w:gridSpan w:val="2"/>
          </w:tcPr>
          <w:p>
            <w:pPr>
              <w:spacing w:after="0"/>
              <w:rPr>
                <w:sz w:val="20"/>
                <w:szCs w:val="20"/>
                <w:color w:val="auto"/>
              </w:rPr>
            </w:pPr>
            <w:r>
              <w:rPr>
                <w:rFonts w:ascii="Arial" w:cs="Arial" w:eastAsia="Arial" w:hAnsi="Arial"/>
                <w:sz w:val="18"/>
                <w:szCs w:val="18"/>
                <w:color w:val="auto"/>
              </w:rPr>
              <w:t>Basic net loss per share of common stock:</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5"/>
        </w:trPr>
        <w:tc>
          <w:tcPr>
            <w:tcW w:w="7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196"/>
        </w:trPr>
        <w:tc>
          <w:tcPr>
            <w:tcW w:w="1280" w:type="dxa"/>
            <w:vAlign w:val="bottom"/>
            <w:tcBorders>
              <w:top w:val="single" w:sz="8" w:color="CCEEFF"/>
            </w:tcBorders>
          </w:tcPr>
          <w:p>
            <w:pPr>
              <w:spacing w:after="0"/>
              <w:rPr>
                <w:sz w:val="17"/>
                <w:szCs w:val="17"/>
                <w:color w:val="auto"/>
              </w:rPr>
            </w:pPr>
          </w:p>
        </w:tc>
        <w:tc>
          <w:tcPr>
            <w:tcW w:w="6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5"/>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share of common stock:</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80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11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Weighted average number of shares of common stock outstanding: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29,766,347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3,980,975</w:t>
            </w:r>
          </w:p>
        </w:tc>
      </w:tr>
      <w:tr>
        <w:trPr>
          <w:trHeight w:val="196"/>
        </w:trPr>
        <w:tc>
          <w:tcPr>
            <w:tcW w:w="800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15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29,766,347</w:t>
            </w:r>
          </w:p>
        </w:tc>
        <w:tc>
          <w:tcPr>
            <w:tcW w:w="16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3,980,975</w:t>
            </w:r>
          </w:p>
        </w:tc>
      </w:tr>
      <w:tr>
        <w:trPr>
          <w:trHeight w:val="20"/>
        </w:trPr>
        <w:tc>
          <w:tcPr>
            <w:tcW w:w="80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Preferred Stock</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7"/>
              </w:rPr>
              <w:t>Series 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6"/>
              </w:rPr>
              <w:t>Series B-1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9"/>
              </w:rPr>
              <w:t>Series B-2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Convertible</w:t>
            </w: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Convertible</w:t>
            </w: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Undesignated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Preferred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5"/>
              </w:rPr>
              <w:t>Preferred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Preferred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Paid-in</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Treasury</w:t>
            </w:r>
          </w:p>
        </w:tc>
        <w:tc>
          <w:tcPr>
            <w:tcW w:w="108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Accumulated</w:t>
            </w:r>
          </w:p>
        </w:tc>
        <w:tc>
          <w:tcPr>
            <w:tcW w:w="100" w:type="dxa"/>
            <w:vAlign w:val="bottom"/>
          </w:tcPr>
          <w:p>
            <w:pPr>
              <w:spacing w:after="0"/>
              <w:rPr>
                <w:sz w:val="17"/>
                <w:szCs w:val="17"/>
                <w:color w:val="auto"/>
              </w:rPr>
            </w:pPr>
          </w:p>
        </w:tc>
        <w:tc>
          <w:tcPr>
            <w:tcW w:w="10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2020</w:t>
            </w:r>
          </w:p>
        </w:tc>
        <w:tc>
          <w:tcPr>
            <w:tcW w:w="740" w:type="dxa"/>
            <w:vAlign w:val="bottom"/>
            <w:shd w:val="clear" w:color="auto" w:fill="CCEEFF"/>
          </w:tcPr>
          <w:p>
            <w:pPr>
              <w:jc w:val="right"/>
              <w:ind w:right="581"/>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840" w:type="dxa"/>
            <w:vAlign w:val="bottom"/>
            <w:gridSpan w:val="2"/>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171,258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(74,456)</w:t>
            </w:r>
          </w:p>
        </w:tc>
        <w:tc>
          <w:tcPr>
            <w:tcW w:w="0" w:type="dxa"/>
            <w:vAlign w:val="bottom"/>
          </w:tcPr>
          <w:p>
            <w:pPr>
              <w:spacing w:after="0"/>
              <w:rPr>
                <w:sz w:val="1"/>
                <w:szCs w:val="1"/>
                <w:color w:val="auto"/>
              </w:rPr>
            </w:pPr>
          </w:p>
        </w:tc>
      </w:tr>
      <w:tr>
        <w:trPr>
          <w:trHeight w:val="195"/>
        </w:trPr>
        <w:tc>
          <w:tcPr>
            <w:tcW w:w="2400" w:type="dxa"/>
            <w:vAlign w:val="bottom"/>
            <w:tcBorders>
              <w:top w:val="single" w:sz="8" w:color="CCEEFF"/>
            </w:tcBorders>
          </w:tcPr>
          <w:p>
            <w:pPr>
              <w:ind w:left="160"/>
              <w:spacing w:after="0"/>
              <w:rPr>
                <w:sz w:val="20"/>
                <w:szCs w:val="20"/>
                <w:color w:val="auto"/>
              </w:rPr>
            </w:pPr>
            <w:r>
              <w:rPr>
                <w:rFonts w:ascii="Arial" w:cs="Arial" w:eastAsia="Arial" w:hAnsi="Arial"/>
                <w:sz w:val="16"/>
                <w:szCs w:val="16"/>
                <w:color w:val="auto"/>
              </w:rPr>
              <w:t>Net loss</w:t>
            </w: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(12,760)</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(12,760)</w:t>
            </w: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192"/>
        </w:trPr>
        <w:tc>
          <w:tcPr>
            <w:tcW w:w="2400" w:type="dxa"/>
            <w:vAlign w:val="bottom"/>
          </w:tcPr>
          <w:p>
            <w:pPr>
              <w:ind w:left="160"/>
              <w:spacing w:after="0"/>
              <w:rPr>
                <w:sz w:val="20"/>
                <w:szCs w:val="20"/>
                <w:color w:val="auto"/>
              </w:rPr>
            </w:pPr>
            <w:r>
              <w:rPr>
                <w:rFonts w:ascii="Arial" w:cs="Arial" w:eastAsia="Arial" w:hAnsi="Arial"/>
                <w:sz w:val="16"/>
                <w:szCs w:val="16"/>
                <w:color w:val="auto"/>
              </w:rPr>
              <w:t>Issuance of common stock in</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160"/>
              <w:spacing w:after="0"/>
              <w:rPr>
                <w:sz w:val="20"/>
                <w:szCs w:val="20"/>
                <w:color w:val="auto"/>
              </w:rPr>
            </w:pPr>
            <w:r>
              <w:rPr>
                <w:rFonts w:ascii="Arial" w:cs="Arial" w:eastAsia="Arial" w:hAnsi="Arial"/>
                <w:sz w:val="16"/>
                <w:szCs w:val="16"/>
                <w:color w:val="auto"/>
              </w:rPr>
              <w:t>connection with equity line of</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160"/>
              <w:spacing w:after="0"/>
              <w:rPr>
                <w:sz w:val="20"/>
                <w:szCs w:val="20"/>
                <w:color w:val="auto"/>
              </w:rPr>
            </w:pPr>
            <w:r>
              <w:rPr>
                <w:rFonts w:ascii="Arial" w:cs="Arial" w:eastAsia="Arial" w:hAnsi="Arial"/>
                <w:sz w:val="16"/>
                <w:szCs w:val="16"/>
                <w:color w:val="auto"/>
              </w:rPr>
              <w:t>credit</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connection with Deerfield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Optional Conversion Feature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15,863</w:t>
            </w:r>
          </w:p>
        </w:tc>
        <w:tc>
          <w:tcPr>
            <w:tcW w:w="0" w:type="dxa"/>
            <w:vAlign w:val="bottom"/>
          </w:tcPr>
          <w:p>
            <w:pPr>
              <w:spacing w:after="0"/>
              <w:rPr>
                <w:sz w:val="1"/>
                <w:szCs w:val="1"/>
                <w:color w:val="auto"/>
              </w:rPr>
            </w:pPr>
          </w:p>
        </w:tc>
      </w:tr>
      <w:tr>
        <w:trPr>
          <w:trHeight w:val="192"/>
        </w:trPr>
        <w:tc>
          <w:tcPr>
            <w:tcW w:w="2400" w:type="dxa"/>
            <w:vAlign w:val="bottom"/>
          </w:tcPr>
          <w:p>
            <w:pPr>
              <w:ind w:left="160"/>
              <w:spacing w:after="0"/>
              <w:rPr>
                <w:sz w:val="20"/>
                <w:szCs w:val="20"/>
                <w:color w:val="auto"/>
              </w:rPr>
            </w:pPr>
            <w:r>
              <w:rPr>
                <w:rFonts w:ascii="Arial" w:cs="Arial" w:eastAsia="Arial" w:hAnsi="Arial"/>
                <w:sz w:val="16"/>
                <w:szCs w:val="16"/>
                <w:color w:val="auto"/>
                <w:w w:val="99"/>
              </w:rPr>
              <w:t>Recognition of deferred offering</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160"/>
              <w:spacing w:after="0"/>
              <w:rPr>
                <w:sz w:val="20"/>
                <w:szCs w:val="20"/>
                <w:color w:val="auto"/>
              </w:rPr>
            </w:pPr>
            <w:r>
              <w:rPr>
                <w:rFonts w:ascii="Arial" w:cs="Arial" w:eastAsia="Arial" w:hAnsi="Arial"/>
                <w:sz w:val="16"/>
                <w:szCs w:val="16"/>
                <w:color w:val="auto"/>
              </w:rPr>
              <w:t>costs in connection with equity</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160"/>
              <w:spacing w:after="0"/>
              <w:rPr>
                <w:sz w:val="20"/>
                <w:szCs w:val="20"/>
                <w:color w:val="auto"/>
              </w:rPr>
            </w:pPr>
            <w:r>
              <w:rPr>
                <w:rFonts w:ascii="Arial" w:cs="Arial" w:eastAsia="Arial" w:hAnsi="Arial"/>
                <w:sz w:val="16"/>
                <w:szCs w:val="16"/>
                <w:color w:val="auto"/>
              </w:rPr>
              <w:t>line of credit</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Offering expenses charged to</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92"/>
        </w:trPr>
        <w:tc>
          <w:tcPr>
            <w:tcW w:w="2400" w:type="dxa"/>
            <w:vAlign w:val="bottom"/>
          </w:tcPr>
          <w:p>
            <w:pPr>
              <w:ind w:left="160"/>
              <w:spacing w:after="0"/>
              <w:rPr>
                <w:sz w:val="20"/>
                <w:szCs w:val="20"/>
                <w:color w:val="auto"/>
              </w:rPr>
            </w:pPr>
            <w:r>
              <w:rPr>
                <w:rFonts w:ascii="Arial" w:cs="Arial" w:eastAsia="Arial" w:hAnsi="Arial"/>
                <w:sz w:val="16"/>
                <w:szCs w:val="16"/>
                <w:color w:val="auto"/>
              </w:rPr>
              <w:t>Issuance of common stock in</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160"/>
              <w:spacing w:after="0"/>
              <w:rPr>
                <w:sz w:val="20"/>
                <w:szCs w:val="20"/>
                <w:color w:val="auto"/>
              </w:rPr>
            </w:pPr>
            <w:r>
              <w:rPr>
                <w:rFonts w:ascii="Arial" w:cs="Arial" w:eastAsia="Arial" w:hAnsi="Arial"/>
                <w:sz w:val="16"/>
                <w:szCs w:val="16"/>
                <w:color w:val="auto"/>
                <w:w w:val="95"/>
              </w:rPr>
              <w:t>exchange for consulting services</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in lieu of fractional</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in connection with 16-</w:t>
            </w:r>
          </w:p>
        </w:tc>
        <w:tc>
          <w:tcPr>
            <w:tcW w:w="7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for-1 reverse stock split</w:t>
            </w:r>
          </w:p>
        </w:tc>
        <w:tc>
          <w:tcPr>
            <w:tcW w:w="7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spacing w:after="0"/>
              <w:rPr>
                <w:sz w:val="20"/>
                <w:szCs w:val="20"/>
                <w:color w:val="auto"/>
              </w:rPr>
            </w:pPr>
            <w:r>
              <w:rPr>
                <w:rFonts w:ascii="Arial" w:cs="Arial" w:eastAsia="Arial" w:hAnsi="Arial"/>
                <w:sz w:val="16"/>
                <w:szCs w:val="16"/>
                <w:color w:val="auto"/>
                <w:w w:val="98"/>
              </w:rPr>
              <w:t>Balance as of December 31, 2020</w:t>
            </w:r>
          </w:p>
        </w:tc>
        <w:tc>
          <w:tcPr>
            <w:tcW w:w="740" w:type="dxa"/>
            <w:vAlign w:val="bottom"/>
          </w:tcPr>
          <w:p>
            <w:pPr>
              <w:jc w:val="right"/>
              <w:ind w:right="581"/>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192,062</w:t>
            </w:r>
          </w:p>
        </w:tc>
        <w:tc>
          <w:tcPr>
            <w:tcW w:w="2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(258,474)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(66,412)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Preferred Stock</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Series 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Series B-1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Series B-2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Convertible</w:t>
            </w:r>
          </w:p>
        </w:tc>
        <w:tc>
          <w:tcPr>
            <w:tcW w:w="106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w w:val="96"/>
              </w:rPr>
              <w:t>Convertible</w:t>
            </w: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Convertible</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Undesignated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Preferred</w:t>
            </w: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Common</w:t>
            </w:r>
          </w:p>
        </w:tc>
        <w:tc>
          <w:tcPr>
            <w:tcW w:w="8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Paid-in</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Treasury</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8"/>
                <w:szCs w:val="18"/>
                <w:color w:val="auto"/>
              </w:rPr>
            </w:pPr>
          </w:p>
        </w:tc>
        <w:tc>
          <w:tcPr>
            <w:tcW w:w="11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195"/>
        </w:trPr>
        <w:tc>
          <w:tcPr>
            <w:tcW w:w="1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as of</w:t>
            </w:r>
          </w:p>
        </w:tc>
        <w:tc>
          <w:tcPr>
            <w:tcW w:w="880" w:type="dxa"/>
            <w:vAlign w:val="bottom"/>
            <w:gridSpan w:val="2"/>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920" w:type="dxa"/>
            <w:vAlign w:val="bottom"/>
            <w:gridSpan w:val="2"/>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192,062</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(258,474)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loss</w:t>
            </w: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w w:val="95"/>
              </w:rPr>
              <w:t>Issuance of common</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stock in connection</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w w:val="98"/>
              </w:rPr>
              <w:t>with Public Offering,</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w w:val="98"/>
              </w:rPr>
              <w:t>net of discounts and</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49,285</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Issuance of common</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in connection</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the exercise of</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in the</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2021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Inducement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net of</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discounts and</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40,391</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w w:val="95"/>
              </w:rPr>
              <w:t>Issuance of common</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stock in connection</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with the exercise of</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warrants</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30,819</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of</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issued in</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Exchange Agreement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15,990</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rPr>
              <w:t>Fair value of Series</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w w:val="99"/>
              </w:rPr>
              <w:t>B-2 Preferred Stock</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w w:val="93"/>
              </w:rPr>
              <w:t>issued in accordance</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with the Exchange</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29,056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Issuance of common</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as a result of</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Series B-2 Preferred</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conversion</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rPr>
              <w:t>Fair value of</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warrants issued in</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connection with the</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January 2021</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Inducement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Transaction</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38,437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38,437</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Deemed dividend</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related to the January</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 Inducement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w w:val="95"/>
              </w:rPr>
              <w:t>Issuance of common</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stock in connection</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with the exercise of</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w w:val="97"/>
              </w:rPr>
              <w:t>warrants in the June</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2021 Inducement</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Transaction, net of</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60"/>
              <w:spacing w:after="0"/>
              <w:rPr>
                <w:sz w:val="20"/>
                <w:szCs w:val="20"/>
                <w:color w:val="auto"/>
              </w:rPr>
            </w:pPr>
            <w:r>
              <w:rPr>
                <w:rFonts w:ascii="Arial" w:cs="Arial" w:eastAsia="Arial" w:hAnsi="Arial"/>
                <w:sz w:val="18"/>
                <w:szCs w:val="18"/>
                <w:color w:val="auto"/>
              </w:rPr>
              <w:t>discounts and</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36,559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36,560</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of</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issued in</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2021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Inducement</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17,089</w:t>
            </w:r>
          </w:p>
        </w:tc>
        <w:tc>
          <w:tcPr>
            <w:tcW w:w="0" w:type="dxa"/>
            <w:vAlign w:val="bottom"/>
          </w:tcPr>
          <w:p>
            <w:pPr>
              <w:spacing w:after="0"/>
              <w:rPr>
                <w:sz w:val="1"/>
                <w:szCs w:val="1"/>
                <w:color w:val="auto"/>
              </w:rPr>
            </w:pPr>
          </w:p>
        </w:tc>
      </w:tr>
      <w:tr>
        <w:trPr>
          <w:trHeight w:val="201"/>
        </w:trPr>
        <w:tc>
          <w:tcPr>
            <w:tcW w:w="1760" w:type="dxa"/>
            <w:vAlign w:val="bottom"/>
          </w:tcPr>
          <w:p>
            <w:pPr>
              <w:ind w:left="160"/>
              <w:spacing w:after="0" w:line="201" w:lineRule="exact"/>
              <w:rPr>
                <w:sz w:val="20"/>
                <w:szCs w:val="20"/>
                <w:color w:val="auto"/>
              </w:rPr>
            </w:pPr>
            <w:r>
              <w:rPr>
                <w:rFonts w:ascii="Arial" w:cs="Arial" w:eastAsia="Arial" w:hAnsi="Arial"/>
                <w:sz w:val="18"/>
                <w:szCs w:val="18"/>
                <w:color w:val="auto"/>
              </w:rPr>
              <w:t>Deemed dividend</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(16,898)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(16,898)</w:t>
            </w:r>
          </w:p>
        </w:tc>
        <w:tc>
          <w:tcPr>
            <w:tcW w:w="0" w:type="dxa"/>
            <w:vAlign w:val="bottom"/>
          </w:tcPr>
          <w:p>
            <w:pPr>
              <w:spacing w:after="0"/>
              <w:rPr>
                <w:sz w:val="1"/>
                <w:szCs w:val="1"/>
                <w:color w:val="auto"/>
              </w:rPr>
            </w:pPr>
          </w:p>
        </w:tc>
      </w:tr>
      <w:tr>
        <w:trPr>
          <w:trHeight w:val="230"/>
        </w:trPr>
        <w:tc>
          <w:tcPr>
            <w:tcW w:w="1760" w:type="dxa"/>
            <w:vAlign w:val="bottom"/>
          </w:tcPr>
          <w:p>
            <w:pPr>
              <w:ind w:left="160"/>
              <w:spacing w:after="0"/>
              <w:rPr>
                <w:sz w:val="20"/>
                <w:szCs w:val="20"/>
                <w:color w:val="auto"/>
              </w:rPr>
            </w:pPr>
            <w:r>
              <w:rPr>
                <w:rFonts w:ascii="Arial" w:cs="Arial" w:eastAsia="Arial" w:hAnsi="Arial"/>
                <w:sz w:val="18"/>
                <w:szCs w:val="18"/>
                <w:color w:val="auto"/>
              </w:rPr>
              <w:t>related to the June</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ind w:left="160"/>
              <w:spacing w:after="0"/>
              <w:rPr>
                <w:sz w:val="20"/>
                <w:szCs w:val="20"/>
                <w:color w:val="auto"/>
              </w:rPr>
            </w:pPr>
            <w:r>
              <w:rPr>
                <w:rFonts w:ascii="Arial" w:cs="Arial" w:eastAsia="Arial" w:hAnsi="Arial"/>
                <w:sz w:val="18"/>
                <w:szCs w:val="18"/>
                <w:color w:val="auto"/>
              </w:rPr>
              <w:t>2021 Inducement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160"/>
              <w:spacing w:after="0"/>
              <w:rPr>
                <w:sz w:val="20"/>
                <w:szCs w:val="20"/>
                <w:color w:val="auto"/>
              </w:rPr>
            </w:pPr>
            <w:r>
              <w:rPr>
                <w:rFonts w:ascii="Arial" w:cs="Arial" w:eastAsia="Arial" w:hAnsi="Arial"/>
                <w:sz w:val="18"/>
                <w:szCs w:val="18"/>
                <w:color w:val="auto"/>
              </w:rPr>
              <w:t>Transaction</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repurchased</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part of the Share</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Repurchase Program</w:t>
            </w: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1"/>
        </w:trPr>
        <w:tc>
          <w:tcPr>
            <w:tcW w:w="1820" w:type="dxa"/>
            <w:vAlign w:val="bottom"/>
          </w:tcPr>
          <w:p>
            <w:pPr>
              <w:ind w:left="160"/>
              <w:spacing w:after="0" w:line="201" w:lineRule="exact"/>
              <w:rPr>
                <w:sz w:val="20"/>
                <w:szCs w:val="20"/>
                <w:color w:val="auto"/>
              </w:rPr>
            </w:pPr>
            <w:r>
              <w:rPr>
                <w:rFonts w:ascii="Arial" w:cs="Arial" w:eastAsia="Arial" w:hAnsi="Arial"/>
                <w:sz w:val="18"/>
                <w:szCs w:val="18"/>
                <w:color w:val="auto"/>
              </w:rPr>
              <w:t>Offering expenses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160"/>
              <w:spacing w:after="0"/>
              <w:rPr>
                <w:sz w:val="20"/>
                <w:szCs w:val="20"/>
                <w:color w:val="auto"/>
              </w:rPr>
            </w:pPr>
            <w:r>
              <w:rPr>
                <w:rFonts w:ascii="Arial" w:cs="Arial" w:eastAsia="Arial" w:hAnsi="Arial"/>
                <w:sz w:val="18"/>
                <w:szCs w:val="18"/>
                <w:color w:val="auto"/>
              </w:rPr>
              <w:t>charged to equity</w:t>
            </w:r>
          </w:p>
        </w:tc>
        <w:tc>
          <w:tcPr>
            <w:tcW w:w="460" w:type="dxa"/>
            <w:vAlign w:val="bottom"/>
          </w:tcPr>
          <w:p>
            <w:pPr>
              <w:spacing w:after="0"/>
              <w:rPr>
                <w:sz w:val="19"/>
                <w:szCs w:val="19"/>
                <w:color w:val="auto"/>
              </w:rPr>
            </w:pP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1"/>
        </w:trPr>
        <w:tc>
          <w:tcPr>
            <w:tcW w:w="1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common</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in exchange for</w:t>
            </w:r>
          </w:p>
        </w:tc>
        <w:tc>
          <w:tcPr>
            <w:tcW w:w="4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vMerge w:val="restart"/>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consulting services</w:t>
            </w: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line="195" w:lineRule="exact"/>
              <w:rPr>
                <w:sz w:val="20"/>
                <w:szCs w:val="20"/>
                <w:color w:val="auto"/>
              </w:rPr>
            </w:pPr>
            <w:r>
              <w:rPr>
                <w:rFonts w:ascii="Arial" w:cs="Arial" w:eastAsia="Arial" w:hAnsi="Arial"/>
                <w:sz w:val="18"/>
                <w:szCs w:val="18"/>
                <w:color w:val="auto"/>
              </w:rPr>
              <w:t>Balance as of</w:t>
            </w:r>
          </w:p>
        </w:tc>
        <w:tc>
          <w:tcPr>
            <w:tcW w:w="460" w:type="dxa"/>
            <w:vAlign w:val="bottom"/>
            <w:vMerge w:val="restart"/>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106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114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1020" w:type="dxa"/>
            <w:vAlign w:val="bottom"/>
            <w:gridSpan w:val="3"/>
            <w:vMerge w:val="restart"/>
          </w:tcPr>
          <w:p>
            <w:pPr>
              <w:ind w:left="460"/>
              <w:spacing w:after="0"/>
              <w:rPr>
                <w:sz w:val="20"/>
                <w:szCs w:val="20"/>
                <w:color w:val="auto"/>
              </w:rPr>
            </w:pPr>
            <w:r>
              <w:rPr>
                <w:rFonts w:ascii="Arial" w:cs="Arial" w:eastAsia="Arial" w:hAnsi="Arial"/>
                <w:sz w:val="18"/>
                <w:szCs w:val="18"/>
                <w:color w:val="auto"/>
              </w:rPr>
              <w:t>-  $</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  396,957</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(2,814)</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(267,029)</w:t>
            </w: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127,118</w:t>
            </w:r>
          </w:p>
        </w:tc>
        <w:tc>
          <w:tcPr>
            <w:tcW w:w="0" w:type="dxa"/>
            <w:vAlign w:val="bottom"/>
          </w:tcPr>
          <w:p>
            <w:pPr>
              <w:spacing w:after="0"/>
              <w:rPr>
                <w:sz w:val="1"/>
                <w:szCs w:val="1"/>
                <w:color w:val="auto"/>
              </w:rPr>
            </w:pPr>
          </w:p>
        </w:tc>
      </w:tr>
      <w:tr>
        <w:trPr>
          <w:trHeight w:val="189"/>
        </w:trPr>
        <w:tc>
          <w:tcPr>
            <w:tcW w:w="1820" w:type="dxa"/>
            <w:vAlign w:val="bottom"/>
          </w:tcPr>
          <w:p>
            <w:pPr>
              <w:spacing w:after="0" w:line="189" w:lineRule="exact"/>
              <w:rPr>
                <w:sz w:val="20"/>
                <w:szCs w:val="20"/>
                <w:color w:val="auto"/>
              </w:rPr>
            </w:pPr>
            <w:r>
              <w:rPr>
                <w:rFonts w:ascii="Arial" w:cs="Arial" w:eastAsia="Arial" w:hAnsi="Arial"/>
                <w:sz w:val="18"/>
                <w:szCs w:val="18"/>
                <w:color w:val="auto"/>
              </w:rPr>
              <w:t>December 31, 2021</w:t>
            </w:r>
          </w:p>
        </w:tc>
        <w:tc>
          <w:tcPr>
            <w:tcW w:w="46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8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75"/>
        </w:trPr>
        <w:tc>
          <w:tcPr>
            <w:tcW w:w="1280" w:type="dxa"/>
            <w:vAlign w:val="bottom"/>
            <w:tcBorders>
              <w:top w:val="single" w:sz="8" w:color="0000EE"/>
            </w:tcBorders>
          </w:tcPr>
          <w:p>
            <w:pPr>
              <w:spacing w:after="0"/>
              <w:rPr>
                <w:sz w:val="24"/>
                <w:szCs w:val="24"/>
                <w:color w:val="auto"/>
              </w:rPr>
            </w:pPr>
          </w:p>
        </w:tc>
        <w:tc>
          <w:tcPr>
            <w:tcW w:w="7180" w:type="dxa"/>
            <w:vAlign w:val="bottom"/>
          </w:tcPr>
          <w:p>
            <w:pPr>
              <w:jc w:val="center"/>
              <w:ind w:left="1410"/>
              <w:spacing w:after="0"/>
              <w:rPr>
                <w:sz w:val="20"/>
                <w:szCs w:val="20"/>
                <w:color w:val="auto"/>
              </w:rPr>
            </w:pPr>
            <w:r>
              <w:rPr>
                <w:rFonts w:ascii="Arial" w:cs="Arial" w:eastAsia="Arial" w:hAnsi="Arial"/>
                <w:sz w:val="18"/>
                <w:szCs w:val="18"/>
                <w:b w:val="1"/>
                <w:bCs w:val="1"/>
                <w:color w:val="auto"/>
              </w:rPr>
              <w:t>KEMPHARM, INC.</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7180" w:type="dxa"/>
            <w:vAlign w:val="bottom"/>
          </w:tcPr>
          <w:p>
            <w:pPr>
              <w:jc w:val="center"/>
              <w:ind w:left="1410"/>
              <w:spacing w:after="0"/>
              <w:rPr>
                <w:sz w:val="20"/>
                <w:szCs w:val="20"/>
                <w:color w:val="auto"/>
              </w:rPr>
            </w:pPr>
            <w:r>
              <w:rPr>
                <w:rFonts w:ascii="Arial" w:cs="Arial" w:eastAsia="Arial" w:hAnsi="Arial"/>
                <w:sz w:val="18"/>
                <w:szCs w:val="18"/>
                <w:b w:val="1"/>
                <w:bCs w:val="1"/>
                <w:color w:val="auto"/>
                <w:w w:val="97"/>
              </w:rPr>
              <w:t>STATEMENTS OF CASH FLOWS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80" w:type="dxa"/>
            <w:vAlign w:val="bottom"/>
          </w:tcPr>
          <w:p>
            <w:pPr>
              <w:jc w:val="center"/>
              <w:ind w:left="143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1"/>
        </w:trPr>
        <w:tc>
          <w:tcPr>
            <w:tcW w:w="12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Year Ended December 31,</w:t>
            </w:r>
          </w:p>
        </w:tc>
      </w:tr>
      <w:tr>
        <w:trPr>
          <w:trHeight w:val="209"/>
        </w:trPr>
        <w:tc>
          <w:tcPr>
            <w:tcW w:w="12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(8,555)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(12,760)</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r>
      <w:tr>
        <w:trPr>
          <w:trHeight w:val="215"/>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Non-cash interest expense</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4,741</w:t>
            </w:r>
          </w:p>
        </w:tc>
      </w:tr>
      <w:tr>
        <w:trPr>
          <w:trHeight w:val="215"/>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debt discount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r>
      <w:tr>
        <w:trPr>
          <w:trHeight w:val="215"/>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15"/>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5"/>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Loss on sublease and disposal of property and equipment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15"/>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Consulting fees paid in common stock</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15"/>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and other receivables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5"/>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15"/>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15"/>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15"/>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5"/>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09"/>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09"/>
        </w:trPr>
        <w:tc>
          <w:tcPr>
            <w:tcW w:w="128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9"/>
        </w:trPr>
        <w:tc>
          <w:tcPr>
            <w:tcW w:w="128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Public Offering, net of discounts and commissions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Proceeds from January 2021 Inducement Transaction, net of discounts and commissions</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41,384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June 2021 Inducement Transaction, net of discounts and commissions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Payment to repurchase shares as part of the Share Repurchase Program</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equity line of credit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Proceeds from Payment Protection Program loan</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Repayment of principal on finance lease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Repayment of principal on convertible notes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proceeds from exercise of common stock warrants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4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113,109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2,739</w:t>
            </w:r>
          </w:p>
        </w:tc>
      </w:tr>
      <w:tr>
        <w:trPr>
          <w:trHeight w:val="209"/>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3,555</w:t>
            </w:r>
          </w:p>
        </w:tc>
      </w:tr>
      <w:tr>
        <w:trPr>
          <w:trHeight w:val="249"/>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end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4,322</w:t>
            </w:r>
          </w:p>
        </w:tc>
      </w:tr>
      <w:tr>
        <w:trPr>
          <w:trHeight w:val="196"/>
        </w:trPr>
        <w:tc>
          <w:tcPr>
            <w:tcW w:w="1280" w:type="dxa"/>
            <w:vAlign w:val="bottom"/>
            <w:tcBorders>
              <w:top w:val="single" w:sz="8" w:color="CCEEFF"/>
            </w:tcBorders>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Notes principal converted to Series B-2 Preferred Stock</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2019 Notes principal converted to common stock</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15,863</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 shares issued in connection with equity line of credit included in deferred offering costs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15"/>
        </w:trPr>
        <w:tc>
          <w:tcPr>
            <w:tcW w:w="8460" w:type="dxa"/>
            <w:vAlign w:val="bottom"/>
            <w:gridSpan w:val="2"/>
          </w:tcPr>
          <w:p>
            <w:pPr>
              <w:spacing w:after="0"/>
              <w:rPr>
                <w:sz w:val="20"/>
                <w:szCs w:val="20"/>
                <w:color w:val="auto"/>
              </w:rPr>
            </w:pPr>
            <w:r>
              <w:rPr>
                <w:rFonts w:ascii="Arial" w:cs="Arial" w:eastAsia="Arial" w:hAnsi="Arial"/>
                <w:sz w:val="18"/>
                <w:szCs w:val="18"/>
                <w:color w:val="auto"/>
              </w:rPr>
              <w:t>Amounts due for property and equipment included in accounts payable and accrued expenses</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for deferred offering costs included in accounts payable and accrued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01"/>
        </w:trPr>
        <w:tc>
          <w:tcPr>
            <w:tcW w:w="8460" w:type="dxa"/>
            <w:vAlign w:val="bottom"/>
            <w:gridSpan w:val="2"/>
          </w:tcPr>
          <w:p>
            <w:pPr>
              <w:spacing w:after="0" w:line="201" w:lineRule="exact"/>
              <w:rPr>
                <w:sz w:val="20"/>
                <w:szCs w:val="20"/>
                <w:color w:val="auto"/>
              </w:rPr>
            </w:pPr>
            <w:r>
              <w:rPr>
                <w:rFonts w:ascii="Arial" w:cs="Arial" w:eastAsia="Arial" w:hAnsi="Arial"/>
                <w:sz w:val="18"/>
                <w:szCs w:val="18"/>
                <w:color w:val="auto"/>
                <w:w w:val="94"/>
              </w:rPr>
              <w:t>Cash paid in lieu of fractional shares in connection with 16-for-1 reverse stock split included in accounts payable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and accrued expenses</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15"/>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financed under a lease agreement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Fair value of warrants issued to underwriters in connection with Public Offering</w:t>
            </w: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240"/>
          </w:cols>
          <w:pgMar w:left="320" w:top="108"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9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48" w:lineRule="exact"/>
        <w:rPr>
          <w:sz w:val="20"/>
          <w:szCs w:val="20"/>
          <w:color w:val="auto"/>
        </w:rPr>
      </w:pPr>
    </w:p>
    <w:p>
      <w:pPr>
        <w:ind w:left="700" w:hanging="692"/>
        <w:spacing w:after="0"/>
        <w:tabs>
          <w:tab w:leader="none" w:pos="7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KemPharm, Inc. (the "Company") is a specialty pharmaceutical company focused on the discovery and development of treatments for central nervous system ("CNS") and rare disease indications that allow the Company to target high-value areas with significant unmet needs. The Company's core competency is the discovery and development of proprietary prodrugs to treat serious medical conditions through its proprietary Ligand Activated Therapy ("LAT</w:t>
      </w:r>
      <w:r>
        <w:rPr>
          <w:rFonts w:ascii="Arial" w:cs="Arial" w:eastAsia="Arial" w:hAnsi="Arial"/>
          <w:sz w:val="26"/>
          <w:szCs w:val="26"/>
          <w:color w:val="auto"/>
          <w:vertAlign w:val="superscript"/>
        </w:rPr>
        <w:t>®</w:t>
      </w:r>
      <w:r>
        <w:rPr>
          <w:rFonts w:ascii="Arial" w:cs="Arial" w:eastAsia="Arial" w:hAnsi="Arial"/>
          <w:sz w:val="16"/>
          <w:szCs w:val="16"/>
          <w:color w:val="auto"/>
        </w:rPr>
        <w:t>") platform technology. The Company utilizes its proprietary LAT platform technology to generate improved prodrug versions of drugs approved by the U.S. Food and Drug Administration ("FDA") as well as to generate prodrug versions of existing compounds that may have applications for new disease indications. The Company's prodrug product candidate pipeline is currently focused on the high need areas of idiopathic hypersomnia ("IH") and other CNS/rare diseases. The Company's approved product, AZSTARYS</w:t>
      </w:r>
      <w:r>
        <w:rPr>
          <w:rFonts w:ascii="Arial" w:cs="Arial" w:eastAsia="Arial" w:hAnsi="Arial"/>
          <w:sz w:val="26"/>
          <w:szCs w:val="26"/>
          <w:color w:val="auto"/>
          <w:vertAlign w:val="superscript"/>
        </w:rPr>
        <w:t>®</w:t>
      </w:r>
      <w:r>
        <w:rPr>
          <w:rFonts w:ascii="Arial" w:cs="Arial" w:eastAsia="Arial" w:hAnsi="Arial"/>
          <w:sz w:val="16"/>
          <w:szCs w:val="16"/>
          <w:color w:val="auto"/>
        </w:rPr>
        <w:t>, formerly referred to as KP415, a new once-daily treatment for attention deficit hyperactivity disorder ("ADHD") in patients age six years and older contains the Company's prodrug, serdexmethylphenidate ("SDX"). AZSTARYS is being commercialized in the United States by Corium, Inc., an affiliate of Gurnet Point Capital, L.P. The Company's lead clinical development product candidate, KP1077, is based on SDX, the Company's prodrug of d-methlyphenidate ("d-MPH") and is in development for the treatment of IH and narcolepsy. The Company's prodrug product candidate for the treatment of stimulant use disorder ("SUD") is KP879.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prepared the financial statements in accordance with United States generally accepted accounting principles (“GAAP”) and the rules and regulations of the United States Securities and Exchange Commission (the "SEC") and, in the Company's opinion, reflect all adjustments, including normal recurring items that are necessary.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23, 2020, the Company completed a one-for-sixteen reverse stock split (the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 and the par value of the Company’s common stock remained unchanged at $0.0001 per share. No fractional shares were issued in connection with the Reverse Stock Split. Stockholders who otherwise held fractional shares of the Company’s common stock as a result of the Reverse Stock Split received a cash payment in lieu of such fractional shares. Except where disclosed, all amounts related to number of shares and per share amounts have been retroactively restated in these financial statements to reflect this Reverse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2020 ELOC Agreement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2020, the Company entered into a purchase agreement for an equity line of credit (the “2020 ELOC Agreement”) with Lincoln Park Capital, LLC ("Lincoln Park") which provides that, upon the terms and subject to the conditions and limitations set forth therein, the Company may sell to Lincoln Park up to $4.0 million of shares of common stock from time to time over the 12-month term of the 2020 ELOC Agreement, and upon execution of the 2020 ELOC Agreement the Company issued an additional 19,289 shares of common stock to Lincoln Park as commitment shares in accordance with the closing conditions within the 2020 ELOC Agreement. Concurrently with entering into the 2020 ELOC Agreement, the Company also entered into a registration rights agreement with Lincoln Park (the “2020 ELOC Registration Rights Agreement”) pursuant to which the Company agreed to register the sale of the shares of common stock that have been and may be issued to Lincoln Park under the 2020 ELOC Agreement pursuant to the Company’s existing shelf registration statement on Form S-3 or a new registration statement. In May 2020, the Company reached the maximum allowable shares to be issued under the registration statement of 579,260 shares (inclusive of the 19,289 commitment shares) as defined in Section 2(f)(i) of the 2020 ELOC Agreement and therefore cannot issue additional shares under the 2020 ELOC Agreement. Through May 2020, the Company sold 559,971 shares of common stock to Lincoln Park (exclusive of the 19,289 commitment shares) under the 2020 ELOC Agreement for gross proceeds of approximately $2.3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on February 1, 2021, the Underwriter again exercised its over-allotment option to purchase 374,035 shares of common stock.</w:t>
      </w:r>
    </w:p>
    <w:p>
      <w:pPr>
        <w:spacing w:after="0" w:line="21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the Company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Stock Market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October 19, 2021, the Company announced that its shares of common stock were approved for listing to the Nasdaq Global Select Market. Trading on the Nasdaq Global Select Market commenced effective with the open of business on October 19, 2021, under the Company’s ticker symbol, “KMPH”. The Company was previously listed on the Nasdaq Capital Market, following its uplisting to the exchange in January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2021 ATM Agreement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December 31, 2021, no shares have been issued or sold under the 2021 ATM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20, 2021, the Company initiated a share repurchase program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KP415 License Agreement,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As of December 31, 2021, the Company has repurchased 320,161 shares of its common stock for approximately $2.8 million under the Share Repurchase Program.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amounts reported in the financial statements and accompanying notes. Actual results could differ from those estimates.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maintains investment securities that are classified as trading securities. These securities are carried at fair value with unrealized gains and losses included in other (expense) income on the statements of operations. The securities primarily consist of certificates of deposit, U.S. Treasury securities and U.S. government-sponsored agency securities. As of December 31, 2021, the Company held long-term investments with an aggregate fair value of $15.4 million that contained aggregate unrealized losses of $13,000. These long-term investments have been in a continuous unrealized loss position for less than 12 months and the Company expects these investments to fully recover prior to their maturity. The unrealized losses are primarily driven by interest rate changes and are not credit related. The Company had no long-term investments as of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Debt issuance costs incurred in connection with financing arrangements are recorded as a reduction of the related debt on the balance sheet and amortized over the life of the respective financing arrangement using the effective interest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Offering costs incurred in connection with capital offering arrangements are recorded as deferred offering costs in prepaid expenses and other currents assets on the balance sheet. Once the offering arrangement closes the deferred offering costs are reclassified as a reduction of the related net proceeds of the offering in additional paid-in capital on the balance sheet. If it's a continuous offering the deferred offering costs are amortized over the life of the respective offering arrangement using a pro-rata method which matches the costs to the funds raised from the offering. If the continuous offering arrangement terminates prior to all the deferred offering costs being recognized the deferred offering costs are written off and expensed in general and administrative expense on the statement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Supply Arrangements</w:t>
      </w:r>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enters into supply arrangements for the supply of components of its products and product candidates. These arrangements also may include a share of future revenue if related products or product candidates reach commercialization. Costs under these supply arrangements, if any, are expensed as incurred (Note 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2021, or 2020 .</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7" w:lineRule="exact"/>
        <w:rPr>
          <w:sz w:val="20"/>
          <w:szCs w:val="20"/>
          <w:color w:val="auto"/>
        </w:rPr>
      </w:pPr>
    </w:p>
    <w:p>
      <w:pPr>
        <w:ind w:left="660" w:hanging="32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50"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starting January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Up-front Fees</w:t>
      </w:r>
      <w:r>
        <w:rPr>
          <w:rFonts w:ascii="Arial" w:cs="Arial" w:eastAsia="Arial" w:hAnsi="Arial"/>
          <w:sz w:val="16"/>
          <w:szCs w:val="16"/>
          <w:color w:val="auto"/>
        </w:rPr>
        <w:t>: 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Milestone Payments</w:t>
      </w:r>
      <w:r>
        <w:rPr>
          <w:rFonts w:ascii="Arial" w:cs="Arial" w:eastAsia="Arial" w:hAnsi="Arial"/>
          <w:sz w:val="17"/>
          <w:szCs w:val="17"/>
          <w:color w:val="auto"/>
        </w:rPr>
        <w:t>: 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KP415 License Agreement</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SDX and d-methylphenidate (“d-MPH”), including AZSTARYS, KP484, and, at the option of Commave, KP879, KP922 or any other product candidate developed by the Company containing SDX and developed to treat ADHD or any other CNS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for the applicable product.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entered into Amendment No. 1 to the KP415 Amendment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paid the Company $10.0 million following the receipt of the scheduling determination of the compound SDX by the U.S. Drug Enforcement Agency (the "DEA"), which occurred on May 7, 2021. In addition, the KP415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under the KP415 Amendment, Commave agreed to pay the Company quarterly, tiered royalty payments that are calculated from a base royalty rate percentage in the high single digits to the mid-twenties of net sales in the United States, subject to adjustment based on annual net sales,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Commave and the Company also agreed to modify Commave’s ROFR such that the Company’s product candidate, KP922, is no longer subject to Commave’ ROFR to acquire, license or commercialize any Additional Product Candidate. Commave’s ROFR shall only apply to any Additional Product Candidate which contains SDX, with such ROFR expiring upon the acceptance of an NDA for such Additional Product Candidate containing SDX.</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Commave also agreed to be responsible for and reimburse the Company for all of the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KP879 or KP1077 under the KP415 License Agreement.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consideration allocated to the performance of consulting services, which includes the reimbursement of out-of-pocket third-party research and development costs, was the fair value of the Development Costs (as defined in the KP415 License Agreement), which reflects the standalone selling price. The Company utilized a blended approach which took into consideration the adjusted market assessment approach and the expected cost plus a margin approach to determine this standalone selling price. This blended approach utilized the adjusted market approach and expected cost plus margin approach to value the performance of consulting services which included analyzing hourly rates of vendors in the market who perform similar services to those of the Company to develop a range and then analyzing the average cost per hour of our internal resources and applying a margin which placed the value in the median of the previously identified range. For the reimbursement of out-of-pocket third-party research and development costs the Company utilized the expected cost plus a margin approach, which included estimating the actual out-of-pocket cost the Company expects to pay to third-parties for research and development costs and applying a margin, if necessary. The Company determined that no margin was necessary for these out-of-pocket third-party research and development costs as these are purely pass-through costs and the margin for managing these third-party activities is included within the value of the performance of consulting services. The Company determined that the performance of consulting services, including reimbursement of out-of-pocket third-party research and development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out-of-pocket third-party research and development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discussed above, the combination of the standalone selling price of these consulting services and certain out-of-pocket third-party research and development costs for AZSTARYS was the fair value of the Development Costs at inception. These Development Costs effectively created a cap on certain consulting services and out-of-pocket third-party research and development costs identified in the initial product development plan for AZSTARYS which was anticipated at the inception date of the KP415 License Agreement. As of December 31, 2020, the Company had recognized all of the consulting services and out-of-pocket third-party research and development costs under this cap.</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KP415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KP415 License Agreement) under the KP415 License Agreement (the “Additional Product Option”). In addition to the Additional Product Option, Commave was also granted a right of first refusal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entitled to additional payments from Commave conditioned upon the achievement of specified regulatory milestones related to AZSTARYS and KP484 and the achievement of certain U.S. sales milestones. Further, Commave will pay the Company quarterly, tiered royalty payments ranging from a percentage in the high single digits to mid-twenties of Net Sales (as defined in the KP415 License Agreement) in the United States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example, in May 2020, the FDA accepted the Company’s NDA for AZSTARYS. Per the KP415 License Agreement, the Company received a regulatory milestone payment of $5.0 million following the FDA’s acceptance of the AZSTARYS NDA. Since the FDA accepted the Company’s NDA for AZSTARYS the constraint was removed and revenue recognized. The associated revenue was allocated among the two performance obligations identified at contract inception. Since both performance obligations were satisfied as of the end of the second quarter of 2020 the full $5.0 million payment was recognized as revenue during the second quarter of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Per the KP415 Amendment, the Company earned a regulatory milestone payment of $10.0 million following the FDA’s approval of the AZSTARYS NDA, in March 2021, as well as $10.0 million following the DEA's scheduling of SDX in May 2021. Since the FDA approved the NDA for AZSTARYS and the DEA scheduled SDX, the constraints were removed and revenue recognized. The associated revenue was allocated among the two performance obligations identified at contract inception. Since both performance obligations were satisfied as of the end of each respective quarter of 2021, the full $10.0 million for each milestone was recognized as revenue in the statements of operations for the first quarter and second quarter of 2021, respectively. In accordance with ASC 340-40,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recognized $1.0 million, respectively, of royalty costs due to payment to Aquestive related to the regulatory milestones earned and recorded it in the item titled royalty and direct contract acquisition costs in the statements of operations for first and second quarter of 2021.</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years ended December 31, 2021, and 2020, the Company recognized revenue under the KP415 License Agreement of $20.9 million and $7.3 million, respectively. There was no deferred revenue related to this agreement as of December 31,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was tasked by Commave to lead all commercialization activities for AZSTARYS under the KP415 License Agreement, as discussed above.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Corium Consulting Agreement, the Company is entitled to receive payments from Corium of up to $15.6 million, $13.6 million of which will be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the Company for all development, commercialization and regulatory expenses incurred as part of the performance of the Corium Consulting Services.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December 31, 2021, the Company has recognized approximately 85% of the consulting services and third-party pass-through costs under the Corium Consulting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and 2020, the Company recognized revenue under the Corium Consulting Agreement of $7.7 million and $3.9 million, respectively. As of December 31, 2021, and 2020, the Company had deferred revenue related to this agreement of $0.4 million and $0.1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Consulting Arrangements</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For the years ended December 31, 2021, and 2020, the Company recognized revenue under other consulting arrangements of $0.1 million and $1.7 million, respectively. There was no deferred revenue from other consulting arrangements as of December 31,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and other receivables consist of receivables under the KP415 License Agreement and Corium Consulting Agreement, as well as receivables related to other consulting arrangements, income tax receivables and other receivables due to the Company. Receivables under the KP415 License Agreement and Corium Consulting Agreement are recorded for amounts due to the Company related to reimbursable third-party costs and performance of consulting services. These receivables, as well as the receivables related to other consulting arrangements, are evaluated to determine if any reserve or allowance should be established at each reporting date. As of December 31, 2021, the Company had receivables related to the Corium Consulting Agreement of $1.2 million, KP415 License Agreement of $0.1 million and other consulting arrangements of $0.1 million. As of December 31, 2020, the Company had receivables related to the Corium Consulting Agreement of $2.1 million and other consulting arrangements of $0.4 million. As of December 31, 2021, and 2020, no reserve or allowance for doubtful accounts has been established.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expenses on the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2021, and 2020.</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files income tax returns in the United States for federal and various state jurisdictions. With few exceptions, the Company is no longer subject to U.S. federal and state and local income tax examinations for years prior to 2015,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All assets of the Company were held in the United States as of December 31, 2021, and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the Company’s financial statements and disclosures.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based on the concepts in the FASB Concepts Statement, Conceptual Framework for Financial Reporting—Chapter 8: Notes to Financial Statements, which the FASB finalized on August 28, 2018, including the consideration of costs and benefits. This update applies to all entities that are 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the Company’s financial statements and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w:t>
      </w:r>
      <w:r>
        <w:rPr>
          <w:rFonts w:ascii="Arial" w:cs="Arial" w:eastAsia="Arial" w:hAnsi="Arial"/>
          <w:sz w:val="18"/>
          <w:szCs w:val="18"/>
          <w:b w:val="1"/>
          <w:bCs w:val="1"/>
          <w:color w:val="auto"/>
        </w:rPr>
        <w:t>—Not</w:t>
      </w:r>
      <w:r>
        <w:rPr>
          <w:rFonts w:ascii="Arial" w:cs="Arial" w:eastAsia="Arial" w:hAnsi="Arial"/>
          <w:sz w:val="18"/>
          <w:szCs w:val="18"/>
          <w:b w:val="1"/>
          <w:bCs w:val="1"/>
          <w:i w:val="1"/>
          <w:iCs w:val="1"/>
          <w:color w:val="auto"/>
        </w:rPr>
        <w:t xml:space="preserve"> Yet Adopted</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Accounting for Convertible Instruments and Contracts in an Entity’s Own Equity </w:t>
      </w:r>
      <w:r>
        <w:rPr>
          <w:rFonts w:ascii="Arial" w:cs="Arial" w:eastAsia="Arial" w:hAnsi="Arial"/>
          <w:sz w:val="18"/>
          <w:szCs w:val="18"/>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Company does not believe the adoption of ASU 2020-06 will have a material impact on the Company’s financial statements and disclosures.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 Contracts in Entity’s Own Equity (Subtopic 815-40); Issuer’s Accounting for Certain Modifications or Exchanges of Freestanding Equity-Classified Written Call Options, a consensus of the FASB Emerging Issues Task Force </w:t>
      </w:r>
      <w:r>
        <w:rPr>
          <w:rFonts w:ascii="Arial" w:cs="Arial" w:eastAsia="Arial" w:hAnsi="Arial"/>
          <w:sz w:val="16"/>
          <w:szCs w:val="16"/>
          <w:color w:val="auto"/>
        </w:rPr>
        <w:t>(“ASU 2021-04”), which aims to clarify and reduce diversity in issuer's accounting for modifications or exchanges of freestanding equity-classified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Company does not believe the adoption of ASU 2021-04 will have a material impact on the Company’s financial statements and disclosures.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and Other Receivables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Accounts and other receivables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and other receivables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4"/>
        </w:trPr>
        <w:tc>
          <w:tcPr>
            <w:tcW w:w="440" w:type="dxa"/>
            <w:vAlign w:val="bottom"/>
          </w:tcPr>
          <w:p>
            <w:pPr>
              <w:spacing w:after="0"/>
              <w:rPr>
                <w:sz w:val="20"/>
                <w:szCs w:val="20"/>
                <w:color w:val="auto"/>
              </w:rPr>
            </w:pPr>
            <w:r>
              <w:rPr>
                <w:rFonts w:ascii="Arial" w:cs="Arial" w:eastAsia="Arial" w:hAnsi="Arial"/>
                <w:sz w:val="18"/>
                <w:szCs w:val="18"/>
                <w:b w:val="1"/>
                <w:bCs w:val="1"/>
                <w:color w:val="auto"/>
              </w:rPr>
              <w:t>D.</w:t>
            </w:r>
          </w:p>
        </w:tc>
        <w:tc>
          <w:tcPr>
            <w:tcW w:w="7060" w:type="dxa"/>
            <w:vAlign w:val="bottom"/>
            <w:gridSpan w:val="2"/>
          </w:tcPr>
          <w:p>
            <w:pPr>
              <w:jc w:val="right"/>
              <w:ind w:right="3330"/>
              <w:spacing w:after="0"/>
              <w:rPr>
                <w:sz w:val="20"/>
                <w:szCs w:val="20"/>
                <w:color w:val="auto"/>
              </w:rPr>
            </w:pPr>
            <w:r>
              <w:rPr>
                <w:rFonts w:ascii="Arial" w:cs="Arial" w:eastAsia="Arial" w:hAnsi="Arial"/>
                <w:sz w:val="18"/>
                <w:szCs w:val="18"/>
                <w:b w:val="1"/>
                <w:bCs w:val="1"/>
                <w:color w:val="auto"/>
                <w:w w:val="95"/>
              </w:rPr>
              <w:t>Prepaid Expenses and Other Current 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5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Prepaid offering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6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165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7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E.</w:t>
            </w:r>
          </w:p>
        </w:tc>
        <w:tc>
          <w:tcPr>
            <w:tcW w:w="70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500" w:type="dxa"/>
            <w:vAlign w:val="bottom"/>
            <w:gridSpan w:val="3"/>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hardware</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rPr>
                <w:sz w:val="20"/>
                <w:szCs w:val="20"/>
                <w:color w:val="auto"/>
              </w:rPr>
            </w:pPr>
            <w:r>
              <w:rPr>
                <w:rFonts w:ascii="Arial" w:cs="Arial" w:eastAsia="Arial" w:hAnsi="Arial"/>
                <w:sz w:val="18"/>
                <w:szCs w:val="18"/>
                <w:color w:val="auto"/>
              </w:rPr>
              <w:t>The estimated useful lives of property and equipment are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Useful Life</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Furniture and office equipment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color w:val="auto"/>
                <w:w w:val="91"/>
              </w:rPr>
              <w:t>5 - 10</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hardware</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3 - 7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Depreciation and amortization expense, including amounts pertaining to assets held under finance leases, was approximately $257,000 and $273,000 for the years ended December 31, 2021, and 2020, respectively.</w:t>
      </w:r>
    </w:p>
    <w:p>
      <w:pPr>
        <w:spacing w:after="0" w:line="200" w:lineRule="exact"/>
        <w:rPr>
          <w:sz w:val="20"/>
          <w:szCs w:val="20"/>
          <w:color w:val="auto"/>
        </w:rPr>
      </w:pPr>
    </w:p>
    <w:p>
      <w:pPr>
        <w:spacing w:after="0" w:line="209" w:lineRule="exact"/>
        <w:rPr>
          <w:sz w:val="20"/>
          <w:szCs w:val="20"/>
          <w:color w:val="auto"/>
        </w:rPr>
      </w:pPr>
    </w:p>
    <w:p>
      <w:pPr>
        <w:ind w:left="700" w:hanging="692"/>
        <w:spacing w:after="0"/>
        <w:tabs>
          <w:tab w:leader="none" w:pos="7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Accrued banking fees</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Total accounts payable and accrued expenses</w:t>
            </w:r>
          </w:p>
        </w:tc>
        <w:tc>
          <w:tcPr>
            <w:tcW w:w="2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60" w:type="dxa"/>
            <w:vAlign w:val="bottom"/>
            <w:vMerge w:val="restart"/>
          </w:tcPr>
          <w:p>
            <w:pPr>
              <w:jc w:val="right"/>
              <w:ind w:right="1650"/>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2021, the Company had no convertible notes outstanding. As of December 31, 2020, the Company had convertible notes outstanding in the aggregate principal amount of $68.2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 June 2018 and June 2019). In June 2018, Deerfield agreed to convert approximately $3.3 million of the principal amount then due, plus approximately $0.2 million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w:t>
      </w:r>
    </w:p>
    <w:p>
      <w:pPr>
        <w:spacing w:after="0" w:line="1" w:lineRule="exact"/>
        <w:rPr>
          <w:sz w:val="20"/>
          <w:szCs w:val="20"/>
          <w:color w:val="auto"/>
        </w:rPr>
      </w:pPr>
    </w:p>
    <w:p>
      <w:pPr>
        <w:jc w:val="both"/>
        <w:ind w:firstLine="8"/>
        <w:spacing w:after="0" w:line="272" w:lineRule="auto"/>
        <w:tabs>
          <w:tab w:leader="none" w:pos="227"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approximately $7.0 million plus any capitalized interest to date on March 31, 2021. Prepayment of the outstanding balance was not allowed without written consent of Deerfield.</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and June 2021 was further adjusted to $46.25 and $38.34 per share, respectively, in connection with the Company entering into the January 2021 and June 2021 Inducement Transactions (as defined in Note K) each of which triggered the anti-dilution provisions of the Deerfield Warrant. This warrant qualifies as a participating security under ASC Topic 260, Earnings per Share, and is treated as such in the net loss per share calculation (Note O).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statements of operations.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5.50% Senior Convertible Notes and Third Amendment to Senior Secured Convertible Note and Warrant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Indenture included customary terms and covenants, including certain events of default after which the 2021 Notes may have become due and payable immediately.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December 2019</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approximately $71.4 million (the “December 2019 Notes”), in exchange for the cancellation of an aggregate of approximately $71.4 million principal amount and accrued interest of the Company’s 2021 Notes. Upon entering into the December 2019 Exchange Agreement, the Company agreed to pay the December 2019 Holders, in the aggregate, an interest payment of approximately $0.7 million which represents 50% of the accrued interest, as of December 18, 2019, on the 2021 Notes owned by the December 2019 Holders. The remainder of such interest was included in the principal amount of the December 2019 Notes.</w:t>
      </w:r>
    </w:p>
    <w:p>
      <w:pPr>
        <w:spacing w:after="0" w:line="19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3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w:t>
      </w:r>
    </w:p>
    <w:p>
      <w:pPr>
        <w:spacing w:after="0" w:line="1" w:lineRule="exact"/>
        <w:rPr>
          <w:sz w:val="20"/>
          <w:szCs w:val="20"/>
          <w:color w:val="auto"/>
        </w:rPr>
      </w:pPr>
    </w:p>
    <w:p>
      <w:pPr>
        <w:jc w:val="both"/>
        <w:ind w:firstLine="8"/>
        <w:spacing w:after="0" w:line="252"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spacing w:after="0" w:line="1" w:lineRule="exact"/>
        <w:rPr>
          <w:sz w:val="20"/>
          <w:szCs w:val="20"/>
          <w:color w:val="auto"/>
        </w:rPr>
      </w:pPr>
    </w:p>
    <w:p>
      <w:pPr>
        <w:ind w:right="20" w:firstLine="8"/>
        <w:spacing w:after="0" w:line="259" w:lineRule="auto"/>
        <w:tabs>
          <w:tab w:leader="none" w:pos="2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that all of the notes will be secured by the liens securing the indebtedness under the Deerfield Facility Agreement, and (ii) name Deerfield as the “Collateral Agent” under the GSA.</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w:t>
      </w:r>
    </w:p>
    <w:p>
      <w:pPr>
        <w:ind w:right="20" w:firstLine="8"/>
        <w:spacing w:after="0" w:line="259" w:lineRule="auto"/>
        <w:tabs>
          <w:tab w:leader="none" w:pos="2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$9.60 (subject to adjustment to reflect stock splits and similar events), or (ii) the average of the volume-weighted average prices of the Company’s common stock on each of the 15 trading days immediately preceding such exchange.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2020, the Deerfield Lenders had converted all $17.1 million of principal under the December 2019 Notes into all 1,777,437 shares of common stock available under the Deerfield Optional Conversion Feature.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the changes to the Deerfield Convertible Note met the definition of a troubled debt restructuring under ASC 470-60, Troubled Debt Restructurings by Debtors, as the Company was experiencing financial difficulties and Deerfield granted a concession. The amendments to the terms 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January 2020</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approximately $3.0 million (the “January 2020 Note”) in exchange for the cancellation of an aggregate of $3.0 million principal amount and accrued interest of the 2021 Note then owned by Kingdon. Upon entering into the January 2020 Exchange Agreement, the Company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7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and Amendment to Facility Agreement, Notes and Investors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Rights Agreement</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7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247" w:lineRule="exact"/>
        <w:rPr>
          <w:sz w:val="20"/>
          <w:szCs w:val="20"/>
          <w:color w:val="auto"/>
        </w:rPr>
      </w:pPr>
    </w:p>
    <w:p>
      <w:pPr>
        <w:ind w:left="460" w:hanging="223"/>
        <w:spacing w:after="0" w:line="182" w:lineRule="auto"/>
        <w:tabs>
          <w:tab w:leader="none" w:pos="460" w:val="left"/>
        </w:tabs>
        <w:numPr>
          <w:ilvl w:val="0"/>
          <w:numId w:val="71"/>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71"/>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(the "Debt Payment"), in partial repayment of the remaining outstanding principal and accrued interest of the Facility Notes.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3"/>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maturity date was amended to March 31, 2023, and the debt was prepayable upon specified conditions, and</w:t>
      </w:r>
    </w:p>
    <w:p>
      <w:pPr>
        <w:spacing w:after="0" w:line="223" w:lineRule="exact"/>
        <w:rPr>
          <w:rFonts w:ascii="Arial" w:cs="Arial" w:eastAsia="Arial" w:hAnsi="Arial"/>
          <w:sz w:val="18"/>
          <w:szCs w:val="18"/>
          <w:color w:val="auto"/>
        </w:rPr>
      </w:pPr>
    </w:p>
    <w:p>
      <w:pPr>
        <w:ind w:left="460" w:hanging="223"/>
        <w:spacing w:after="0" w:line="182" w:lineRule="auto"/>
        <w:tabs>
          <w:tab w:leader="none" w:pos="460" w:val="left"/>
        </w:tabs>
        <w:numPr>
          <w:ilvl w:val="0"/>
          <w:numId w:val="72"/>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is recorded in the statement of operations for the year ended December 31, 2021, and additional debt issuance costs related the new notes were capitalized and amortized using the effective interest method through the Payoff of Facility Agreement Notes (discussed below).</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1" w:lineRule="exact"/>
        <w:rPr>
          <w:sz w:val="20"/>
          <w:szCs w:val="20"/>
          <w:color w:val="auto"/>
        </w:rPr>
      </w:pPr>
    </w:p>
    <w:p>
      <w:pPr>
        <w:jc w:val="both"/>
        <w:ind w:firstLine="8"/>
        <w:spacing w:after="0" w:line="266" w:lineRule="auto"/>
        <w:tabs>
          <w:tab w:leader="none" w:pos="214" w:val="left"/>
        </w:tabs>
        <w:numPr>
          <w:ilvl w:val="0"/>
          <w:numId w:val="73"/>
        </w:numPr>
        <w:rPr>
          <w:rFonts w:ascii="Arial" w:cs="Arial" w:eastAsia="Arial" w:hAnsi="Arial"/>
          <w:sz w:val="17"/>
          <w:szCs w:val="17"/>
          <w:color w:val="auto"/>
        </w:rPr>
      </w:pPr>
      <w:r>
        <w:rPr>
          <w:rFonts w:ascii="Arial" w:cs="Arial" w:eastAsia="Arial" w:hAnsi="Arial"/>
          <w:sz w:val="17"/>
          <w:szCs w:val="17"/>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does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The Company determined the payoff letter met the liability derecognition threshold under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is shown within other (expense) income in the statements of operations for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23, 2020, the Company received proceeds of $0.8 million from the PPP Loan under the PPP of the CARES Act, a portion of which may be forgiven, which the Company used to retain current employees, maintain payroll and make lease and utility payments. In May 2021, the Company received notice from the U.S. Small Business Administration that the principal and interest due under its PPP Loan had been forgiven in full. This gain on extinguishment is shown, net of the loss on extinguishment of debt discussed above, within other (expense) income in the statements of operations for the year ended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December 31, 2021, and 2020, no accruals have been made related to 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4 years, some of which include options to extend the leases for up to 5 years, and some which include options to terminate the leases within 1 year.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Florida</w:t>
      </w:r>
    </w:p>
    <w:p>
      <w:pPr>
        <w:spacing w:after="0" w:line="224"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Company leases office space in Florida, comprised of two contiguous office suites, under non-cancelable operating leases, which expire in August 2025 and February 2026, as to each space respectively, and include the right to extend the term of the leases for two successive five-year terms upon expiration.</w:t>
      </w:r>
    </w:p>
    <w:p>
      <w:pPr>
        <w:spacing w:after="0" w:line="182"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In February 2020, the Company agreed to sublease office space in Florida, comprised of one of the two contiguous suites, under a non-cancelable operating lease, which expires in February 2026. In October 2020, the Company agreed to terminate this sublease, in exchange for a termination payment, due to financial difficulties encountered by the subtenant as a result of COVID-19.</w:t>
      </w:r>
    </w:p>
    <w:p>
      <w:pPr>
        <w:spacing w:after="0" w:line="182" w:lineRule="exact"/>
        <w:rPr>
          <w:sz w:val="20"/>
          <w:szCs w:val="20"/>
          <w:color w:val="auto"/>
        </w:rPr>
      </w:pPr>
    </w:p>
    <w:p>
      <w:pPr>
        <w:jc w:val="both"/>
        <w:ind w:left="160" w:right="20"/>
        <w:spacing w:after="0" w:line="276" w:lineRule="auto"/>
        <w:rPr>
          <w:sz w:val="20"/>
          <w:szCs w:val="20"/>
          <w:color w:val="auto"/>
        </w:rPr>
      </w:pPr>
      <w:r>
        <w:rPr>
          <w:rFonts w:ascii="Arial" w:cs="Arial" w:eastAsia="Arial" w:hAnsi="Arial"/>
          <w:sz w:val="18"/>
          <w:szCs w:val="18"/>
          <w:color w:val="auto"/>
        </w:rPr>
        <w:t>Effective June 1, 2021, the Company agreed to sublease office space in Florida, comprised of one of the two contiguous suites, under a non-cancelable operating lease, which expires in February 2026.</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Iowa</w:t>
      </w:r>
    </w:p>
    <w:p>
      <w:pPr>
        <w:spacing w:after="0" w:line="224" w:lineRule="exact"/>
        <w:rPr>
          <w:sz w:val="20"/>
          <w:szCs w:val="20"/>
          <w:color w:val="auto"/>
        </w:rPr>
      </w:pPr>
    </w:p>
    <w:p>
      <w:pPr>
        <w:jc w:val="both"/>
        <w:ind w:left="160"/>
        <w:spacing w:after="0" w:line="306" w:lineRule="auto"/>
        <w:rPr>
          <w:sz w:val="20"/>
          <w:szCs w:val="20"/>
          <w:color w:val="auto"/>
        </w:rPr>
      </w:pPr>
      <w:r>
        <w:rPr>
          <w:rFonts w:ascii="Arial" w:cs="Arial" w:eastAsia="Arial" w:hAnsi="Arial"/>
          <w:sz w:val="17"/>
          <w:szCs w:val="17"/>
          <w:color w:val="auto"/>
        </w:rPr>
        <w:t>The Company leases office and laboratory facilities in Iowa under a non-cancelable operating lease. The Company’s lease for its Iowa facilities expires in September 2022 and includes a renewal option that could extend the lease for successive one-year terms upon expiration.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Virginia</w:t>
      </w:r>
    </w:p>
    <w:p>
      <w:pPr>
        <w:spacing w:after="0" w:line="224" w:lineRule="exact"/>
        <w:rPr>
          <w:sz w:val="20"/>
          <w:szCs w:val="20"/>
          <w:color w:val="auto"/>
        </w:rPr>
      </w:pPr>
    </w:p>
    <w:p>
      <w:pPr>
        <w:jc w:val="both"/>
        <w:ind w:left="160" w:right="20"/>
        <w:spacing w:after="0" w:line="276" w:lineRule="auto"/>
        <w:rPr>
          <w:sz w:val="20"/>
          <w:szCs w:val="20"/>
          <w:color w:val="auto"/>
        </w:rPr>
      </w:pPr>
      <w:r>
        <w:rPr>
          <w:rFonts w:ascii="Arial" w:cs="Arial" w:eastAsia="Arial" w:hAnsi="Arial"/>
          <w:sz w:val="18"/>
          <w:szCs w:val="18"/>
          <w:color w:val="auto"/>
        </w:rPr>
        <w:t>The Company leases office and laboratory facilities in Virginia under a non-cancelable operating lease. The Company’s lease for its Virginia facilities expires in August 2022.</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North Carolina</w:t>
      </w:r>
    </w:p>
    <w:p>
      <w:pPr>
        <w:spacing w:after="0" w:line="224" w:lineRule="exact"/>
        <w:rPr>
          <w:sz w:val="20"/>
          <w:szCs w:val="20"/>
          <w:color w:val="auto"/>
        </w:rPr>
      </w:pPr>
    </w:p>
    <w:p>
      <w:pPr>
        <w:ind w:left="160" w:right="80"/>
        <w:spacing w:after="0" w:line="276" w:lineRule="auto"/>
        <w:rPr>
          <w:sz w:val="20"/>
          <w:szCs w:val="20"/>
          <w:color w:val="auto"/>
        </w:rPr>
      </w:pPr>
      <w:r>
        <w:rPr>
          <w:rFonts w:ascii="Arial" w:cs="Arial" w:eastAsia="Arial" w:hAnsi="Arial"/>
          <w:sz w:val="18"/>
          <w:szCs w:val="18"/>
          <w:color w:val="auto"/>
        </w:rPr>
        <w:t>The Company leases office space in North Carolina under a non-cancelable operating lease. The Company's lease for its North Carolina facilities expires in March 2022.</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Finance Lease</w:t>
      </w:r>
    </w:p>
    <w:p>
      <w:pPr>
        <w:spacing w:after="0" w:line="224" w:lineRule="exact"/>
        <w:rPr>
          <w:sz w:val="20"/>
          <w:szCs w:val="20"/>
          <w:color w:val="auto"/>
        </w:rPr>
      </w:pPr>
    </w:p>
    <w:p>
      <w:pPr>
        <w:jc w:val="both"/>
        <w:ind w:left="160"/>
        <w:spacing w:after="0" w:line="311" w:lineRule="auto"/>
        <w:rPr>
          <w:sz w:val="20"/>
          <w:szCs w:val="20"/>
          <w:color w:val="auto"/>
        </w:rPr>
      </w:pPr>
      <w:r>
        <w:rPr>
          <w:rFonts w:ascii="Arial" w:cs="Arial" w:eastAsia="Arial" w:hAnsi="Arial"/>
          <w:sz w:val="16"/>
          <w:szCs w:val="16"/>
          <w:color w:val="auto"/>
        </w:rPr>
        <w:t>The Company leases various laboratory equipment, furniture and office equipment and leasehold improvements that are accounted for as finance leases and that require ongoing payments, including interest expense. The finance leases are financed through various financial institutions and are collateralized by the underlying assets. As of December 31, 2021, and 2020, the interest rates for assets under remaining finance leases range from 7.19% to 14.34%.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68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800" w:type="dxa"/>
            <w:vAlign w:val="bottom"/>
            <w:gridSpan w:val="4"/>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120" w:type="dxa"/>
            <w:vAlign w:val="bottom"/>
          </w:tcPr>
          <w:p>
            <w:pPr>
              <w:spacing w:after="0"/>
              <w:rPr>
                <w:sz w:val="24"/>
                <w:szCs w:val="24"/>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Cost</w:t>
            </w:r>
          </w:p>
        </w:tc>
        <w:tc>
          <w:tcPr>
            <w:tcW w:w="100" w:type="dxa"/>
            <w:vAlign w:val="bottom"/>
            <w:vMerge w:val="restart"/>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58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Total finance lease cost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gridSpan w:val="3"/>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gridSpan w:val="3"/>
          </w:tcPr>
          <w:p>
            <w:pPr>
              <w:ind w:left="20"/>
              <w:spacing w:after="0"/>
              <w:rPr>
                <w:sz w:val="20"/>
                <w:szCs w:val="20"/>
                <w:color w:val="auto"/>
              </w:rPr>
            </w:pPr>
            <w:r>
              <w:rPr>
                <w:rFonts w:ascii="Arial" w:cs="Arial" w:eastAsia="Arial" w:hAnsi="Arial"/>
                <w:sz w:val="18"/>
                <w:szCs w:val="18"/>
                <w:color w:val="auto"/>
              </w:rPr>
              <w:t>Less: sublease income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non-cancelable operating leases was $0.6 million and $0.6 million for the years ended December 31, 2021, and 2020,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jc w:val="right"/>
              <w:ind w:right="670"/>
              <w:spacing w:after="0"/>
              <w:rPr>
                <w:sz w:val="20"/>
                <w:szCs w:val="20"/>
                <w:color w:val="auto"/>
              </w:rPr>
            </w:pPr>
            <w:r>
              <w:rPr>
                <w:rFonts w:ascii="Arial" w:cs="Arial" w:eastAsia="Arial" w:hAnsi="Arial"/>
                <w:sz w:val="18"/>
                <w:szCs w:val="18"/>
                <w:color w:val="auto"/>
                <w:w w:val="90"/>
              </w:rPr>
              <w:t>Supplemental cash flow information related to leases was as follows (in thousands):</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short-term leases</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Operating cash flows from variable lease costs</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9"/>
                <w:szCs w:val="19"/>
                <w:color w:val="auto"/>
              </w:rPr>
            </w:pPr>
          </w:p>
        </w:tc>
      </w:tr>
      <w:tr>
        <w:trPr>
          <w:trHeight w:val="417"/>
        </w:trPr>
        <w:tc>
          <w:tcPr>
            <w:tcW w:w="6800" w:type="dxa"/>
            <w:vAlign w:val="bottom"/>
            <w:gridSpan w:val="2"/>
          </w:tcPr>
          <w:p>
            <w:pPr>
              <w:jc w:val="right"/>
              <w:ind w:right="950"/>
              <w:spacing w:after="0"/>
              <w:rPr>
                <w:sz w:val="20"/>
                <w:szCs w:val="20"/>
                <w:color w:val="auto"/>
              </w:rPr>
            </w:pPr>
            <w:r>
              <w:rPr>
                <w:rFonts w:ascii="Arial" w:cs="Arial" w:eastAsia="Arial" w:hAnsi="Arial"/>
                <w:sz w:val="18"/>
                <w:szCs w:val="18"/>
                <w:color w:val="auto"/>
              </w:rPr>
              <w:t>175</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8" w:right="3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5"/>
              </w:rPr>
              <w:t>December 31,</w:t>
            </w:r>
          </w:p>
        </w:tc>
        <w:tc>
          <w:tcPr>
            <w:tcW w:w="10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4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1,141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1,350</w:t>
            </w:r>
          </w:p>
        </w:tc>
        <w:tc>
          <w:tcPr>
            <w:tcW w:w="114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operating lease right-of-use assets</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1,350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1,587</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operating lease liabilities</w:t>
            </w:r>
          </w:p>
        </w:tc>
        <w:tc>
          <w:tcPr>
            <w:tcW w:w="238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1,588</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1,914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 year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 year</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 years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9"/>
                <w:szCs w:val="19"/>
                <w:color w:val="auto"/>
              </w:rPr>
            </w:pPr>
          </w:p>
        </w:tc>
      </w:tr>
      <w:tr>
        <w:trPr>
          <w:trHeight w:val="417"/>
        </w:trPr>
        <w:tc>
          <w:tcPr>
            <w:tcW w:w="5040" w:type="dxa"/>
            <w:vAlign w:val="bottom"/>
            <w:gridSpan w:val="2"/>
          </w:tcPr>
          <w:p>
            <w:pPr>
              <w:spacing w:after="0"/>
              <w:rPr>
                <w:sz w:val="20"/>
                <w:szCs w:val="20"/>
                <w:color w:val="auto"/>
              </w:rPr>
            </w:pPr>
            <w:r>
              <w:rPr>
                <w:rFonts w:ascii="Arial" w:cs="Arial" w:eastAsia="Arial" w:hAnsi="Arial"/>
                <w:sz w:val="18"/>
                <w:szCs w:val="18"/>
                <w:color w:val="auto"/>
              </w:rPr>
              <w:t>Maturities on lease liabilities were as follows (in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Operating</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85"/>
              </w:rPr>
              <w:t>Leases</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2023</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2025</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Less: future interest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jc w:val="right"/>
              <w:ind w:right="750"/>
              <w:spacing w:after="0"/>
              <w:rPr>
                <w:sz w:val="20"/>
                <w:szCs w:val="20"/>
                <w:color w:val="auto"/>
              </w:rPr>
            </w:pPr>
            <w:r>
              <w:rPr>
                <w:rFonts w:ascii="Arial" w:cs="Arial" w:eastAsia="Arial" w:hAnsi="Arial"/>
                <w:sz w:val="18"/>
                <w:szCs w:val="18"/>
                <w:color w:val="auto"/>
              </w:rPr>
              <w:t>176</w:t>
            </w: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Supply Arrangement</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2021, and 2020, the Company has one manufacturing arrangement that involves potential future expenditures related to research and development.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2009, the Company entered into a supply agreement (the “Supply Agreement”) with Johnson Matthey Inc. (“JMI”) whereby JMI has agreed to supply the Company with all of the benzhydrocodone necessary for clinical trials and commercial sale for a price equal to JMI’s manufacturing cost and to provide process optimization and development services for benzhydrocodone. The Company’s FDA-approved drug, APADAZ, contains benzhydrocodone. The expense under this agreement for the year ended December 31, 2021, was negligible. The expense under this agreement for the year ended December 31, 2020, was $3.2 million. The Company must purchase all of its U.S. benzhydrocodone needs from JMI and JMI cannot supply benzhydrocodone to other companies. The term of the Supply Agreement extends as long as the Company holds a valid and enforceable patent for benzhydrocodone or until the tenth anniversary of a commercial launch of a FDA-approved drug incorporating benzhydrocodone, whichever date is later. Upon the expiration of such term, the agreement will automatically renew for a period of two years unless either party provides 12 months prior notice of its intent not to renew. Under the agreement, JMI will receive a tiered-based royalty share on the net sales on the commercial sale of a FDA-approved drug incorporating benzhydrocodone. No reliable estimate of the future payments can be made at this time.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 w:hanging="692"/>
        <w:spacing w:after="0"/>
        <w:tabs>
          <w:tab w:leader="none" w:pos="7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10,000,000 shares of authorized, unallocated and unissued preferred stock.</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December 31, 2020, the Company had 10,000,000 shares of authorized preferred stock. The following shares of preferred stock were designated, issued and outstanding as of December 31,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89"/>
              </w:rPr>
              <w:t>Shares Authorized</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9"/>
              </w:rPr>
              <w:t>Shares Issued</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Series A convertible preferred stock, $0.0001 par value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9,577</w:t>
            </w: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8"/>
                <w:szCs w:val="18"/>
                <w:color w:val="auto"/>
                <w:w w:val="96"/>
              </w:rPr>
              <w:t>Series B-1 convertible preferred stock, $0.0001 par value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15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Series B-2 convertible preferred stock, $0.0001 par value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27,000</w:t>
            </w:r>
          </w:p>
        </w:tc>
        <w:tc>
          <w:tcPr>
            <w:tcW w:w="15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B-1 Convertible Preferred Stock, eliminating from the Company’s Certificate of Incorporation the 1,576 shares designated as Series B-1 Convertible Preferred Stock; and (iii) a Certificate of Elimination of Series B-2 Convertible Preferred Stock, eliminating from the Company’s Certificate of Incorporation the 31,480 shares designated as Series B-2 Convertible Preferred Stock. As of December 31, 2021, no shares of preferred stock were designated, issued or outstanding.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Preferred Stock</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Designation of Preferences, Rights and Limitations of the Series B-2 Convertible Preferred Stock</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11, 2021, as a condition to the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of Delaware, setting forth the preferences, rights and limitations of the Series B-2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the Public Offering, pursuant to the terms of the December 2020 Exchange Agreement, the Company:</w:t>
      </w:r>
    </w:p>
    <w:p>
      <w:pPr>
        <w:spacing w:after="0" w:line="224" w:lineRule="exact"/>
        <w:rPr>
          <w:sz w:val="20"/>
          <w:szCs w:val="20"/>
          <w:color w:val="auto"/>
        </w:rPr>
      </w:pPr>
    </w:p>
    <w:p>
      <w:pPr>
        <w:ind w:left="460" w:hanging="223"/>
        <w:spacing w:after="0" w:line="182" w:lineRule="auto"/>
        <w:tabs>
          <w:tab w:leader="none" w:pos="460" w:val="left"/>
        </w:tabs>
        <w:numPr>
          <w:ilvl w:val="0"/>
          <w:numId w:val="77"/>
        </w:numPr>
        <w:rPr>
          <w:rFonts w:ascii="Arial" w:cs="Arial" w:eastAsia="Arial" w:hAnsi="Arial"/>
          <w:sz w:val="34"/>
          <w:szCs w:val="34"/>
          <w:color w:val="auto"/>
          <w:vertAlign w:val="subscript"/>
        </w:rPr>
      </w:pPr>
      <w:r>
        <w:rPr>
          <w:rFonts w:ascii="Arial" w:cs="Arial" w:eastAsia="Arial" w:hAnsi="Arial"/>
          <w:sz w:val="17"/>
          <w:szCs w:val="17"/>
          <w:color w:val="auto"/>
        </w:rPr>
        <w:t>exchanged approximately $31.5 million (the "Exchange") of the outstanding principal and accrued interest on the Facility Notes for (i) the Series B-2 Preferred Stock and (ii) the Exchange Warrants; and</w:t>
      </w:r>
    </w:p>
    <w:p>
      <w:pPr>
        <w:spacing w:after="0" w:line="201" w:lineRule="exact"/>
        <w:rPr>
          <w:rFonts w:ascii="Arial" w:cs="Arial" w:eastAsia="Arial" w:hAnsi="Arial"/>
          <w:sz w:val="34"/>
          <w:szCs w:val="34"/>
          <w:color w:val="auto"/>
          <w:vertAlign w:val="subscript"/>
        </w:rPr>
      </w:pPr>
    </w:p>
    <w:p>
      <w:pPr>
        <w:ind w:left="460" w:hanging="223"/>
        <w:spacing w:after="0" w:line="182" w:lineRule="auto"/>
        <w:tabs>
          <w:tab w:leader="none" w:pos="460" w:val="left"/>
        </w:tabs>
        <w:numPr>
          <w:ilvl w:val="0"/>
          <w:numId w:val="77"/>
        </w:numPr>
        <w:rPr>
          <w:rFonts w:ascii="Arial" w:cs="Arial" w:eastAsia="Arial" w:hAnsi="Arial"/>
          <w:sz w:val="34"/>
          <w:szCs w:val="34"/>
          <w:color w:val="auto"/>
          <w:vertAlign w:val="subscript"/>
        </w:rPr>
      </w:pPr>
      <w:r>
        <w:rPr>
          <w:rFonts w:ascii="Arial" w:cs="Arial" w:eastAsia="Arial" w:hAnsi="Arial"/>
          <w:sz w:val="17"/>
          <w:szCs w:val="17"/>
          <w:color w:val="auto"/>
        </w:rPr>
        <w:t>made a payment of approximately $30.3 million (the “Debt Payment”) in partial repayment of the remaining outstanding principal and accrued interest on the Facility Notes.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4,842,699 shares of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and 2020, the Company had authorized shares of common stock of 250,000,000 shares. Of the authorized shares, 35,325,801 and 4,537,321 shares of common stock were issued as of December 31, 2021, and 2020, respectively, and 35,005,640 and 4,537,321 shares of common stock were outstanding as of December 31, 2021, and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 Company had reserved authorized shares of common stock for future issuance as follows:</w:t>
      </w:r>
    </w:p>
    <w:p>
      <w:pPr>
        <w:spacing w:after="0" w:line="220"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Conversion of Deerfield Convertible Note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Conversion of January 2020 Note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34,615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Conversion of December 2019 Notes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Outstanding awards under equity incentive plans</w:t>
            </w:r>
          </w:p>
        </w:tc>
        <w:tc>
          <w:tcPr>
            <w:tcW w:w="1000" w:type="dxa"/>
            <w:vAlign w:val="bottom"/>
          </w:tcPr>
          <w:p>
            <w:pPr>
              <w:jc w:val="right"/>
              <w:spacing w:after="0"/>
              <w:rPr>
                <w:sz w:val="20"/>
                <w:szCs w:val="20"/>
                <w:color w:val="auto"/>
              </w:rPr>
            </w:pPr>
            <w:r>
              <w:rPr>
                <w:rFonts w:ascii="Arial" w:cs="Arial" w:eastAsia="Arial" w:hAnsi="Arial"/>
                <w:sz w:val="18"/>
                <w:szCs w:val="18"/>
                <w:color w:val="auto"/>
              </w:rPr>
              <w:t>1,273,879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355,785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common stock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Possible future issuances under equity incentive plans</w:t>
            </w:r>
          </w:p>
        </w:tc>
        <w:tc>
          <w:tcPr>
            <w:tcW w:w="1000" w:type="dxa"/>
            <w:vAlign w:val="bottom"/>
          </w:tcPr>
          <w:p>
            <w:pPr>
              <w:jc w:val="right"/>
              <w:spacing w:after="0"/>
              <w:rPr>
                <w:sz w:val="20"/>
                <w:szCs w:val="20"/>
                <w:color w:val="auto"/>
              </w:rPr>
            </w:pPr>
            <w:r>
              <w:rPr>
                <w:rFonts w:ascii="Arial" w:cs="Arial" w:eastAsia="Arial" w:hAnsi="Arial"/>
                <w:sz w:val="18"/>
                <w:szCs w:val="18"/>
                <w:color w:val="auto"/>
              </w:rPr>
              <w:t>4,209,935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Possible future issuances under employee stock purchase plan</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Total common shares reserved for future issuance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11,236,414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780" w:type="dxa"/>
            <w:vAlign w:val="bottom"/>
            <w:gridSpan w:val="3"/>
          </w:tcPr>
          <w:p>
            <w:pPr>
              <w:spacing w:after="0"/>
              <w:rPr>
                <w:sz w:val="20"/>
                <w:szCs w:val="20"/>
                <w:color w:val="auto"/>
              </w:rPr>
            </w:pPr>
            <w:r>
              <w:rPr>
                <w:rFonts w:ascii="Arial" w:cs="Arial" w:eastAsia="Arial" w:hAnsi="Arial"/>
                <w:sz w:val="18"/>
                <w:szCs w:val="18"/>
                <w:color w:val="auto"/>
                <w:w w:val="91"/>
              </w:rPr>
              <w:t>The following table summarizes common stock activity for the years ended December 31, 2021, and 2020:</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2,271,882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Common stock issued under equity line of credit</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579,260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vested during the period</w:t>
            </w: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Common stock issued as compensation to third-parties</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23,216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Common stock issued as a result of Deerfield Optional Conversion Feature conversion</w:t>
            </w: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Common stock issued as a result of stock option exercise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4,537,321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Common stock issued as a result of the Public Offering</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7,139,498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as a result of Series B-2 Preferred Stock conversions</w:t>
            </w: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4,842,699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Common stock issued as a result of warrant exercises</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18,772,510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as compensation to third-parties</w:t>
            </w:r>
          </w:p>
        </w:tc>
        <w:tc>
          <w:tcPr>
            <w:tcW w:w="1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Adjustment for cash paid in lieu of DTC fractional shares</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repurchased as a result of the Stock Repurchase Program</w:t>
            </w: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2021</w:t>
            </w:r>
          </w:p>
        </w:tc>
        <w:tc>
          <w:tcPr>
            <w:tcW w:w="10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35,005,640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January 2021 Inducement Transaction (discussed below) the anti-dilution provisions within the Deerfield Warrant were triggered and the exercise price was reduced from $93.60 per share to $46.25 per share. In addition, as a result of the June 2021 Inducement Transaction (discussed below) the anti-dilution provision within the Deerfield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statements of operations. The Deerfield Convertible Note was extinguished in February 2021 and the remaining debt discount was written off and recognized as a loss on extinguishment of debt.</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statements of operations as a fair value adjustment (Note M).</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statements of operations. Changes in the number of shares that are expected to be issued are treated as changes in variable consideration under ASC 606 and are recorded as a change in contract asset on the balance sheets. As of December 31, 2021, and 2020, a contract asset of $0.4 million is recorded in other long-term assets on the balance sheets related to the KVK Warrant.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In January 2021, all pre-funded warrants were exercised for 926,841 shares of common stock and gross proceeds of approximately $72.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December 31, 2021, 3,461,858 Offering Warrants have been exercised for 3,030,881 shares of common stock and gross proceeds of approximately $16.9 million. These amounts are exclusive of the Offering Warrants exercised as part of the January 2021 Inducement Transaction discussed below.</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Warrant</w:t>
      </w: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December 31, 2021, 400,000 Underwriter Warrants have been exercised for 400,000 shares of common stock and gross proceeds of approximately $3.3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2021 Warrant Exercise Inducement Letters and Issuance of Warrants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“January 2021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January 2021 Inducement Warrants was $0.125 per share underlying each January 2021 Inducement Warrant, and the January 2021 Inducement Warrants have an exercise price of $6.36 per share.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 As a result of this transaction the anti-dilution provisions contained with the Deerfield Warrant were triggered and the exercise price of the Deerfield Warrant was reduced from $93.60 per share to $46.25 per share.</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January 2021 Inducement Warrants were immediately exercisable and expire on the fifth anniversary of their issuance date, at an exercise price per share of common stock equal to $6.36 per share.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and any other person or entities with which such holder would constitute a Section 13(d) “group”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December 31, 2021,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39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accordance with the January 2021 Inducement Transaction we recognized a deemed dividend of $37.4 million which is the difference between the grant date fair value of the January 2021 Inducement Warrants and the purchase price of the January 2021 Inducement Warrants. This deemed dividend is added to net loss to arrive at net loss attributable to common stockholders on the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2021 Warrant Exercise Inducement Letters and Issuance of Warrants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(the “June 2021 Inducement Warrants”) on substantially the same terms as the January 2021 Inducement Warrants, except as set forth in the following sentence, to purchase up to 1,529,379 shares of the Company’s common stock, which is equal to 25% of the number of shares of the Company’s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 As a result of this transaction the anti-dilution provisions contained with the Deerfield Warrant were triggered and the exercise price of the Deerfield Warrant was reduced from $46.25 per share to $38.34 per share.</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June 2021 Inducement Warrants were immediately exercisable and expire on December 31, 2026, at an exercise price per share of common stock equal to $16.50 per share.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and any other person or entities with which such holder would constitute a Section 13(d) “group”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December 31, 2021, no June 2021 Inducement Warrants have been exercised.</w:t>
      </w:r>
    </w:p>
    <w:p>
      <w:pPr>
        <w:spacing w:after="0" w:line="3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added to net loss to arrive at net loss attributable to common stockholders on the statements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20"/>
                <w:szCs w:val="20"/>
                <w:color w:val="auto"/>
              </w:rPr>
            </w:pPr>
            <w:r>
              <w:rPr>
                <w:rFonts w:ascii="Arial" w:cs="Arial" w:eastAsia="Arial" w:hAnsi="Arial"/>
                <w:sz w:val="18"/>
                <w:szCs w:val="18"/>
                <w:color w:val="auto"/>
              </w:rPr>
              <w:t>In</w:t>
            </w:r>
          </w:p>
        </w:tc>
        <w:tc>
          <w:tcPr>
            <w:tcW w:w="2580" w:type="dxa"/>
            <w:vAlign w:val="bottom"/>
          </w:tcPr>
          <w:p>
            <w:pPr>
              <w:ind w:left="140"/>
              <w:spacing w:after="0"/>
              <w:rPr>
                <w:sz w:val="20"/>
                <w:szCs w:val="20"/>
                <w:color w:val="auto"/>
              </w:rPr>
            </w:pPr>
            <w:r>
              <w:rPr>
                <w:rFonts w:ascii="Arial" w:cs="Arial" w:eastAsia="Arial" w:hAnsi="Arial"/>
                <w:sz w:val="18"/>
                <w:szCs w:val="18"/>
                <w:color w:val="auto"/>
              </w:rPr>
              <w:t>November 2014, the Board of</w:t>
            </w:r>
          </w:p>
        </w:tc>
        <w:tc>
          <w:tcPr>
            <w:tcW w:w="3880" w:type="dxa"/>
            <w:vAlign w:val="bottom"/>
            <w:gridSpan w:val="3"/>
          </w:tcPr>
          <w:p>
            <w:pPr>
              <w:jc w:val="right"/>
              <w:spacing w:after="0"/>
              <w:rPr>
                <w:sz w:val="20"/>
                <w:szCs w:val="20"/>
                <w:color w:val="auto"/>
              </w:rPr>
            </w:pPr>
            <w:r>
              <w:rPr>
                <w:rFonts w:ascii="Arial" w:cs="Arial" w:eastAsia="Arial" w:hAnsi="Arial"/>
                <w:sz w:val="18"/>
                <w:szCs w:val="18"/>
                <w:color w:val="auto"/>
              </w:rPr>
              <w:t>Directors of the Company ("the Board"), and in</w:t>
            </w:r>
          </w:p>
        </w:tc>
        <w:tc>
          <w:tcPr>
            <w:tcW w:w="4480" w:type="dxa"/>
            <w:vAlign w:val="bottom"/>
          </w:tcPr>
          <w:p>
            <w:pPr>
              <w:jc w:val="right"/>
              <w:spacing w:after="0"/>
              <w:rPr>
                <w:sz w:val="20"/>
                <w:szCs w:val="20"/>
                <w:color w:val="auto"/>
              </w:rPr>
            </w:pPr>
            <w:r>
              <w:rPr>
                <w:rFonts w:ascii="Arial" w:cs="Arial" w:eastAsia="Arial" w:hAnsi="Arial"/>
                <w:sz w:val="18"/>
                <w:szCs w:val="18"/>
                <w:color w:val="auto"/>
              </w:rPr>
              <w:t>April 2015, the Company’s stockholders, approved the</w:t>
            </w:r>
          </w:p>
        </w:tc>
      </w:tr>
      <w:tr>
        <w:trPr>
          <w:trHeight w:val="215"/>
        </w:trPr>
        <w:tc>
          <w:tcPr>
            <w:tcW w:w="6260" w:type="dxa"/>
            <w:vAlign w:val="bottom"/>
            <w:gridSpan w:val="4"/>
          </w:tcPr>
          <w:p>
            <w:pPr>
              <w:spacing w:after="0"/>
              <w:rPr>
                <w:sz w:val="20"/>
                <w:szCs w:val="20"/>
                <w:color w:val="auto"/>
              </w:rPr>
            </w:pPr>
            <w:r>
              <w:rPr>
                <w:rFonts w:ascii="Arial" w:cs="Arial" w:eastAsia="Arial" w:hAnsi="Arial"/>
                <w:sz w:val="18"/>
                <w:szCs w:val="18"/>
                <w:color w:val="auto"/>
                <w:w w:val="93"/>
              </w:rPr>
              <w:t>Company’s 2014 Equity Incentive Plan (the “2014 Plan”), which became effective in</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w w:val="95"/>
              </w:rPr>
              <w:t>April 2015. The 2014 Plan provides for the grant of stock options,</w:t>
            </w: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w w:val="99"/>
              </w:rPr>
              <w:t>other forms of equity compensation,</w:t>
            </w: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and performance cash awards. In</w:t>
            </w:r>
          </w:p>
        </w:tc>
        <w:tc>
          <w:tcPr>
            <w:tcW w:w="540" w:type="dxa"/>
            <w:vAlign w:val="bottom"/>
          </w:tcPr>
          <w:p>
            <w:pPr>
              <w:ind w:left="160"/>
              <w:spacing w:after="0"/>
              <w:rPr>
                <w:sz w:val="20"/>
                <w:szCs w:val="20"/>
                <w:color w:val="auto"/>
              </w:rPr>
            </w:pPr>
            <w:r>
              <w:rPr>
                <w:rFonts w:ascii="Arial" w:cs="Arial" w:eastAsia="Arial" w:hAnsi="Arial"/>
                <w:sz w:val="18"/>
                <w:szCs w:val="18"/>
                <w:color w:val="auto"/>
                <w:w w:val="92"/>
              </w:rPr>
              <w:t>June</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2021,</w:t>
            </w:r>
          </w:p>
        </w:tc>
        <w:tc>
          <w:tcPr>
            <w:tcW w:w="4480" w:type="dxa"/>
            <w:vAlign w:val="bottom"/>
          </w:tcPr>
          <w:p>
            <w:pPr>
              <w:jc w:val="right"/>
              <w:spacing w:after="0"/>
              <w:rPr>
                <w:sz w:val="20"/>
                <w:szCs w:val="20"/>
                <w:color w:val="auto"/>
              </w:rPr>
            </w:pPr>
            <w:r>
              <w:rPr>
                <w:rFonts w:ascii="Arial" w:cs="Arial" w:eastAsia="Arial" w:hAnsi="Arial"/>
                <w:sz w:val="18"/>
                <w:szCs w:val="18"/>
                <w:color w:val="auto"/>
                <w:w w:val="99"/>
              </w:rPr>
              <w:t>the Company's stockholders approved an Amended and</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w w:val="98"/>
              </w:rPr>
              <w:t>Restated 2014 Equity Incentive Plan</w:t>
            </w:r>
          </w:p>
        </w:tc>
        <w:tc>
          <w:tcPr>
            <w:tcW w:w="2840" w:type="dxa"/>
            <w:vAlign w:val="bottom"/>
          </w:tcPr>
          <w:p>
            <w:pPr>
              <w:jc w:val="center"/>
              <w:spacing w:after="0"/>
              <w:rPr>
                <w:sz w:val="20"/>
                <w:szCs w:val="20"/>
                <w:color w:val="auto"/>
              </w:rPr>
            </w:pPr>
            <w:r>
              <w:rPr>
                <w:rFonts w:ascii="Arial" w:cs="Arial" w:eastAsia="Arial" w:hAnsi="Arial"/>
                <w:sz w:val="18"/>
                <w:szCs w:val="18"/>
                <w:color w:val="auto"/>
              </w:rPr>
              <w:t>(the "A&amp;R 2014 Plan"), following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its adoption</w:t>
            </w:r>
          </w:p>
        </w:tc>
        <w:tc>
          <w:tcPr>
            <w:tcW w:w="4480" w:type="dxa"/>
            <w:vAlign w:val="bottom"/>
          </w:tcPr>
          <w:p>
            <w:pPr>
              <w:jc w:val="right"/>
              <w:spacing w:after="0"/>
              <w:rPr>
                <w:sz w:val="20"/>
                <w:szCs w:val="20"/>
                <w:color w:val="auto"/>
              </w:rPr>
            </w:pPr>
            <w:r>
              <w:rPr>
                <w:rFonts w:ascii="Arial" w:cs="Arial" w:eastAsia="Arial" w:hAnsi="Arial"/>
                <w:sz w:val="18"/>
                <w:szCs w:val="18"/>
                <w:color w:val="auto"/>
              </w:rPr>
              <w:t>by the Board in April 2021, which among other things</w:t>
            </w:r>
          </w:p>
        </w:tc>
      </w:tr>
    </w:tbl>
    <w:p>
      <w:pPr>
        <w:spacing w:after="0" w:line="280" w:lineRule="auto"/>
        <w:rPr>
          <w:sz w:val="20"/>
          <w:szCs w:val="20"/>
          <w:color w:val="auto"/>
        </w:rPr>
      </w:pPr>
      <w:r>
        <w:rPr>
          <w:rFonts w:ascii="Arial" w:cs="Arial" w:eastAsia="Arial" w:hAnsi="Arial"/>
          <w:sz w:val="16"/>
          <w:szCs w:val="16"/>
          <w:color w:val="auto"/>
        </w:rPr>
        <w:t>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5,489,660 as of December 31, 2021. The number of shares of common stock reserved for issuance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shares determined by the Board. Pursuant to the terms of the 2014 Plan, on January 1, 2022, the common stock reserved for issuance under the 2014 Plan automatically increased by 1,400,225 shares.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2020, the Company granted to certain consultants fully vested restricted stock awards (“RSAs”) under the 2014 Plan. The RSAs were granted as compensation in accordance with each consultant's consulting agreement for services performed during 2020. For the year ended December 31, 2020, RSAs were granted for a total of 10,247 shares of common stock. No RSAs were granted during the year ended December 31, 2021.</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the year ended December 31, 2020, stock options to acquire 279 shares of common stock were exercised for approximately $2,000 with an intrinsic value of approximately $1,000. During the year ended December 31, 2021 no stock options were exercised.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Stock-based compensation expense recorded under the Incentive Stock Plan, 2014 Plan and A&amp;R 2014 Plan is included in the following line items in the accompanying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expense</w:t>
            </w:r>
          </w:p>
        </w:tc>
        <w:tc>
          <w:tcPr>
            <w:tcW w:w="2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vMerge w:val="restart"/>
          </w:tcPr>
          <w:p>
            <w:pPr>
              <w:jc w:val="right"/>
              <w:ind w:right="1650"/>
              <w:spacing w:after="0"/>
              <w:rPr>
                <w:sz w:val="20"/>
                <w:szCs w:val="20"/>
                <w:color w:val="auto"/>
              </w:rPr>
            </w:pPr>
            <w:r>
              <w:rPr>
                <w:rFonts w:ascii="Arial" w:cs="Arial" w:eastAsia="Arial" w:hAnsi="Arial"/>
                <w:sz w:val="18"/>
                <w:szCs w:val="18"/>
                <w:color w:val="auto"/>
              </w:rPr>
              <w:t>184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Using the Black-Scholes option-pricing model, the weighted-average fair value of awards granted during the years ended December 31, 2021, and 2020, fair value was $7.53 and $5.00 per share, respectively. The assumptions used to estimate fair value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48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1"/>
              </w:rPr>
              <w:t>0.92% - 1.55%</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0.38% - 1.65%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760" w:type="dxa"/>
            <w:vAlign w:val="bottom"/>
          </w:tcPr>
          <w:p>
            <w:pPr>
              <w:ind w:left="20"/>
              <w:spacing w:after="0"/>
              <w:rPr>
                <w:sz w:val="20"/>
                <w:szCs w:val="20"/>
                <w:color w:val="auto"/>
              </w:rPr>
            </w:pPr>
            <w:r>
              <w:rPr>
                <w:rFonts w:ascii="Arial" w:cs="Arial" w:eastAsia="Arial" w:hAnsi="Arial"/>
                <w:sz w:val="18"/>
                <w:szCs w:val="18"/>
                <w:color w:val="auto"/>
              </w:rPr>
              <w:t>- 10.00</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5.50 - 10.00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- 102.57%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89.49% - 93.07%</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center"/>
              <w:ind w:right="490"/>
              <w:spacing w:after="0"/>
              <w:rPr>
                <w:sz w:val="20"/>
                <w:szCs w:val="20"/>
                <w:color w:val="auto"/>
              </w:rPr>
            </w:pPr>
            <w:r>
              <w:rPr>
                <w:rFonts w:ascii="Arial" w:cs="Arial" w:eastAsia="Arial" w:hAnsi="Arial"/>
                <w:sz w:val="18"/>
                <w:szCs w:val="18"/>
                <w:color w:val="auto"/>
                <w:w w:val="99"/>
              </w:rPr>
              <w:t>0</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140" w:type="dxa"/>
            <w:vAlign w:val="bottom"/>
          </w:tcPr>
          <w:p>
            <w:pPr>
              <w:spacing w:after="0"/>
              <w:rPr>
                <w:sz w:val="19"/>
                <w:szCs w:val="19"/>
                <w:color w:val="auto"/>
              </w:rPr>
            </w:pPr>
          </w:p>
        </w:tc>
      </w:tr>
      <w:tr>
        <w:trPr>
          <w:trHeight w:val="417"/>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40" w:type="dxa"/>
            <w:vAlign w:val="bottom"/>
          </w:tcPr>
          <w:p>
            <w:pPr>
              <w:jc w:val="right"/>
              <w:ind w:right="1490"/>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the Incentive Stock Plan, 2014 Plan and A&amp;R 2014 Plan for the year ended December 31, 2021, is summarized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4"/>
              </w:rPr>
              <w:t>Weighted Avg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balance at January 1, 2021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355,785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543,021</w:t>
            </w:r>
          </w:p>
        </w:tc>
        <w:tc>
          <w:tcPr>
            <w:tcW w:w="0" w:type="dxa"/>
            <w:vAlign w:val="bottom"/>
          </w:tcPr>
          <w:p>
            <w:pPr>
              <w:spacing w:after="0"/>
              <w:rPr>
                <w:sz w:val="1"/>
                <w:szCs w:val="1"/>
                <w:color w:val="auto"/>
              </w:rPr>
            </w:pPr>
          </w:p>
        </w:tc>
      </w:tr>
      <w:tr>
        <w:trPr>
          <w:trHeight w:val="215"/>
        </w:trPr>
        <w:tc>
          <w:tcPr>
            <w:tcW w:w="3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919,383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 or released</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Outstanding balance at December 31, 2021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1,273,879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254,207</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307,215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247,482</w:t>
            </w: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Vested and expected to vest at December 31,</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1,163,252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00" w:type="dxa"/>
            <w:vAlign w:val="bottom"/>
          </w:tcPr>
          <w:p>
            <w:pPr>
              <w:ind w:left="20"/>
              <w:spacing w:after="0" w:line="189" w:lineRule="exact"/>
              <w:rPr>
                <w:sz w:val="20"/>
                <w:szCs w:val="20"/>
                <w:color w:val="auto"/>
              </w:rPr>
            </w:pPr>
            <w:r>
              <w:rPr>
                <w:rFonts w:ascii="Arial" w:cs="Arial" w:eastAsia="Arial" w:hAnsi="Arial"/>
                <w:sz w:val="18"/>
                <w:szCs w:val="18"/>
                <w:color w:val="auto"/>
              </w:rPr>
              <w:t>2021</w:t>
            </w:r>
          </w:p>
        </w:tc>
        <w:tc>
          <w:tcPr>
            <w:tcW w:w="1280" w:type="dxa"/>
            <w:vAlign w:val="bottom"/>
            <w:tcBorders>
              <w:bottom w:val="single" w:sz="8" w:color="auto"/>
            </w:tcBorders>
            <w:vMerge w:val="continue"/>
          </w:tcPr>
          <w:p>
            <w:pPr>
              <w:spacing w:after="0"/>
              <w:rPr>
                <w:sz w:val="16"/>
                <w:szCs w:val="16"/>
                <w:color w:val="auto"/>
              </w:rPr>
            </w:pP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29.32</w:t>
            </w:r>
          </w:p>
        </w:tc>
        <w:tc>
          <w:tcPr>
            <w:tcW w:w="13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8.64</w:t>
            </w:r>
          </w:p>
        </w:tc>
        <w:tc>
          <w:tcPr>
            <w:tcW w:w="2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253,798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currently outstanding and exercisable options as of December 31, 2021, is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Options Outstanding</w:t>
            </w:r>
          </w:p>
        </w:tc>
        <w:tc>
          <w:tcPr>
            <w:tcW w:w="8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 Avg</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4"/>
              </w:rPr>
              <w:t>Weighted Avg</w:t>
            </w: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r>
      <w:tr>
        <w:trPr>
          <w:trHeight w:val="209"/>
        </w:trPr>
        <w:tc>
          <w:tcPr>
            <w:tcW w:w="3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$2.848 to $10.00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976,833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5"/>
        </w:trPr>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$10.01 to $30.00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69,375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7.31</w:t>
            </w:r>
          </w:p>
        </w:tc>
      </w:tr>
      <w:tr>
        <w:trPr>
          <w:trHeight w:val="215"/>
        </w:trPr>
        <w:tc>
          <w:tcPr>
            <w:tcW w:w="3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$30.01 to $50.00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5"/>
        </w:trPr>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$50.01 to $70.00</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44,365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44,365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3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$70.01 to $327.20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101,567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09"/>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1,273,879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307,215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6.27</w:t>
            </w: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stock options vested during the years ended December 31, 2021, and 2020, was $2.0 million and $3.7 million,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3"/>
          </w:tcPr>
          <w:p>
            <w:pPr>
              <w:spacing w:after="0"/>
              <w:rPr>
                <w:sz w:val="20"/>
                <w:szCs w:val="20"/>
                <w:color w:val="auto"/>
              </w:rPr>
            </w:pPr>
            <w:r>
              <w:rPr>
                <w:rFonts w:ascii="Arial" w:cs="Arial" w:eastAsia="Arial" w:hAnsi="Arial"/>
                <w:sz w:val="18"/>
                <w:szCs w:val="18"/>
                <w:color w:val="auto"/>
              </w:rPr>
              <w:t>Unvested stock options as of December 31, 2021, and 2020, were as follows: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7"/>
              </w:rPr>
              <w:t>Number of Unvested Shares</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Exercise Price</w:t>
            </w:r>
          </w:p>
        </w:tc>
        <w:tc>
          <w:tcPr>
            <w:tcW w:w="80" w:type="dxa"/>
            <w:vAlign w:val="bottom"/>
            <w:vMerge w:val="restart"/>
          </w:tcPr>
          <w:p>
            <w:pPr>
              <w:spacing w:after="0"/>
              <w:rPr>
                <w:sz w:val="18"/>
                <w:szCs w:val="18"/>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$2.848 to $10.00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82,247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$10.01 to $30.00</w:t>
            </w: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$30.01 to $50.00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54,300</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$50.01 to $70.00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9,429</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$70.01 to $327.20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Total number of unvested stock options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966,664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164,651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As of December 31, 2021, there was $5.8 million of total unrecognized compensation cost related to unvested share-based compensation arrangements granted under the 2014 Plan and A&amp;R 2014 Plan. That compensation cost is expected to be recognized over a weighted-average period of 3.17 years.</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There was $0.4 million and $0.3 million of stock-based compensation expense related to performance-based awards recognized during the years ended December 31,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carrying amounts of certain financial instruments, including cash and cash equivalents, restricted cash, long-term investments and accounts payable and accrued expenses, approximate their respective fair values due to the short-term nature of such instruments.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the Deerfield Convertible Note, December 2019 Notes and the January 2020 Note were $7.3 million, $56.2 million and $3.1 million, respectively, as of December 31, 2020. The Deerfield Convertible Note, December 2019 Notes and the January 2020 Note were all extinguished in the first quarter of 2021 and therefore had no value as of December 31, 2021. The Deerfield Convertible Note, December 2019 Notes and the January 2020 Note fell within Level 3 of the fair value hierarchy as their value was based on the credit worthiness of the Company, which was an unobservable input. The Company used a Tsiveriotis-Fernandes model to value the Deerfield Convertible Note, December 2019 Notes and the January 2020 Note as of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2021, and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3)</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Deerfield Warrant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Embedded Warrant Put Option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KVK Warrant liability</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1"/>
        </w:trPr>
        <w:tc>
          <w:tcPr>
            <w:tcW w:w="1120" w:type="dxa"/>
            <w:vAlign w:val="bottom"/>
          </w:tcPr>
          <w:p>
            <w:pPr>
              <w:spacing w:after="0"/>
              <w:rPr>
                <w:sz w:val="17"/>
                <w:szCs w:val="17"/>
                <w:color w:val="auto"/>
              </w:rPr>
            </w:pPr>
          </w:p>
        </w:tc>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U.S. government-sponsored agency</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15"/>
        </w:trPr>
        <w:tc>
          <w:tcPr>
            <w:tcW w:w="11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851"/>
        </w:trPr>
        <w:tc>
          <w:tcPr>
            <w:tcW w:w="11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(Level 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(Level 3)</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Deerfield Warrant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Embedded Warrant Put Option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Deerfield Note Conversion Feature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KVK Warrant liability</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21"/>
                <w:szCs w:val="21"/>
                <w:color w:val="auto"/>
              </w:rPr>
            </w:pPr>
          </w:p>
        </w:tc>
      </w:tr>
      <w:tr>
        <w:trPr>
          <w:trHeight w:val="371"/>
        </w:trPr>
        <w:tc>
          <w:tcPr>
            <w:tcW w:w="112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Deerfield Warrant liability, embedded Warrant Put Option and trading securities are, and the embedded Deerfield Note Put Option was, measured at fair value on a recurring basis. As of December 31, 2021, the Deerfield Warrant liability and embedded Warrant Put Option, and as of December 31, 2020, the Deerfield Warrant liability, embedded Warrant Put Option and the embedded Deerfield Note Conversion Feature were, reported on the balance sheets in derivative and warrant liability. As of December 31, 2021, the trading securities are reported on the balance sheets in long-term investments. The Company used a Monte Carlo simulation to value the Deerfield Warrant liability, embedded Warrant Put Option and the embedded Deerfield Note Conversion Feature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and changes in the fair value of the embedded Deerfield Note Put Option were (through December 31, 2020), reflected in the statements of operations for the years ended December 31, 2021, and 2020, as a fair value adjustment related to derivative and warrant liability.</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derivative liability for the Deerfield Warrant was $288,000 and $230,000 at December 31, 2021 and 2020, respectively. The derivative liability for the embedded Warrant Put Option was $18,000 and $25,000 at December 31, 2021 and 2020, respectively. The derivative liability for the Deerfield Note Conversion Feature had no value at December 31, 2020. A 10% increase in the enterprise value would result in an increase of $50,000 in the estimated fair value of the Deerfield Warrant liability and an increase of $3,000 in the estimated fair value of the embedded Warrant Put Option liability. In addition, the Company assumed a weighted-average probability of a liquidity event occurring of approximately 23% with an estimated probability-weighted value of approximately $55.0 million and a weighted-average probability of a fundamental change event occurring of approximately 34% with an estimated probability-weighted value of approximately $680 million, respectively, with estimated timing in each scenario of the first quarter of 2023.</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KVK Warrant liability is measured at fair value on a recurring basis. As of December 31, 2021, and 2020, the KVK Warrant liability is reported on the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statements of operations for the years ended December 31, 2021, and 2020, as a fair value adjustment related to derivative and warrant liability.</w:t>
      </w:r>
    </w:p>
    <w:p>
      <w:pPr>
        <w:spacing w:after="0" w:line="191"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38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Arial" w:cs="Arial" w:eastAsia="Arial" w:hAnsi="Arial"/>
                <w:sz w:val="18"/>
                <w:szCs w:val="18"/>
                <w:color w:val="auto"/>
              </w:rPr>
              <w:t>Adjustment to fair value</w:t>
            </w:r>
          </w:p>
        </w:tc>
        <w:tc>
          <w:tcPr>
            <w:tcW w:w="2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end of period</w:t>
            </w:r>
          </w:p>
        </w:tc>
        <w:tc>
          <w:tcPr>
            <w:tcW w:w="38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40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jc w:val="right"/>
              <w:ind w:right="1650"/>
              <w:spacing w:after="0"/>
              <w:rPr>
                <w:sz w:val="20"/>
                <w:szCs w:val="20"/>
                <w:color w:val="auto"/>
              </w:rPr>
            </w:pPr>
            <w:r>
              <w:rPr>
                <w:rFonts w:ascii="Arial" w:cs="Arial" w:eastAsia="Arial" w:hAnsi="Arial"/>
                <w:sz w:val="18"/>
                <w:szCs w:val="18"/>
                <w:color w:val="auto"/>
              </w:rPr>
              <w:t>188</w:t>
            </w: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financial statements include a total state tax expense of $34,000 and state tax benefit of $34,000 related to research and development credits on a loss before income taxes of approximately $8.5 million and $12.8 million for the years ended December 31, 2021, and 2020, respectively. A reconciliation of the difference between the (expense)/benefit for income taxes and income taxes at the statutory U.S. federal income tax rate is as follows (in thousands, except amounts pertaining to rate which are shown as a percentage):</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5540" w:type="dxa"/>
            <w:vAlign w:val="bottom"/>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15"/>
        </w:trPr>
        <w:tc>
          <w:tcPr>
            <w:tcW w:w="554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5"/>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15"/>
        </w:trPr>
        <w:tc>
          <w:tcPr>
            <w:tcW w:w="5540" w:type="dxa"/>
            <w:vAlign w:val="bottom"/>
          </w:tcPr>
          <w:p>
            <w:pPr>
              <w:ind w:left="340"/>
              <w:spacing w:after="0"/>
              <w:rPr>
                <w:sz w:val="20"/>
                <w:szCs w:val="20"/>
                <w:color w:val="auto"/>
              </w:rPr>
            </w:pPr>
            <w:r>
              <w:rPr>
                <w:rFonts w:ascii="Arial" w:cs="Arial" w:eastAsia="Arial" w:hAnsi="Arial"/>
                <w:sz w:val="18"/>
                <w:szCs w:val="18"/>
                <w:color w:val="auto"/>
              </w:rPr>
              <w:t>Return to provision and deferred true-up</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(0.26)</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0.11</w:t>
            </w:r>
          </w:p>
        </w:tc>
      </w:tr>
      <w:tr>
        <w:trPr>
          <w:trHeight w:val="215"/>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rate</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0.82</w:t>
            </w:r>
          </w:p>
        </w:tc>
      </w:tr>
      <w:tr>
        <w:trPr>
          <w:trHeight w:val="215"/>
        </w:trPr>
        <w:tc>
          <w:tcPr>
            <w:tcW w:w="5540" w:type="dxa"/>
            <w:vAlign w:val="bottom"/>
          </w:tcPr>
          <w:p>
            <w:pPr>
              <w:ind w:left="340"/>
              <w:spacing w:after="0"/>
              <w:rPr>
                <w:sz w:val="20"/>
                <w:szCs w:val="20"/>
                <w:color w:val="auto"/>
              </w:rPr>
            </w:pPr>
            <w:r>
              <w:rPr>
                <w:rFonts w:ascii="Arial" w:cs="Arial" w:eastAsia="Arial" w:hAnsi="Arial"/>
                <w:sz w:val="18"/>
                <w:szCs w:val="18"/>
                <w:color w:val="auto"/>
              </w:rPr>
              <w:t>State tax benefit (net of federal)</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3.51</w:t>
            </w:r>
          </w:p>
        </w:tc>
      </w:tr>
      <w:tr>
        <w:trPr>
          <w:trHeight w:val="215"/>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liability</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15"/>
        </w:trPr>
        <w:tc>
          <w:tcPr>
            <w:tcW w:w="55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15"/>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PPP Loan forgiveness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5540" w:type="dxa"/>
            <w:vAlign w:val="bottom"/>
          </w:tcPr>
          <w:p>
            <w:pPr>
              <w:ind w:left="3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4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 provision effective rate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jc w:val="right"/>
              <w:ind w:right="1470"/>
              <w:spacing w:after="0"/>
              <w:rPr>
                <w:sz w:val="20"/>
                <w:szCs w:val="20"/>
                <w:color w:val="auto"/>
              </w:rPr>
            </w:pPr>
            <w:r>
              <w:rPr>
                <w:rFonts w:ascii="Arial" w:cs="Arial" w:eastAsia="Arial" w:hAnsi="Arial"/>
                <w:sz w:val="18"/>
                <w:szCs w:val="18"/>
                <w:color w:val="auto"/>
                <w:w w:val="89"/>
              </w:rPr>
              <w:t>The components of deferred tax assets and liabilities are as follows (in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1"/>
        </w:trPr>
        <w:tc>
          <w:tcPr>
            <w:tcW w:w="11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relating to:</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60,977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59,050</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tax carryforward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4,219</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liability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deferred tax assets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380" w:type="dxa"/>
            <w:vAlign w:val="bottom"/>
          </w:tcPr>
          <w:p>
            <w:pPr>
              <w:ind w:left="660"/>
              <w:spacing w:after="0"/>
              <w:rPr>
                <w:sz w:val="20"/>
                <w:szCs w:val="20"/>
                <w:color w:val="auto"/>
              </w:rPr>
            </w:pPr>
            <w:r>
              <w:rPr>
                <w:rFonts w:ascii="Arial" w:cs="Arial" w:eastAsia="Arial" w:hAnsi="Arial"/>
                <w:sz w:val="18"/>
                <w:szCs w:val="18"/>
                <w:color w:val="auto"/>
              </w:rPr>
              <w:t>Total gross deferred tax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70,568</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relating to:</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deferred tax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380" w:type="dxa"/>
            <w:vAlign w:val="bottom"/>
          </w:tcPr>
          <w:p>
            <w:pPr>
              <w:ind w:left="660"/>
              <w:spacing w:after="0"/>
              <w:rPr>
                <w:sz w:val="20"/>
                <w:szCs w:val="20"/>
                <w:color w:val="auto"/>
              </w:rPr>
            </w:pPr>
            <w:r>
              <w:rPr>
                <w:rFonts w:ascii="Arial" w:cs="Arial" w:eastAsia="Arial" w:hAnsi="Arial"/>
                <w:sz w:val="18"/>
                <w:szCs w:val="18"/>
                <w:color w:val="auto"/>
              </w:rPr>
              <w:t>Total gross deferred tax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less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70,092</w:t>
            </w:r>
          </w:p>
        </w:tc>
        <w:tc>
          <w:tcPr>
            <w:tcW w:w="114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(70,092)</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412"/>
        </w:trPr>
        <w:tc>
          <w:tcPr>
            <w:tcW w:w="7500" w:type="dxa"/>
            <w:vAlign w:val="bottom"/>
            <w:gridSpan w:val="2"/>
          </w:tcPr>
          <w:p>
            <w:pPr>
              <w:jc w:val="right"/>
              <w:ind w:right="1650"/>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6" w:right="3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the Company will not realize the benefits of these deductible differences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the following federal net operating loss carryforward and research activities credits as of December 31, 2021 (in thousands):</w:t>
      </w: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Net Operating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Research</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Incurred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 CF</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Activities Cr.</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Expiration</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2028</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2030</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2032</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2034</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2036</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2,271</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1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1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09"/>
        </w:trPr>
        <w:tc>
          <w:tcPr>
            <w:tcW w:w="49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233,279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6,411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also has certain state net operating loss carryforwards totaling $219.0 million, $142.4 million of which, if not utilized, will begin to expire in 2027 and $76.6 million of which have no expiration date. Due to potential ownership changes that may have occurred or would occur in the future, Internal Revenue Code Section 382 may place additional limitations on the Company’s ability to utilize the net operating loss carryforward.</w:t>
      </w:r>
    </w:p>
    <w:p>
      <w:pPr>
        <w:spacing w:after="0" w:line="16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 xml:space="preserve">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uses the term “more likely than not” to evaluate whether or not a tax position will be sustained upon examination. The Company has not identified any tax positions that do not meet the more likely than not threshold.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March 27, 2020, the CARES Act was enacted into law in response to the COVID-19 pandemic. The Company has evaluated the various income and payroll tax provisions and expects little or no impact to income tax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two-class method, for periods with net income, basic net income per share of common stock is computed by dividing the net income attributable to shares of common stock by the weighted average number of shares of common stock outstanding during the period. Net income attributable to shares of common stock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(loss) per share of common stock is computed under the two-class method by using the weighted average number of shares of common stock outstanding plus the potential dilutive effects of stock options and warrants. In addition, the Company analyzes the potential dilutive effect of the outstanding convertible securities under the if-converted method when calculating diluted income (loss) per share of common stock in which it is assumed that the outstanding convertible securities convert into common stock at the beginning of the period or date of issuance, if the convertible security was issued during the period. The Company reports the more dilutive of the approaches (two-class or if-converted) as its diluted net income (loss) per share of common stock during the period.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Deerfield Convertible Note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Conversion of January 2020 Note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34,615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December 2019 Notes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Outstanding awards under equity incentive plans</w:t>
            </w:r>
          </w:p>
        </w:tc>
        <w:tc>
          <w:tcPr>
            <w:tcW w:w="1280" w:type="dxa"/>
            <w:vAlign w:val="bottom"/>
          </w:tcPr>
          <w:p>
            <w:pPr>
              <w:jc w:val="right"/>
              <w:spacing w:after="0"/>
              <w:rPr>
                <w:sz w:val="20"/>
                <w:szCs w:val="20"/>
                <w:color w:val="auto"/>
              </w:rPr>
            </w:pPr>
            <w:r>
              <w:rPr>
                <w:rFonts w:ascii="Arial" w:cs="Arial" w:eastAsia="Arial" w:hAnsi="Arial"/>
                <w:sz w:val="18"/>
                <w:szCs w:val="18"/>
                <w:color w:val="auto"/>
              </w:rPr>
              <w:t>1,273,879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355,785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common stock warrants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4,221,350</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6380" w:type="dxa"/>
            <w:vAlign w:val="bottom"/>
          </w:tcPr>
          <w:p>
            <w:pPr>
              <w:ind w:left="20"/>
              <w:spacing w:after="0" w:line="195" w:lineRule="exact"/>
              <w:rPr>
                <w:sz w:val="20"/>
                <w:szCs w:val="20"/>
                <w:color w:val="auto"/>
              </w:rPr>
            </w:pPr>
            <w:r>
              <w:rPr>
                <w:rFonts w:ascii="Arial" w:cs="Arial" w:eastAsia="Arial" w:hAnsi="Arial"/>
                <w:sz w:val="18"/>
                <w:szCs w:val="18"/>
                <w:color w:val="auto"/>
                <w:w w:val="91"/>
              </w:rPr>
              <w:t>Total securities excluded from the calculation of weighted average number of shares of</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5,495,229</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1,248,690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6380" w:type="dxa"/>
            <w:vAlign w:val="bottom"/>
          </w:tcPr>
          <w:p>
            <w:pPr>
              <w:ind w:left="20"/>
              <w:spacing w:after="0" w:line="189" w:lineRule="exact"/>
              <w:rPr>
                <w:sz w:val="20"/>
                <w:szCs w:val="20"/>
                <w:color w:val="auto"/>
              </w:rPr>
            </w:pPr>
            <w:r>
              <w:rPr>
                <w:rFonts w:ascii="Arial" w:cs="Arial" w:eastAsia="Arial" w:hAnsi="Arial"/>
                <w:sz w:val="18"/>
                <w:szCs w:val="18"/>
                <w:color w:val="auto"/>
              </w:rPr>
              <w:t>common stock outstanding</w:t>
            </w:r>
          </w:p>
        </w:tc>
        <w:tc>
          <w:tcPr>
            <w:tcW w:w="128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80" w:type="dxa"/>
            <w:vAlign w:val="bottom"/>
            <w:vMerge w:val="restart"/>
          </w:tcPr>
          <w:p>
            <w:pPr>
              <w:ind w:left="4360"/>
              <w:spacing w:after="0"/>
              <w:rPr>
                <w:sz w:val="20"/>
                <w:szCs w:val="20"/>
                <w:color w:val="auto"/>
              </w:rPr>
            </w:pPr>
            <w:r>
              <w:rPr>
                <w:rFonts w:ascii="Arial" w:cs="Arial" w:eastAsia="Arial" w:hAnsi="Arial"/>
                <w:sz w:val="18"/>
                <w:szCs w:val="18"/>
                <w:color w:val="auto"/>
              </w:rPr>
              <w:t>191</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A reconciliation from net loss to basic net loss attributable to common stockholders per share of common stock and diluted net loss attributable to common stockholders per share of common stock for the years ended December 31, 2021, and 2020,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7"/>
              </w:rPr>
              <w:t>December 31,</w:t>
            </w:r>
          </w:p>
        </w:tc>
        <w:tc>
          <w:tcPr>
            <w:tcW w:w="10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share of common stock:</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Less: Dividends declared or accumulated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(54,342)</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(62,897)</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Less: Net loss attributable to participating securities</w:t>
            </w: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3"/>
              </w:rPr>
              <w:t>Undistributed net loss attributable to shares of common stockholders,</w:t>
            </w:r>
          </w:p>
        </w:tc>
        <w:tc>
          <w:tcPr>
            <w:tcW w:w="9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(62,897)</w:t>
            </w:r>
          </w:p>
        </w:tc>
        <w:tc>
          <w:tcPr>
            <w:tcW w:w="6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(12,760)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9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6"/>
              </w:rPr>
              <w:t>Weighted average number of shares of common stock outstanding, basic</w:t>
            </w:r>
          </w:p>
        </w:tc>
        <w:tc>
          <w:tcPr>
            <w:tcW w:w="9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89"/>
              </w:rPr>
              <w:t>Basic net loss attributable to common stockholders per share of common</w:t>
            </w:r>
          </w:p>
        </w:tc>
        <w:tc>
          <w:tcPr>
            <w:tcW w:w="9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6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20" w:type="dxa"/>
            <w:vAlign w:val="bottom"/>
          </w:tcPr>
          <w:p>
            <w:pPr>
              <w:spacing w:after="0"/>
              <w:rPr>
                <w:sz w:val="20"/>
                <w:szCs w:val="20"/>
                <w:color w:val="auto"/>
              </w:rPr>
            </w:pPr>
          </w:p>
        </w:tc>
        <w:tc>
          <w:tcPr>
            <w:tcW w:w="56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stock</w:t>
            </w:r>
          </w:p>
        </w:tc>
        <w:tc>
          <w:tcPr>
            <w:tcW w:w="9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8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per share of common stock:</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net loss attributable to common stockholders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(62,897)</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Less: Fair value adjustment income related to KVK Warrant liability</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Undistributed net loss attributable to common stockholders, diluted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(62,923)</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6"/>
              </w:rPr>
              <w:t>Weighted average number of shares of common stock outstanding, basic</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29,766</w:t>
            </w: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KVK Warrant</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56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7"/>
              </w:rPr>
              <w:t>Weighted-average number of shares of common stock outstanding,</w:t>
            </w:r>
          </w:p>
        </w:tc>
        <w:tc>
          <w:tcPr>
            <w:tcW w:w="9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29,766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3,981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56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2"/>
              </w:rPr>
              <w:t>Diluted loss attributable to common stockholders per share of common</w:t>
            </w:r>
          </w:p>
        </w:tc>
        <w:tc>
          <w:tcPr>
            <w:tcW w:w="98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6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20" w:type="dxa"/>
            <w:vAlign w:val="bottom"/>
          </w:tcPr>
          <w:p>
            <w:pPr>
              <w:spacing w:after="0"/>
              <w:rPr>
                <w:sz w:val="20"/>
                <w:szCs w:val="20"/>
                <w:color w:val="auto"/>
              </w:rPr>
            </w:pPr>
          </w:p>
        </w:tc>
        <w:tc>
          <w:tcPr>
            <w:tcW w:w="56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stock</w:t>
            </w:r>
          </w:p>
        </w:tc>
        <w:tc>
          <w:tcPr>
            <w:tcW w:w="9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5680" w:type="dxa"/>
            <w:vAlign w:val="bottom"/>
            <w:tcBorders>
              <w:top w:val="single" w:sz="8" w:color="CCEEFF"/>
            </w:tcBorders>
          </w:tcPr>
          <w:p>
            <w:pPr>
              <w:ind w:left="4360"/>
              <w:spacing w:after="0"/>
              <w:rPr>
                <w:sz w:val="20"/>
                <w:szCs w:val="20"/>
                <w:color w:val="auto"/>
              </w:rPr>
            </w:pPr>
            <w:r>
              <w:rPr>
                <w:rFonts w:ascii="Arial" w:cs="Arial" w:eastAsia="Arial" w:hAnsi="Arial"/>
                <w:sz w:val="18"/>
                <w:szCs w:val="18"/>
                <w:color w:val="auto"/>
              </w:rPr>
              <w:t>192</w:t>
            </w: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700" w:hanging="692"/>
        <w:spacing w:after="0"/>
        <w:tabs>
          <w:tab w:leader="none" w:pos="7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Expense</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2020, the Company eliminated the chief business officer role. In connection with the elimination, the chief business officer was entitled to severance benefits as documented in his Amended and Restated Employment Agreement entered into in June 2015. The severance benefits consisted of personnel and other related charges of approximately $0.4 million and stock compensation expense of approximately $0.4 million related to the acceleration of vesting on unvested shares subject to certain stock options. These severance benefits are presented as severance expense in the statements of operations for the year ended December 31, 2020. As of December 31, 2020, the Company had accrued severance expense recorded within accounts payable and accrued expenses in the amount of $0.1 million. For the year ended December 31, 2021, there was no severance expense. As of December 31, 2021, there was no accrued severance expense.</w:t>
      </w:r>
    </w:p>
    <w:p>
      <w:pPr>
        <w:spacing w:after="0" w:line="200" w:lineRule="exact"/>
        <w:rPr>
          <w:sz w:val="20"/>
          <w:szCs w:val="20"/>
          <w:color w:val="auto"/>
        </w:rPr>
      </w:pPr>
    </w:p>
    <w:p>
      <w:pPr>
        <w:spacing w:after="0" w:line="217" w:lineRule="exact"/>
        <w:rPr>
          <w:sz w:val="20"/>
          <w:szCs w:val="20"/>
          <w:color w:val="auto"/>
        </w:rPr>
      </w:pPr>
    </w:p>
    <w:p>
      <w:pPr>
        <w:ind w:left="700" w:hanging="692"/>
        <w:spacing w:after="0"/>
        <w:tabs>
          <w:tab w:leader="none" w:pos="7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$164,000 and $145,000 for the years ended December 31, 2021, and 2020, respectively.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discretionary profit sharing plan (the “Profit Sharing Plan”) that covers all employees. Employees become eligible participants in the Profit Sharing Plan once they have provided three years of service to the Company. The Company made no contributions to the Profit Sharing Plan in 2021 or 2020.</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the Company filed an amendment to the registration statement on Form S-1 (File No. 333-250945) on Form S-3 covering the issuance of the shares of the Company's common stock issuable upon the exercise of the warrants issued in the Public Offering and remaining unexercised as of the date of the amendment, which was declared effective on February 1, 2022.</w:t>
      </w:r>
    </w:p>
    <w:p>
      <w:pPr>
        <w:spacing w:after="0" w:line="182"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From January 1, 2022, through March 29, 2022, the Company repurchased 589,792 shares of its common stock for approximately $4.7 million under the Share Repurchase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Exhibit No.</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4"/>
                <w:szCs w:val="14"/>
                <w:color w:val="auto"/>
              </w:rPr>
            </w:pPr>
          </w:p>
        </w:tc>
        <w:tc>
          <w:tcPr>
            <w:tcW w:w="10060" w:type="dxa"/>
            <w:vAlign w:val="bottom"/>
            <w:tcBorders>
              <w:bottom w:val="single" w:sz="8" w:color="0000EE"/>
            </w:tcBorders>
            <w:gridSpan w:val="20"/>
          </w:tcPr>
          <w:p>
            <w:pPr>
              <w:spacing w:after="0" w:line="169"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Amended and Restated Certificate of Incorporation of KemPharm, Inc. (incorporated herein by reference to the Registrant’s Current Report</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5"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on Form 8-K as filed with the SEC on April 21, 2015).</w:t>
              </w:r>
            </w:hyperlink>
          </w:p>
        </w:tc>
        <w:tc>
          <w:tcPr>
            <w:tcW w:w="6140" w:type="dxa"/>
            <w:vAlign w:val="bottom"/>
            <w:gridSpan w:val="9"/>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5"/>
              </w:rPr>
            </w:pPr>
            <w:hyperlink r:id="rId218">
              <w:r>
                <w:rPr>
                  <w:rFonts w:ascii="Arial" w:cs="Arial" w:eastAsia="Arial" w:hAnsi="Arial"/>
                  <w:sz w:val="18"/>
                  <w:szCs w:val="18"/>
                  <w:color w:val="0000EE"/>
                  <w:w w:val="95"/>
                </w:rPr>
                <w:t>Certificate of Amendment of Amended and Restated Certificate of Incorporation of the Company, effective as of December 23, 2020</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40" w:type="dxa"/>
            <w:vAlign w:val="bottom"/>
            <w:gridSpan w:val="2"/>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3.1.2</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Certificate of Elimination of Series A Convertible Preferred Stock of KemPharm, Inc. (incorporated herein by reference to the Registrant's</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Current Report on Form 8-K as filed with the SEC on June 23, 2021).</w:t>
              </w:r>
            </w:hyperlink>
          </w:p>
        </w:tc>
        <w:tc>
          <w:tcPr>
            <w:tcW w:w="5060" w:type="dxa"/>
            <w:vAlign w:val="bottom"/>
            <w:gridSpan w:val="7"/>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3.1.3</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Certificate of Elimination of Series B-1 Convertible Preferred Stock of KemPharm, Inc. (incorporated herein by reference to the</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20">
              <w:r>
                <w:rPr>
                  <w:rFonts w:ascii="Arial" w:cs="Arial" w:eastAsia="Arial" w:hAnsi="Arial"/>
                  <w:sz w:val="18"/>
                  <w:szCs w:val="18"/>
                  <w:color w:val="0000EE"/>
                </w:rPr>
                <w:t>Registrant's Current Report on 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3.1.4</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9"/>
              </w:rPr>
            </w:pPr>
            <w:hyperlink r:id="rId221">
              <w:r>
                <w:rPr>
                  <w:rFonts w:ascii="Arial" w:cs="Arial" w:eastAsia="Arial" w:hAnsi="Arial"/>
                  <w:sz w:val="18"/>
                  <w:szCs w:val="18"/>
                  <w:color w:val="0000EE"/>
                  <w:w w:val="99"/>
                </w:rPr>
                <w:t>Certificate of Elimination of Series B-2 Convertible Preferred Stock of KemPharm, Inc. (incorporated herein by reference to the</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21">
              <w:r>
                <w:rPr>
                  <w:rFonts w:ascii="Arial" w:cs="Arial" w:eastAsia="Arial" w:hAnsi="Arial"/>
                  <w:sz w:val="18"/>
                  <w:szCs w:val="18"/>
                  <w:color w:val="0000EE"/>
                </w:rPr>
                <w:t>Registrant's Current Report on 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r:id="rId222">
              <w:r>
                <w:rPr>
                  <w:rFonts w:ascii="Arial" w:cs="Arial" w:eastAsia="Arial" w:hAnsi="Arial"/>
                  <w:sz w:val="18"/>
                  <w:szCs w:val="18"/>
                  <w:color w:val="0000EE"/>
                  <w:w w:val="94"/>
                </w:rPr>
                <w:t>Amended and Restated Bylaws, as currently in effect, of KemPharm, Inc. (incorporated herein by reference to the Registrant’s Current</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bottom w:val="single" w:sz="8" w:color="0000EE"/>
            </w:tcBorders>
            <w:gridSpan w:val="12"/>
          </w:tcPr>
          <w:p>
            <w:pPr>
              <w:spacing w:after="0" w:line="195"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Report on Form 8-K as filed with the SEC on July 17, 2020).</w:t>
              </w:r>
            </w:hyperlink>
          </w:p>
        </w:tc>
        <w:tc>
          <w:tcPr>
            <w:tcW w:w="5680" w:type="dxa"/>
            <w:vAlign w:val="bottom"/>
            <w:gridSpan w:val="8"/>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Specimen stock certificate evidencing shares of Common Stock (incorporated herein by reference to the Registrant's Annual Report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5"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Form 10-K as filed with the SEC on March 12, 2021).</w:t>
              </w:r>
            </w:hyperlink>
          </w:p>
        </w:tc>
        <w:tc>
          <w:tcPr>
            <w:tcW w:w="6180" w:type="dxa"/>
            <w:vAlign w:val="bottom"/>
            <w:gridSpan w:val="10"/>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Form of Common Stock Purchase Warrant and schedule of holders (incorporated herein by reference to the Registrant's Current Report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5"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Form 8-K as filed with the SEC on January 13, 2021).</w:t>
              </w:r>
            </w:hyperlink>
          </w:p>
        </w:tc>
        <w:tc>
          <w:tcPr>
            <w:tcW w:w="6180" w:type="dxa"/>
            <w:vAlign w:val="bottom"/>
            <w:gridSpan w:val="10"/>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25">
              <w:r>
                <w:rPr>
                  <w:rFonts w:ascii="Arial" w:cs="Arial" w:eastAsia="Arial" w:hAnsi="Arial"/>
                  <w:sz w:val="18"/>
                  <w:szCs w:val="18"/>
                  <w:color w:val="0000EE"/>
                  <w:w w:val="93"/>
                </w:rPr>
                <w:t>Form of Inducement Warrant (incorporated herein by reference to the Registrant's Current Report on Form 8-K as filed with the SEC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25">
              <w:r>
                <w:rPr>
                  <w:rFonts w:ascii="Arial" w:cs="Arial" w:eastAsia="Arial" w:hAnsi="Arial"/>
                  <w:sz w:val="18"/>
                  <w:szCs w:val="18"/>
                  <w:color w:val="0000EE"/>
                </w:rPr>
                <w:t>January 26, 2021).</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26">
              <w:r>
                <w:rPr>
                  <w:rFonts w:ascii="Arial" w:cs="Arial" w:eastAsia="Arial" w:hAnsi="Arial"/>
                  <w:sz w:val="18"/>
                  <w:szCs w:val="18"/>
                  <w:color w:val="0000EE"/>
                  <w:w w:val="93"/>
                </w:rPr>
                <w:t>Form of Inducement Warrant (incorporated herein by reference to the Registrant's Current Report on Form 8-K as filed with the SEC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5" w:lineRule="exact"/>
              <w:rPr>
                <w:rFonts w:ascii="Arial" w:cs="Arial" w:eastAsia="Arial" w:hAnsi="Arial"/>
                <w:sz w:val="18"/>
                <w:szCs w:val="18"/>
                <w:color w:val="0000EE"/>
                <w:w w:val="86"/>
              </w:rPr>
            </w:pPr>
            <w:hyperlink r:id="rId226">
              <w:r>
                <w:rPr>
                  <w:rFonts w:ascii="Arial" w:cs="Arial" w:eastAsia="Arial" w:hAnsi="Arial"/>
                  <w:sz w:val="18"/>
                  <w:szCs w:val="18"/>
                  <w:color w:val="0000EE"/>
                  <w:w w:val="86"/>
                </w:rPr>
                <w:t>June 23, 2021).</w:t>
              </w:r>
            </w:hyperlink>
          </w:p>
        </w:tc>
        <w:tc>
          <w:tcPr>
            <w:tcW w:w="8960" w:type="dxa"/>
            <w:vAlign w:val="bottom"/>
            <w:gridSpan w:val="17"/>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4.5*</w:t>
            </w: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w:anchor="page201">
              <w:r>
                <w:rPr>
                  <w:rFonts w:ascii="Arial" w:cs="Arial" w:eastAsia="Arial" w:hAnsi="Arial"/>
                  <w:sz w:val="18"/>
                  <w:szCs w:val="18"/>
                  <w:color w:val="0000EE"/>
                </w:rPr>
                <w:t>Description of the Registrant’s Securities Registered Pursuant to Section 12 of the Securities Exchange Act of 1934.</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4"/>
                <w:szCs w:val="14"/>
                <w:color w:val="auto"/>
              </w:rPr>
              <w:t>10.1</w:t>
            </w:r>
            <w:r>
              <w:rPr>
                <w:rFonts w:ascii="Arial" w:cs="Arial" w:eastAsia="Arial" w:hAnsi="Arial"/>
                <w:sz w:val="22"/>
                <w:szCs w:val="22"/>
                <w:color w:val="auto"/>
                <w:vertAlign w:val="superscript"/>
              </w:rPr>
              <w:t>+</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Material Supply Agreement, by and between the Registrant and Johnson Matthey, Inc., dated as of November 2, 2009 (incorporated by</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reference Registrant’s Amendment No. 1 to Registration Statement on Form S-1/A (File No. 333-202660) as filed with the SEC on April</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r:id="rId227">
              <w:r>
                <w:rPr>
                  <w:rFonts w:ascii="Arial" w:cs="Arial" w:eastAsia="Arial" w:hAnsi="Arial"/>
                  <w:sz w:val="18"/>
                  <w:szCs w:val="18"/>
                  <w:color w:val="0000EE"/>
                  <w:w w:val="84"/>
                </w:rPr>
                <w:t>3, 2015).</w:t>
              </w:r>
            </w:hyperlink>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Payoff letter, dated as of February 8, 2021, by and among the Company and the lenders named therein (incorporated herein by reference to</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8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the Registrant's Current Report on Form 8-K as filed with the SEC on February 9, 2021).</w:t>
              </w:r>
            </w:hyperlink>
          </w:p>
        </w:tc>
        <w:tc>
          <w:tcPr>
            <w:tcW w:w="3680" w:type="dxa"/>
            <w:vAlign w:val="bottom"/>
            <w:gridSpan w:val="4"/>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2"/>
              </w:rPr>
            </w:pPr>
            <w:hyperlink r:id="rId229">
              <w:r>
                <w:rPr>
                  <w:rFonts w:ascii="Arial" w:cs="Arial" w:eastAsia="Arial" w:hAnsi="Arial"/>
                  <w:sz w:val="18"/>
                  <w:szCs w:val="18"/>
                  <w:color w:val="0000EE"/>
                  <w:w w:val="92"/>
                </w:rPr>
                <w:t>Second Amendment to Senior Secured Convertible Note and Warrant, by and between Registrant and Deerfield Private Design Fund III,</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L.P., dated January 6, 2016 (incorporated by reference to the Registrant’s Current Report on Form 8-K as filed with the SEC on January 11,</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tcPr>
          <w:p>
            <w:pPr>
              <w:spacing w:after="0" w:line="195" w:lineRule="exact"/>
              <w:rPr>
                <w:rFonts w:ascii="Arial" w:cs="Arial" w:eastAsia="Arial" w:hAnsi="Arial"/>
                <w:sz w:val="18"/>
                <w:szCs w:val="18"/>
                <w:color w:val="0000EE"/>
                <w:w w:val="82"/>
              </w:rPr>
            </w:pPr>
            <w:hyperlink r:id="rId229">
              <w:r>
                <w:rPr>
                  <w:rFonts w:ascii="Arial" w:cs="Arial" w:eastAsia="Arial" w:hAnsi="Arial"/>
                  <w:sz w:val="18"/>
                  <w:szCs w:val="18"/>
                  <w:color w:val="0000EE"/>
                  <w:w w:val="82"/>
                </w:rPr>
                <w:t>2016).</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10.3.1</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Fourth Amendment to Senior Secured Convertible Note and Warrant, effective as of October 3, 2016, by and between KemPharm, Inc. and</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Deerfield Private Design Fund III, L.P. (incorporated herein by reference to the Registrant's Current Report on Form 8-K as filed with the</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8"/>
              </w:rPr>
            </w:pPr>
            <w:hyperlink r:id="rId230">
              <w:r>
                <w:rPr>
                  <w:rFonts w:ascii="Arial" w:cs="Arial" w:eastAsia="Arial" w:hAnsi="Arial"/>
                  <w:sz w:val="18"/>
                  <w:szCs w:val="18"/>
                  <w:color w:val="0000EE"/>
                  <w:w w:val="88"/>
                </w:rPr>
                <w:t>SEC on October 3, 2016).</w:t>
              </w:r>
            </w:hyperlink>
          </w:p>
        </w:tc>
        <w:tc>
          <w:tcPr>
            <w:tcW w:w="81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10.3.2</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Amendment to Convertible Note and Warrant Agreement, dated November 20, 2018, between the Company and Deerfield Private Design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r:id="rId231">
              <w:r>
                <w:rPr>
                  <w:rFonts w:ascii="Arial" w:cs="Arial" w:eastAsia="Arial" w:hAnsi="Arial"/>
                  <w:sz w:val="18"/>
                  <w:szCs w:val="18"/>
                  <w:color w:val="0000EE"/>
                  <w:w w:val="94"/>
                </w:rPr>
                <w:t>Fund III, L.P. (as incorporated herein by reference to the Company's Current Report on Form 8-K filed with the SEC on November 20,</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tcPr>
          <w:p>
            <w:pPr>
              <w:spacing w:after="0" w:line="195" w:lineRule="exact"/>
              <w:rPr>
                <w:rFonts w:ascii="Arial" w:cs="Arial" w:eastAsia="Arial" w:hAnsi="Arial"/>
                <w:sz w:val="18"/>
                <w:szCs w:val="18"/>
                <w:color w:val="0000EE"/>
                <w:w w:val="82"/>
              </w:rPr>
            </w:pPr>
            <w:hyperlink r:id="rId231">
              <w:r>
                <w:rPr>
                  <w:rFonts w:ascii="Arial" w:cs="Arial" w:eastAsia="Arial" w:hAnsi="Arial"/>
                  <w:sz w:val="18"/>
                  <w:szCs w:val="18"/>
                  <w:color w:val="0000EE"/>
                  <w:w w:val="82"/>
                </w:rPr>
                <w:t>2018).</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10.3.3</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6"/>
              </w:rPr>
            </w:pPr>
            <w:hyperlink r:id="rId232">
              <w:r>
                <w:rPr>
                  <w:rFonts w:ascii="Arial" w:cs="Arial" w:eastAsia="Arial" w:hAnsi="Arial"/>
                  <w:sz w:val="18"/>
                  <w:szCs w:val="18"/>
                  <w:color w:val="0000EE"/>
                  <w:w w:val="96"/>
                </w:rPr>
                <w:t>Seventh Amendment to Senior Secured Convertible Note and Sixth Amendment to Warrant, dated February 28, 2019, between the</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Company and Deerfield Private Design Fund III, L.P. (incorporated herein by reference to the Registrant's Annual Report on Form 10-K as</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32">
              <w:r>
                <w:rPr>
                  <w:rFonts w:ascii="Arial" w:cs="Arial" w:eastAsia="Arial" w:hAnsi="Arial"/>
                  <w:sz w:val="18"/>
                  <w:szCs w:val="18"/>
                  <w:color w:val="0000EE"/>
                </w:rPr>
                <w:t>filed with the SEC on March 1, 2019).</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10.3.4</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89"/>
              </w:rPr>
            </w:pPr>
            <w:hyperlink r:id="rId233">
              <w:r>
                <w:rPr>
                  <w:rFonts w:ascii="Arial" w:cs="Arial" w:eastAsia="Arial" w:hAnsi="Arial"/>
                  <w:sz w:val="18"/>
                  <w:szCs w:val="18"/>
                  <w:color w:val="0000EE"/>
                  <w:w w:val="89"/>
                </w:rPr>
                <w:t>Amendment to Senior Secured Convertible Notes and Amendment to Warrant, dated as of February 17, 2020, by and among Registrant and</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33">
              <w:r>
                <w:rPr>
                  <w:rFonts w:ascii="Arial" w:cs="Arial" w:eastAsia="Arial" w:hAnsi="Arial"/>
                  <w:sz w:val="18"/>
                  <w:szCs w:val="18"/>
                  <w:color w:val="0000EE"/>
                  <w:w w:val="93"/>
                </w:rPr>
                <w:t>the noteholders party thereto (incorporated herein by reference to the Registrant’s Current Report on Form 8-K as filed with the SEC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33">
              <w:r>
                <w:rPr>
                  <w:rFonts w:ascii="Arial" w:cs="Arial" w:eastAsia="Arial" w:hAnsi="Arial"/>
                  <w:sz w:val="18"/>
                  <w:szCs w:val="18"/>
                  <w:color w:val="0000EE"/>
                </w:rPr>
                <w:t>February 18, 2020)</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10.3.5</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Amendment to Senior Secured Convertible Notes and Amendment to Warrant, dated as of January 12, 2021, by and among the Company,</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r:id="rId234">
              <w:r>
                <w:rPr>
                  <w:rFonts w:ascii="Arial" w:cs="Arial" w:eastAsia="Arial" w:hAnsi="Arial"/>
                  <w:sz w:val="18"/>
                  <w:szCs w:val="18"/>
                  <w:color w:val="0000EE"/>
                  <w:w w:val="94"/>
                </w:rPr>
                <w:t>Deerfield Private Design Fund III, L.P. and Deerfield Special Situations Fund, L.P.(incorporated herein by reference to the Registrant's</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34">
              <w:r>
                <w:rPr>
                  <w:rFonts w:ascii="Arial" w:cs="Arial" w:eastAsia="Arial" w:hAnsi="Arial"/>
                  <w:sz w:val="18"/>
                  <w:szCs w:val="18"/>
                  <w:color w:val="0000EE"/>
                </w:rPr>
                <w:t>Current Report on Form 8-K as filed with the SEC on January 13, 2021)</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10.4</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6"/>
              </w:rPr>
            </w:pPr>
            <w:hyperlink r:id="rId235">
              <w:r>
                <w:rPr>
                  <w:rFonts w:ascii="Arial" w:cs="Arial" w:eastAsia="Arial" w:hAnsi="Arial"/>
                  <w:sz w:val="18"/>
                  <w:szCs w:val="18"/>
                  <w:color w:val="0000EE"/>
                  <w:w w:val="96"/>
                </w:rPr>
                <w:t>Warrant to Purchase Shares of Series D Preferred Stock issued to Deerfield Private Design Fund III, L.P., dated as of June 2, 2014</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(incorporated herein by reference to the Registrant’s Registration Statement on Form S-1 (File No. 333-202660) as filed with the SEC on</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r:id="rId235">
              <w:r>
                <w:rPr>
                  <w:rFonts w:ascii="Arial" w:cs="Arial" w:eastAsia="Arial" w:hAnsi="Arial"/>
                  <w:sz w:val="18"/>
                  <w:szCs w:val="18"/>
                  <w:color w:val="0000EE"/>
                </w:rPr>
                <w:t>March 11, 2015).</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1"/>
              </w:rPr>
              <w:t>10.4.1</w:t>
            </w: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5"/>
              </w:rPr>
            </w:pPr>
            <w:hyperlink r:id="rId236">
              <w:r>
                <w:rPr>
                  <w:rFonts w:ascii="Arial" w:cs="Arial" w:eastAsia="Arial" w:hAnsi="Arial"/>
                  <w:sz w:val="18"/>
                  <w:szCs w:val="18"/>
                  <w:color w:val="0000EE"/>
                  <w:w w:val="95"/>
                </w:rPr>
                <w:t>Form of Stock Purchase Warrant to purchase shares of Series D Convertible Preferred Stock issued in bridge financing, along with a</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5" w:lineRule="exact"/>
              <w:rPr>
                <w:rFonts w:ascii="Arial" w:cs="Arial" w:eastAsia="Arial" w:hAnsi="Arial"/>
                <w:sz w:val="18"/>
                <w:szCs w:val="18"/>
                <w:color w:val="0000EE"/>
                <w:w w:val="95"/>
              </w:rPr>
            </w:pPr>
            <w:hyperlink r:id="rId236">
              <w:r>
                <w:rPr>
                  <w:rFonts w:ascii="Arial" w:cs="Arial" w:eastAsia="Arial" w:hAnsi="Arial"/>
                  <w:sz w:val="18"/>
                  <w:szCs w:val="18"/>
                  <w:color w:val="0000EE"/>
                  <w:w w:val="95"/>
                </w:rPr>
                <w:t>schedule of warrant holders (incorporated herein by reference to the Registrant’s Registration Statement on Form S-1 (File No. 333-</w:t>
              </w:r>
            </w:hyperlink>
          </w:p>
        </w:tc>
      </w:tr>
      <w:tr>
        <w:trPr>
          <w:trHeight w:val="195"/>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0"/>
          </w:tcPr>
          <w:p>
            <w:pPr>
              <w:spacing w:after="0" w:line="195" w:lineRule="exact"/>
              <w:rPr>
                <w:rFonts w:ascii="Arial" w:cs="Arial" w:eastAsia="Arial" w:hAnsi="Arial"/>
                <w:sz w:val="18"/>
                <w:szCs w:val="18"/>
                <w:color w:val="0000EE"/>
              </w:rPr>
            </w:pPr>
            <w:hyperlink r:id="rId236">
              <w:r>
                <w:rPr>
                  <w:rFonts w:ascii="Arial" w:cs="Arial" w:eastAsia="Arial" w:hAnsi="Arial"/>
                  <w:sz w:val="18"/>
                  <w:szCs w:val="18"/>
                  <w:color w:val="0000EE"/>
                </w:rPr>
                <w:t>202660) as filed with the SEC on March 11, 2015).</w:t>
              </w:r>
            </w:hyperlink>
          </w:p>
        </w:tc>
      </w:tr>
      <w:tr>
        <w:trPr>
          <w:trHeight w:val="20"/>
        </w:trPr>
        <w:tc>
          <w:tcPr>
            <w:tcW w:w="10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95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5" w:name="page196"/>
    <w:bookmarkEnd w:id="195"/>
    <w:p>
      <w:pPr>
        <w:spacing w:after="0" w:line="208" w:lineRule="auto"/>
        <w:framePr w:w="580" w:h="160" w:wrap="auto" w:vAnchor="page" w:hAnchor="page" w:x="540" w:y="9017"/>
        <w:rPr>
          <w:rFonts w:ascii="Arial" w:cs="Arial" w:eastAsia="Arial" w:hAnsi="Arial"/>
          <w:sz w:val="16"/>
          <w:szCs w:val="16"/>
          <w:color w:val="auto"/>
        </w:rPr>
      </w:pPr>
      <w:r>
        <w:rPr>
          <w:rFonts w:ascii="Arial" w:cs="Arial" w:eastAsia="Arial" w:hAnsi="Arial"/>
          <w:sz w:val="16"/>
          <w:szCs w:val="16"/>
          <w:color w:val="auto"/>
        </w:rPr>
        <w:t>10.12#</w:t>
      </w:r>
    </w:p>
    <w:p>
      <w:pPr>
        <w:spacing w:after="0" w:line="222" w:lineRule="auto"/>
        <w:framePr w:w="700" w:h="160" w:wrap="auto" w:vAnchor="page" w:hAnchor="page" w:x="480" w:y="9448"/>
        <w:rPr>
          <w:rFonts w:ascii="Arial" w:cs="Arial" w:eastAsia="Arial" w:hAnsi="Arial"/>
          <w:sz w:val="15"/>
          <w:szCs w:val="15"/>
          <w:color w:val="auto"/>
        </w:rPr>
      </w:pPr>
      <w:r>
        <w:rPr>
          <w:rFonts w:ascii="Arial" w:cs="Arial" w:eastAsia="Arial" w:hAnsi="Arial"/>
          <w:sz w:val="15"/>
          <w:szCs w:val="15"/>
          <w:color w:val="auto"/>
        </w:rPr>
        <w:t>10.12.1#</w:t>
      </w:r>
    </w:p>
    <w:p>
      <w:pPr>
        <w:spacing w:after="0" w:line="208" w:lineRule="auto"/>
        <w:framePr w:w="580" w:h="160" w:wrap="auto" w:vAnchor="page" w:hAnchor="page" w:x="540" w:y="9879"/>
        <w:rPr>
          <w:rFonts w:ascii="Arial" w:cs="Arial" w:eastAsia="Arial" w:hAnsi="Arial"/>
          <w:sz w:val="16"/>
          <w:szCs w:val="16"/>
          <w:color w:val="auto"/>
        </w:rPr>
      </w:pPr>
      <w:r>
        <w:rPr>
          <w:rFonts w:ascii="Arial" w:cs="Arial" w:eastAsia="Arial" w:hAnsi="Arial"/>
          <w:sz w:val="16"/>
          <w:szCs w:val="16"/>
          <w:color w:val="auto"/>
        </w:rPr>
        <w:t>10.13#</w:t>
      </w:r>
    </w:p>
    <w:p>
      <w:pPr>
        <w:spacing w:after="0" w:line="208" w:lineRule="auto"/>
        <w:framePr w:w="580" w:h="160" w:wrap="auto" w:vAnchor="page" w:hAnchor="page" w:x="540" w:y="10310"/>
        <w:rPr>
          <w:rFonts w:ascii="Arial" w:cs="Arial" w:eastAsia="Arial" w:hAnsi="Arial"/>
          <w:sz w:val="16"/>
          <w:szCs w:val="16"/>
          <w:color w:val="auto"/>
        </w:rPr>
      </w:pPr>
      <w:r>
        <w:rPr>
          <w:rFonts w:ascii="Arial" w:cs="Arial" w:eastAsia="Arial" w:hAnsi="Arial"/>
          <w:sz w:val="16"/>
          <w:szCs w:val="16"/>
          <w:color w:val="auto"/>
        </w:rPr>
        <w:t>10.14#</w:t>
      </w:r>
    </w:p>
    <w:p>
      <w:pPr>
        <w:spacing w:after="0" w:line="222" w:lineRule="auto"/>
        <w:framePr w:w="560" w:h="160" w:wrap="auto" w:vAnchor="page" w:hAnchor="page" w:x="540" w:y="7940"/>
        <w:rPr>
          <w:rFonts w:ascii="Arial" w:cs="Arial" w:eastAsia="Arial" w:hAnsi="Arial"/>
          <w:sz w:val="15"/>
          <w:szCs w:val="15"/>
          <w:color w:val="auto"/>
        </w:rPr>
      </w:pPr>
      <w:r>
        <w:rPr>
          <w:rFonts w:ascii="Arial" w:cs="Arial" w:eastAsia="Arial" w:hAnsi="Arial"/>
          <w:sz w:val="15"/>
          <w:szCs w:val="15"/>
          <w:color w:val="auto"/>
        </w:rPr>
        <w:t>10.11#</w:t>
      </w:r>
    </w:p>
    <w:p>
      <w:pPr>
        <w:spacing w:after="0" w:line="222" w:lineRule="auto"/>
        <w:framePr w:w="700" w:h="160" w:wrap="auto" w:vAnchor="page" w:hAnchor="page" w:x="480" w:y="8371"/>
        <w:rPr>
          <w:rFonts w:ascii="Arial" w:cs="Arial" w:eastAsia="Arial" w:hAnsi="Arial"/>
          <w:sz w:val="15"/>
          <w:szCs w:val="15"/>
          <w:color w:val="auto"/>
        </w:rPr>
      </w:pPr>
      <w:r>
        <w:rPr>
          <w:rFonts w:ascii="Arial" w:cs="Arial" w:eastAsia="Arial" w:hAnsi="Arial"/>
          <w:sz w:val="15"/>
          <w:szCs w:val="15"/>
          <w:color w:val="auto"/>
        </w:rPr>
        <w:t>10.11.1#</w:t>
      </w:r>
    </w:p>
    <w:p>
      <w:pPr>
        <w:spacing w:after="0" w:line="222" w:lineRule="auto"/>
        <w:framePr w:w="480" w:h="160" w:wrap="auto" w:vAnchor="page" w:hAnchor="page" w:x="580" w:y="2553"/>
        <w:rPr>
          <w:rFonts w:ascii="Arial" w:cs="Arial" w:eastAsia="Arial" w:hAnsi="Arial"/>
          <w:sz w:val="15"/>
          <w:szCs w:val="15"/>
          <w:color w:val="auto"/>
        </w:rPr>
      </w:pPr>
      <w:r>
        <w:rPr>
          <w:rFonts w:ascii="Arial" w:cs="Arial" w:eastAsia="Arial" w:hAnsi="Arial"/>
          <w:sz w:val="15"/>
          <w:szCs w:val="15"/>
          <w:color w:val="auto"/>
        </w:rPr>
        <w:t>10.7#</w:t>
      </w:r>
    </w:p>
    <w:p>
      <w:pPr>
        <w:spacing w:after="0" w:line="208" w:lineRule="auto"/>
        <w:framePr w:w="620" w:h="160" w:wrap="auto" w:vAnchor="page" w:hAnchor="page" w:x="520" w:y="2984"/>
        <w:rPr>
          <w:rFonts w:ascii="Arial" w:cs="Arial" w:eastAsia="Arial" w:hAnsi="Arial"/>
          <w:sz w:val="16"/>
          <w:szCs w:val="16"/>
          <w:color w:val="auto"/>
        </w:rPr>
      </w:pPr>
      <w:r>
        <w:rPr>
          <w:rFonts w:ascii="Arial" w:cs="Arial" w:eastAsia="Arial" w:hAnsi="Arial"/>
          <w:sz w:val="16"/>
          <w:szCs w:val="16"/>
          <w:color w:val="auto"/>
        </w:rPr>
        <w:t>10.7.1#</w:t>
      </w:r>
    </w:p>
    <w:p>
      <w:pPr>
        <w:spacing w:after="0" w:line="208" w:lineRule="auto"/>
        <w:framePr w:w="620" w:h="160" w:wrap="auto" w:vAnchor="page" w:hAnchor="page" w:x="520" w:y="3415"/>
        <w:rPr>
          <w:rFonts w:ascii="Arial" w:cs="Arial" w:eastAsia="Arial" w:hAnsi="Arial"/>
          <w:sz w:val="16"/>
          <w:szCs w:val="16"/>
          <w:color w:val="auto"/>
        </w:rPr>
      </w:pPr>
      <w:r>
        <w:rPr>
          <w:rFonts w:ascii="Arial" w:cs="Arial" w:eastAsia="Arial" w:hAnsi="Arial"/>
          <w:sz w:val="16"/>
          <w:szCs w:val="16"/>
          <w:color w:val="auto"/>
        </w:rPr>
        <w:t>10.7.2#</w:t>
      </w:r>
    </w:p>
    <w:p>
      <w:pPr>
        <w:spacing w:after="0" w:line="208" w:lineRule="auto"/>
        <w:framePr w:w="620" w:h="160" w:wrap="auto" w:vAnchor="page" w:hAnchor="page" w:x="520" w:y="3846"/>
        <w:rPr>
          <w:rFonts w:ascii="Arial" w:cs="Arial" w:eastAsia="Arial" w:hAnsi="Arial"/>
          <w:sz w:val="16"/>
          <w:szCs w:val="16"/>
          <w:color w:val="auto"/>
        </w:rPr>
      </w:pPr>
      <w:r>
        <w:rPr>
          <w:rFonts w:ascii="Arial" w:cs="Arial" w:eastAsia="Arial" w:hAnsi="Arial"/>
          <w:sz w:val="16"/>
          <w:szCs w:val="16"/>
          <w:color w:val="auto"/>
        </w:rPr>
        <w:t>10.7.3#</w:t>
      </w:r>
    </w:p>
    <w:p>
      <w:pPr>
        <w:spacing w:after="0" w:line="208" w:lineRule="auto"/>
        <w:framePr w:w="620" w:h="160" w:wrap="auto" w:vAnchor="page" w:hAnchor="page" w:x="520" w:y="4277"/>
        <w:rPr>
          <w:rFonts w:ascii="Arial" w:cs="Arial" w:eastAsia="Arial" w:hAnsi="Arial"/>
          <w:sz w:val="16"/>
          <w:szCs w:val="16"/>
          <w:color w:val="auto"/>
        </w:rPr>
      </w:pPr>
      <w:r>
        <w:rPr>
          <w:rFonts w:ascii="Arial" w:cs="Arial" w:eastAsia="Arial" w:hAnsi="Arial"/>
          <w:sz w:val="16"/>
          <w:szCs w:val="16"/>
          <w:color w:val="auto"/>
        </w:rPr>
        <w:t>10.7.4#</w:t>
      </w:r>
    </w:p>
    <w:p>
      <w:pPr>
        <w:spacing w:after="0" w:line="208" w:lineRule="auto"/>
        <w:framePr w:w="620" w:h="160" w:wrap="auto" w:vAnchor="page" w:hAnchor="page" w:x="520" w:y="4708"/>
        <w:rPr>
          <w:rFonts w:ascii="Arial" w:cs="Arial" w:eastAsia="Arial" w:hAnsi="Arial"/>
          <w:sz w:val="16"/>
          <w:szCs w:val="16"/>
          <w:color w:val="auto"/>
        </w:rPr>
      </w:pPr>
      <w:r>
        <w:rPr>
          <w:rFonts w:ascii="Arial" w:cs="Arial" w:eastAsia="Arial" w:hAnsi="Arial"/>
          <w:sz w:val="16"/>
          <w:szCs w:val="16"/>
          <w:color w:val="auto"/>
        </w:rPr>
        <w:t>10.7.5#</w:t>
      </w:r>
    </w:p>
    <w:p>
      <w:pPr>
        <w:spacing w:after="0" w:line="208" w:lineRule="auto"/>
        <w:framePr w:w="620" w:h="160" w:wrap="auto" w:vAnchor="page" w:hAnchor="page" w:x="520" w:y="5139"/>
        <w:rPr>
          <w:rFonts w:ascii="Arial" w:cs="Arial" w:eastAsia="Arial" w:hAnsi="Arial"/>
          <w:sz w:val="16"/>
          <w:szCs w:val="16"/>
          <w:color w:val="auto"/>
        </w:rPr>
      </w:pPr>
      <w:r>
        <w:rPr>
          <w:rFonts w:ascii="Arial" w:cs="Arial" w:eastAsia="Arial" w:hAnsi="Arial"/>
          <w:sz w:val="16"/>
          <w:szCs w:val="16"/>
          <w:color w:val="auto"/>
        </w:rPr>
        <w:t>10.7.6#</w:t>
      </w:r>
    </w:p>
    <w:p>
      <w:pPr>
        <w:spacing w:after="0" w:line="208" w:lineRule="auto"/>
        <w:framePr w:w="620" w:h="160" w:wrap="auto" w:vAnchor="page" w:hAnchor="page" w:x="520" w:y="5570"/>
        <w:rPr>
          <w:rFonts w:ascii="Arial" w:cs="Arial" w:eastAsia="Arial" w:hAnsi="Arial"/>
          <w:sz w:val="16"/>
          <w:szCs w:val="16"/>
          <w:color w:val="auto"/>
        </w:rPr>
      </w:pPr>
      <w:r>
        <w:rPr>
          <w:rFonts w:ascii="Arial" w:cs="Arial" w:eastAsia="Arial" w:hAnsi="Arial"/>
          <w:sz w:val="16"/>
          <w:szCs w:val="16"/>
          <w:color w:val="auto"/>
        </w:rPr>
        <w:t>10.7.7#</w:t>
      </w:r>
    </w:p>
    <w:p>
      <w:pPr>
        <w:spacing w:after="0" w:line="222" w:lineRule="auto"/>
        <w:framePr w:w="480" w:h="160" w:wrap="auto" w:vAnchor="page" w:hAnchor="page" w:x="580" w:y="6001"/>
        <w:rPr>
          <w:rFonts w:ascii="Arial" w:cs="Arial" w:eastAsia="Arial" w:hAnsi="Arial"/>
          <w:sz w:val="15"/>
          <w:szCs w:val="15"/>
          <w:color w:val="auto"/>
        </w:rPr>
      </w:pPr>
      <w:r>
        <w:rPr>
          <w:rFonts w:ascii="Arial" w:cs="Arial" w:eastAsia="Arial" w:hAnsi="Arial"/>
          <w:sz w:val="15"/>
          <w:szCs w:val="15"/>
          <w:color w:val="auto"/>
        </w:rPr>
        <w:t>10.8#</w:t>
      </w:r>
    </w:p>
    <w:p>
      <w:pPr>
        <w:spacing w:after="0" w:line="222" w:lineRule="auto"/>
        <w:framePr w:w="480" w:h="160" w:wrap="auto" w:vAnchor="page" w:hAnchor="page" w:x="580" w:y="6432"/>
        <w:rPr>
          <w:rFonts w:ascii="Arial" w:cs="Arial" w:eastAsia="Arial" w:hAnsi="Arial"/>
          <w:sz w:val="15"/>
          <w:szCs w:val="15"/>
          <w:color w:val="auto"/>
        </w:rPr>
      </w:pPr>
      <w:r>
        <w:rPr>
          <w:rFonts w:ascii="Arial" w:cs="Arial" w:eastAsia="Arial" w:hAnsi="Arial"/>
          <w:sz w:val="15"/>
          <w:szCs w:val="15"/>
          <w:color w:val="auto"/>
        </w:rPr>
        <w:t>10.9#</w:t>
      </w:r>
    </w:p>
    <w:p>
      <w:pPr>
        <w:spacing w:after="0" w:line="208" w:lineRule="auto"/>
        <w:framePr w:w="580" w:h="160" w:wrap="auto" w:vAnchor="page" w:hAnchor="page" w:x="540" w:y="6863"/>
        <w:rPr>
          <w:rFonts w:ascii="Arial" w:cs="Arial" w:eastAsia="Arial" w:hAnsi="Arial"/>
          <w:sz w:val="16"/>
          <w:szCs w:val="16"/>
          <w:color w:val="auto"/>
        </w:rPr>
      </w:pPr>
      <w:r>
        <w:rPr>
          <w:rFonts w:ascii="Arial" w:cs="Arial" w:eastAsia="Arial" w:hAnsi="Arial"/>
          <w:sz w:val="16"/>
          <w:szCs w:val="16"/>
          <w:color w:val="auto"/>
        </w:rPr>
        <w:t>10.10#</w:t>
      </w:r>
    </w:p>
    <w:p>
      <w:pPr>
        <w:spacing w:after="0" w:line="222" w:lineRule="auto"/>
        <w:framePr w:w="700" w:h="160" w:wrap="auto" w:vAnchor="page" w:hAnchor="page" w:x="480" w:y="7294"/>
        <w:rPr>
          <w:rFonts w:ascii="Arial" w:cs="Arial" w:eastAsia="Arial" w:hAnsi="Arial"/>
          <w:sz w:val="15"/>
          <w:szCs w:val="15"/>
          <w:color w:val="auto"/>
        </w:rPr>
      </w:pPr>
      <w:r>
        <w:rPr>
          <w:rFonts w:ascii="Arial" w:cs="Arial" w:eastAsia="Arial" w:hAnsi="Arial"/>
          <w:sz w:val="15"/>
          <w:szCs w:val="15"/>
          <w:color w:val="auto"/>
        </w:rPr>
        <w:t>10.10.1#</w:t>
      </w:r>
    </w:p>
    <w:p>
      <w:pPr>
        <w:spacing w:after="0" w:line="185" w:lineRule="auto"/>
        <w:framePr w:w="480" w:h="160" w:wrap="auto" w:vAnchor="page" w:hAnchor="page" w:x="580" w:y="1906"/>
        <w:rPr>
          <w:rFonts w:ascii="Arial" w:cs="Arial" w:eastAsia="Arial" w:hAnsi="Arial"/>
          <w:sz w:val="12"/>
          <w:szCs w:val="12"/>
          <w:color w:val="auto"/>
        </w:rPr>
      </w:pPr>
      <w:r>
        <w:rPr>
          <w:rFonts w:ascii="Arial" w:cs="Arial" w:eastAsia="Arial" w:hAnsi="Arial"/>
          <w:sz w:val="12"/>
          <w:szCs w:val="12"/>
          <w:color w:val="auto"/>
        </w:rPr>
        <w:t>10.6</w:t>
      </w:r>
      <w:r>
        <w:rPr>
          <w:rFonts w:ascii="Arial" w:cs="Arial" w:eastAsia="Arial" w:hAnsi="Arial"/>
          <w:sz w:val="18"/>
          <w:szCs w:val="18"/>
          <w:color w:val="auto"/>
          <w:vertAlign w:val="superscript"/>
        </w:rPr>
        <w:t>+</w:t>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rFonts w:ascii="Arial" w:cs="Arial" w:eastAsia="Arial" w:hAnsi="Arial"/>
          <w:sz w:val="12"/>
          <w:szCs w:val="12"/>
          <w:color w:val="auto"/>
        </w:rPr>
      </w:pPr>
    </w:p>
    <w:p>
      <w:pPr>
        <w:ind w:left="4600"/>
        <w:spacing w:after="0"/>
        <w:rPr>
          <w:sz w:val="20"/>
          <w:szCs w:val="20"/>
          <w:color w:val="auto"/>
        </w:rPr>
      </w:pPr>
      <w:r>
        <w:rPr>
          <w:rFonts w:ascii="Arial" w:cs="Arial" w:eastAsia="Arial" w:hAnsi="Arial"/>
          <w:sz w:val="18"/>
          <w:szCs w:val="18"/>
          <w:b w:val="1"/>
          <w:bCs w:val="1"/>
          <w:color w:val="auto"/>
        </w:rPr>
        <w:t>EXHIBITS, CONTINUED</w:t>
      </w:r>
    </w:p>
    <w:p>
      <w:pPr>
        <w:spacing w:after="0" w:line="251" w:lineRule="exact"/>
        <w:rPr>
          <w:rFonts w:ascii="Arial" w:cs="Arial" w:eastAsia="Arial" w:hAnsi="Arial"/>
          <w:sz w:val="12"/>
          <w:szCs w:val="12"/>
          <w:color w:val="auto"/>
        </w:rPr>
      </w:pPr>
    </w:p>
    <w:p>
      <w:pPr>
        <w:ind w:left="60"/>
        <w:spacing w:after="0"/>
        <w:tabs>
          <w:tab w:leader="none" w:pos="57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740410</wp:posOffset>
            </wp:positionH>
            <wp:positionV relativeFrom="paragraph">
              <wp:posOffset>17145</wp:posOffset>
            </wp:positionV>
            <wp:extent cx="63969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6396990" cy="8255"/>
                    </a:xfrm>
                    <a:prstGeom prst="rect">
                      <a:avLst/>
                    </a:prstGeom>
                    <a:noFill/>
                  </pic:spPr>
                </pic:pic>
              </a:graphicData>
            </a:graphic>
          </wp:anchor>
        </w:drawing>
      </w:r>
    </w:p>
    <w:p>
      <w:pPr>
        <w:spacing w:after="0" w:line="7" w:lineRule="exact"/>
        <w:rPr>
          <w:rFonts w:ascii="Arial" w:cs="Arial" w:eastAsia="Arial" w:hAnsi="Arial"/>
          <w:sz w:val="12"/>
          <w:szCs w:val="12"/>
          <w:color w:val="auto"/>
        </w:rPr>
      </w:pPr>
    </w:p>
    <w:p>
      <w:pPr>
        <w:jc w:val="both"/>
        <w:ind w:left="1160" w:hanging="816"/>
        <w:spacing w:after="0" w:line="247"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239">
        <w:r>
          <w:rPr>
            <w:rFonts w:ascii="Arial" w:cs="Arial" w:eastAsia="Arial" w:hAnsi="Arial"/>
            <w:sz w:val="18"/>
            <w:szCs w:val="18"/>
            <w:u w:val="single" w:color="auto"/>
            <w:color w:val="0000EE"/>
          </w:rPr>
          <w:t>Amended and Restated Investors’ Rights Agreement, dated as of February 19, 2015, by and among the Registrant and certain of its</w:t>
        </w:r>
      </w:hyperlink>
      <w:r>
        <w:rPr>
          <w:rFonts w:ascii="Arial" w:cs="Arial" w:eastAsia="Arial" w:hAnsi="Arial"/>
          <w:sz w:val="18"/>
          <w:szCs w:val="18"/>
          <w:u w:val="single" w:color="auto"/>
          <w:color w:val="0000EE"/>
        </w:rPr>
        <w:t xml:space="preserve"> </w:t>
      </w:r>
      <w:hyperlink r:id="rId239">
        <w:r>
          <w:rPr>
            <w:rFonts w:ascii="Arial" w:cs="Arial" w:eastAsia="Arial" w:hAnsi="Arial"/>
            <w:sz w:val="18"/>
            <w:szCs w:val="18"/>
            <w:u w:val="single" w:color="auto"/>
            <w:color w:val="0000EE"/>
          </w:rPr>
          <w:t>stockholders (incorporated herein by reference to the Registrant’s Registration Statement on Form S-1 (File No. 333-202660) as filed with</w:t>
        </w:r>
      </w:hyperlink>
      <w:r>
        <w:rPr>
          <w:rFonts w:ascii="Arial" w:cs="Arial" w:eastAsia="Arial" w:hAnsi="Arial"/>
          <w:sz w:val="18"/>
          <w:szCs w:val="18"/>
          <w:u w:val="single" w:color="auto"/>
          <w:color w:val="0000EE"/>
        </w:rPr>
        <w:t xml:space="preserve"> </w:t>
      </w:r>
      <w:hyperlink r:id="rId239">
        <w:r>
          <w:rPr>
            <w:rFonts w:ascii="Arial" w:cs="Arial" w:eastAsia="Arial" w:hAnsi="Arial"/>
            <w:sz w:val="18"/>
            <w:szCs w:val="18"/>
            <w:u w:val="single" w:color="auto"/>
            <w:color w:val="0000EE"/>
          </w:rPr>
          <w:t>the SEC on March 11, 2015).</w:t>
        </w:r>
      </w:hyperlink>
    </w:p>
    <w:p>
      <w:pPr>
        <w:spacing w:after="0" w:line="6" w:lineRule="exact"/>
        <w:rPr>
          <w:rFonts w:ascii="Arial" w:cs="Arial" w:eastAsia="Arial" w:hAnsi="Arial"/>
          <w:sz w:val="18"/>
          <w:szCs w:val="18"/>
          <w:u w:val="single" w:color="auto"/>
          <w:color w:val="0000EE"/>
        </w:rPr>
      </w:pPr>
    </w:p>
    <w:p>
      <w:pPr>
        <w:jc w:val="both"/>
        <w:ind w:left="1160"/>
        <w:spacing w:after="0" w:line="255" w:lineRule="auto"/>
        <w:rPr>
          <w:rFonts w:ascii="Arial" w:cs="Arial" w:eastAsia="Arial" w:hAnsi="Arial"/>
          <w:sz w:val="18"/>
          <w:szCs w:val="18"/>
          <w:u w:val="single" w:color="auto"/>
          <w:color w:val="0000EE"/>
        </w:rPr>
      </w:pPr>
      <w:hyperlink r:id="rId240">
        <w:r>
          <w:rPr>
            <w:rFonts w:ascii="Arial" w:cs="Arial" w:eastAsia="Arial" w:hAnsi="Arial"/>
            <w:sz w:val="18"/>
            <w:szCs w:val="18"/>
            <w:u w:val="single" w:color="auto"/>
            <w:color w:val="0000EE"/>
          </w:rPr>
          <w:t>Agreement to Terminate CLA, by and between MonoSol Rx, LLC and the Registrant, dated as of March 20, 2012 (incorporated herein by</w:t>
        </w:r>
      </w:hyperlink>
      <w:r>
        <w:rPr>
          <w:rFonts w:ascii="Arial" w:cs="Arial" w:eastAsia="Arial" w:hAnsi="Arial"/>
          <w:sz w:val="18"/>
          <w:szCs w:val="18"/>
          <w:u w:val="single" w:color="auto"/>
          <w:color w:val="0000EE"/>
        </w:rPr>
        <w:t xml:space="preserve"> </w:t>
      </w:r>
      <w:hyperlink r:id="rId240">
        <w:r>
          <w:rPr>
            <w:rFonts w:ascii="Arial" w:cs="Arial" w:eastAsia="Arial" w:hAnsi="Arial"/>
            <w:sz w:val="18"/>
            <w:szCs w:val="18"/>
            <w:u w:val="single" w:color="auto"/>
            <w:color w:val="0000EE"/>
          </w:rPr>
          <w:t>reference to the Registrant's Amendment No. 1 to Registration Statement on Form S-1/A (File No. 333-202660) as filed with the SEC on</w:t>
        </w:r>
      </w:hyperlink>
      <w:r>
        <w:rPr>
          <w:rFonts w:ascii="Arial" w:cs="Arial" w:eastAsia="Arial" w:hAnsi="Arial"/>
          <w:sz w:val="18"/>
          <w:szCs w:val="18"/>
          <w:u w:val="single" w:color="auto"/>
          <w:color w:val="0000EE"/>
        </w:rPr>
        <w:t xml:space="preserve"> </w:t>
      </w:r>
      <w:hyperlink r:id="rId240">
        <w:r>
          <w:rPr>
            <w:rFonts w:ascii="Arial" w:cs="Arial" w:eastAsia="Arial" w:hAnsi="Arial"/>
            <w:sz w:val="18"/>
            <w:szCs w:val="18"/>
            <w:u w:val="single" w:color="auto"/>
            <w:color w:val="0000EE"/>
          </w:rPr>
          <w:t>April 3, 2015).</w:t>
        </w:r>
      </w:hyperlink>
    </w:p>
    <w:p>
      <w:pPr>
        <w:spacing w:after="0" w:line="1" w:lineRule="exact"/>
        <w:rPr>
          <w:rFonts w:ascii="Arial" w:cs="Arial" w:eastAsia="Arial" w:hAnsi="Arial"/>
          <w:sz w:val="18"/>
          <w:szCs w:val="18"/>
          <w:u w:val="single" w:color="auto"/>
          <w:color w:val="0000EE"/>
        </w:rPr>
      </w:pPr>
    </w:p>
    <w:p>
      <w:pPr>
        <w:ind w:left="1160"/>
        <w:spacing w:after="0"/>
        <w:rPr>
          <w:rFonts w:ascii="Arial" w:cs="Arial" w:eastAsia="Arial" w:hAnsi="Arial"/>
          <w:sz w:val="16"/>
          <w:szCs w:val="16"/>
          <w:u w:val="single" w:color="auto"/>
          <w:color w:val="0000EE"/>
        </w:rPr>
      </w:pPr>
      <w:hyperlink r:id="rId241">
        <w:r>
          <w:rPr>
            <w:rFonts w:ascii="Arial" w:cs="Arial" w:eastAsia="Arial" w:hAnsi="Arial"/>
            <w:sz w:val="16"/>
            <w:szCs w:val="16"/>
            <w:u w:val="single" w:color="auto"/>
            <w:color w:val="0000EE"/>
          </w:rPr>
          <w:t>Incentive Stock Plan, as amended to date (incorporated herein by reference to the Registrant's Registration Statement on Form S-1 (File No.</w:t>
        </w:r>
      </w:hyperlink>
    </w:p>
    <w:p>
      <w:pPr>
        <w:spacing w:after="0" w:line="32" w:lineRule="exact"/>
        <w:rPr>
          <w:rFonts w:ascii="Arial" w:cs="Arial" w:eastAsia="Arial" w:hAnsi="Arial"/>
          <w:sz w:val="18"/>
          <w:szCs w:val="18"/>
          <w:u w:val="single" w:color="auto"/>
          <w:color w:val="0000EE"/>
        </w:rPr>
      </w:pPr>
    </w:p>
    <w:p>
      <w:pPr>
        <w:ind w:left="1160"/>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333-202660) as filed with the SEC on March 11, 2015).</w:t>
        </w:r>
      </w:hyperlink>
    </w:p>
    <w:p>
      <w:pPr>
        <w:spacing w:after="0" w:line="9" w:lineRule="exact"/>
        <w:rPr>
          <w:rFonts w:ascii="Arial" w:cs="Arial" w:eastAsia="Arial" w:hAnsi="Arial"/>
          <w:sz w:val="18"/>
          <w:szCs w:val="18"/>
          <w:u w:val="single" w:color="auto"/>
          <w:color w:val="0000EE"/>
        </w:rPr>
      </w:pPr>
    </w:p>
    <w:p>
      <w:pPr>
        <w:jc w:val="both"/>
        <w:ind w:left="1160"/>
        <w:spacing w:after="0" w:line="249" w:lineRule="auto"/>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Form of Incentive Stock Option Agreement under Incentive Stock Plan (incorporated herein by reference to the Registrant's Registration</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Statement on Form S-1 (File No. 333-202660) as filed with the SEC on March 11, 2015).</w:t>
        </w:r>
      </w:hyperlink>
    </w:p>
    <w:p>
      <w:pPr>
        <w:spacing w:after="0" w:line="1" w:lineRule="exact"/>
        <w:rPr>
          <w:sz w:val="20"/>
          <w:szCs w:val="20"/>
          <w:color w:val="auto"/>
        </w:rPr>
      </w:pPr>
    </w:p>
    <w:p>
      <w:pPr>
        <w:jc w:val="both"/>
        <w:ind w:left="1160" w:right="20"/>
        <w:spacing w:after="0" w:line="249" w:lineRule="auto"/>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Form of Nonqualified Stock Option Agreement under Incentive Stock Plan (incorporated herein by reference to the Registrant's</w:t>
        </w:r>
      </w:hyperlink>
      <w:r>
        <w:rPr>
          <w:rFonts w:ascii="Arial" w:cs="Arial" w:eastAsia="Arial" w:hAnsi="Arial"/>
          <w:sz w:val="18"/>
          <w:szCs w:val="18"/>
          <w:u w:val="single" w:color="auto"/>
          <w:color w:val="0000EE"/>
        </w:rPr>
        <w:t xml:space="preserve"> </w:t>
      </w:r>
      <w:hyperlink r:id="rId243">
        <w:r>
          <w:rPr>
            <w:rFonts w:ascii="Arial" w:cs="Arial" w:eastAsia="Arial" w:hAnsi="Arial"/>
            <w:sz w:val="18"/>
            <w:szCs w:val="18"/>
            <w:u w:val="single" w:color="auto"/>
            <w:color w:val="0000EE"/>
          </w:rPr>
          <w:t>Registration Statement on Form S-1 (File No. 333-202660) as filed with the SEC on March 11, 2015).</w:t>
        </w:r>
      </w:hyperlink>
    </w:p>
    <w:p>
      <w:pPr>
        <w:spacing w:after="0" w:line="1" w:lineRule="exact"/>
        <w:rPr>
          <w:sz w:val="20"/>
          <w:szCs w:val="20"/>
          <w:color w:val="auto"/>
        </w:rPr>
      </w:pPr>
    </w:p>
    <w:p>
      <w:pPr>
        <w:jc w:val="both"/>
        <w:ind w:left="1160"/>
        <w:spacing w:after="0" w:line="249" w:lineRule="auto"/>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Equity Incentive Plan (incorporated herein by reference to the Registrant's Quarterly Report on Form 10-Q as filed with the SEC on August</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13, 2021).</w:t>
        </w:r>
      </w:hyperlink>
    </w:p>
    <w:p>
      <w:pPr>
        <w:spacing w:after="0" w:line="1" w:lineRule="exact"/>
        <w:rPr>
          <w:sz w:val="20"/>
          <w:szCs w:val="20"/>
          <w:color w:val="auto"/>
        </w:rPr>
      </w:pPr>
    </w:p>
    <w:p>
      <w:pPr>
        <w:jc w:val="both"/>
        <w:ind w:left="1160" w:right="20"/>
        <w:spacing w:after="0" w:line="264" w:lineRule="auto"/>
        <w:rPr>
          <w:rFonts w:ascii="Arial" w:cs="Arial" w:eastAsia="Arial" w:hAnsi="Arial"/>
          <w:sz w:val="17"/>
          <w:szCs w:val="17"/>
          <w:u w:val="single" w:color="auto"/>
          <w:color w:val="0000EE"/>
        </w:rPr>
      </w:pPr>
      <w:hyperlink r:id="rId245">
        <w:r>
          <w:rPr>
            <w:rFonts w:ascii="Arial" w:cs="Arial" w:eastAsia="Arial" w:hAnsi="Arial"/>
            <w:sz w:val="17"/>
            <w:szCs w:val="17"/>
            <w:u w:val="single" w:color="auto"/>
            <w:color w:val="0000EE"/>
          </w:rPr>
          <w:t>Form of Stock Option Grant Notice and Stock Option Agreement under 2014 Equity Incentive Plan (incorporated herein by reference to the</w:t>
        </w:r>
      </w:hyperlink>
      <w:r>
        <w:rPr>
          <w:rFonts w:ascii="Arial" w:cs="Arial" w:eastAsia="Arial" w:hAnsi="Arial"/>
          <w:sz w:val="17"/>
          <w:szCs w:val="17"/>
          <w:u w:val="single" w:color="auto"/>
          <w:color w:val="0000EE"/>
        </w:rPr>
        <w:t xml:space="preserve"> </w:t>
      </w:r>
      <w:hyperlink r:id="rId245">
        <w:r>
          <w:rPr>
            <w:rFonts w:ascii="Arial" w:cs="Arial" w:eastAsia="Arial" w:hAnsi="Arial"/>
            <w:sz w:val="17"/>
            <w:szCs w:val="17"/>
            <w:u w:val="single" w:color="auto"/>
            <w:color w:val="0000EE"/>
          </w:rPr>
          <w:t>Registrant's Registration Statement on Form S-1 File No. 333-202660) as filed with the SEC on March 11, 2015).</w:t>
        </w:r>
      </w:hyperlink>
    </w:p>
    <w:p>
      <w:pPr>
        <w:spacing w:after="0" w:line="1" w:lineRule="exact"/>
        <w:rPr>
          <w:sz w:val="20"/>
          <w:szCs w:val="20"/>
          <w:color w:val="auto"/>
        </w:rPr>
      </w:pPr>
    </w:p>
    <w:p>
      <w:pPr>
        <w:jc w:val="both"/>
        <w:ind w:left="1160"/>
        <w:spacing w:after="0" w:line="281" w:lineRule="auto"/>
        <w:rPr>
          <w:rFonts w:ascii="Arial" w:cs="Arial" w:eastAsia="Arial" w:hAnsi="Arial"/>
          <w:sz w:val="16"/>
          <w:szCs w:val="16"/>
          <w:u w:val="single" w:color="auto"/>
          <w:color w:val="0000EE"/>
        </w:rPr>
      </w:pPr>
      <w:hyperlink r:id="rId246">
        <w:r>
          <w:rPr>
            <w:rFonts w:ascii="Arial" w:cs="Arial" w:eastAsia="Arial" w:hAnsi="Arial"/>
            <w:sz w:val="16"/>
            <w:szCs w:val="16"/>
            <w:u w:val="single" w:color="auto"/>
            <w:color w:val="0000EE"/>
          </w:rPr>
          <w:t>Form of Restricted Stock Unit Grant Notice and Restricted Stock Unit Agreement under 2014 Equity Incentive Plan (incorporated herein</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by reference to the Registrant's Registration Statement on Form S-1 File No. 333-202660) as filed with the SEC on March 11, 2015).</w:t>
        </w:r>
      </w:hyperlink>
    </w:p>
    <w:p>
      <w:pPr>
        <w:ind w:left="1160" w:right="420"/>
        <w:spacing w:after="0" w:line="264" w:lineRule="auto"/>
        <w:rPr>
          <w:rFonts w:ascii="Arial" w:cs="Arial" w:eastAsia="Arial" w:hAnsi="Arial"/>
          <w:sz w:val="17"/>
          <w:szCs w:val="17"/>
          <w:u w:val="single" w:color="auto"/>
          <w:color w:val="0000EE"/>
        </w:rPr>
      </w:pPr>
      <w:hyperlink r:id="rId247">
        <w:r>
          <w:rPr>
            <w:rFonts w:ascii="Arial" w:cs="Arial" w:eastAsia="Arial" w:hAnsi="Arial"/>
            <w:sz w:val="17"/>
            <w:szCs w:val="17"/>
            <w:u w:val="single" w:color="auto"/>
            <w:color w:val="0000EE"/>
          </w:rPr>
          <w:t>Form of Restricted Stock Award Grant Notice and Restricted Stock Award Agreement under 2014 Equity Incentive Plan (incorporated</w:t>
        </w:r>
      </w:hyperlink>
      <w:r>
        <w:rPr>
          <w:rFonts w:ascii="Arial" w:cs="Arial" w:eastAsia="Arial" w:hAnsi="Arial"/>
          <w:sz w:val="17"/>
          <w:szCs w:val="17"/>
          <w:u w:val="single" w:color="auto"/>
          <w:color w:val="0000EE"/>
        </w:rPr>
        <w:t xml:space="preserve"> </w:t>
      </w:r>
      <w:hyperlink r:id="rId247">
        <w:r>
          <w:rPr>
            <w:rFonts w:ascii="Arial" w:cs="Arial" w:eastAsia="Arial" w:hAnsi="Arial"/>
            <w:sz w:val="17"/>
            <w:szCs w:val="17"/>
            <w:u w:val="single" w:color="auto"/>
            <w:color w:val="0000EE"/>
          </w:rPr>
          <w:t>herein by reference to the Registrant's Quarterly Report on Form 10-Q as filed with the SEC on May 14, 2019)</w:t>
        </w:r>
      </w:hyperlink>
    </w:p>
    <w:p>
      <w:pPr>
        <w:spacing w:after="0" w:line="1" w:lineRule="exact"/>
        <w:rPr>
          <w:sz w:val="20"/>
          <w:szCs w:val="20"/>
          <w:color w:val="auto"/>
        </w:rPr>
      </w:pPr>
    </w:p>
    <w:p>
      <w:pPr>
        <w:ind w:left="1160" w:right="120"/>
        <w:spacing w:after="0" w:line="249" w:lineRule="auto"/>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2021 Employee Stock Purchase Plan (incorporated herein by reference to the Registrant's Quarterly Report on Form 10-Q as filed with the</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u w:val="single" w:color="auto"/>
            <w:color w:val="0000EE"/>
          </w:rPr>
          <w:t>SEC on August 13, 2021).</w:t>
        </w:r>
      </w:hyperlink>
    </w:p>
    <w:p>
      <w:pPr>
        <w:spacing w:after="0" w:line="1" w:lineRule="exact"/>
        <w:rPr>
          <w:sz w:val="20"/>
          <w:szCs w:val="20"/>
          <w:color w:val="auto"/>
        </w:rPr>
      </w:pPr>
    </w:p>
    <w:p>
      <w:pPr>
        <w:ind w:left="1160" w:right="20"/>
        <w:spacing w:after="0" w:line="249" w:lineRule="auto"/>
        <w:rPr>
          <w:rFonts w:ascii="Arial" w:cs="Arial" w:eastAsia="Arial" w:hAnsi="Arial"/>
          <w:sz w:val="18"/>
          <w:szCs w:val="18"/>
          <w:u w:val="single" w:color="auto"/>
          <w:color w:val="0000EE"/>
        </w:rPr>
      </w:pPr>
      <w:hyperlink r:id="rId249">
        <w:r>
          <w:rPr>
            <w:rFonts w:ascii="Arial" w:cs="Arial" w:eastAsia="Arial" w:hAnsi="Arial"/>
            <w:sz w:val="18"/>
            <w:szCs w:val="18"/>
            <w:u w:val="single" w:color="auto"/>
            <w:color w:val="0000EE"/>
          </w:rPr>
          <w:t>Sixth Amended and Restated Non-Employee Director Compensation Policy (incorporated herein by reference to the Registrant's Annual</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u w:val="single" w:color="auto"/>
            <w:color w:val="0000EE"/>
          </w:rPr>
          <w:t>Report on Form 10-K as filed with the SEC on March 12, 2021).</w:t>
        </w:r>
      </w:hyperlink>
    </w:p>
    <w:p>
      <w:pPr>
        <w:spacing w:after="0" w:line="1" w:lineRule="exact"/>
        <w:rPr>
          <w:sz w:val="20"/>
          <w:szCs w:val="20"/>
          <w:color w:val="auto"/>
        </w:rPr>
      </w:pPr>
    </w:p>
    <w:p>
      <w:pPr>
        <w:ind w:left="1160"/>
        <w:spacing w:after="0" w:line="249" w:lineRule="auto"/>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Form of Indemnification Agreement with the Registrant's directors and executive officers (incorporated herein by reference to the</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Registrant's Registration Statement on Form S-1 (File No. 333-202660) as filed with the SEC on March 11, 2015).</w:t>
        </w:r>
      </w:hyperlink>
    </w:p>
    <w:p>
      <w:pPr>
        <w:spacing w:after="0" w:line="1" w:lineRule="exact"/>
        <w:rPr>
          <w:sz w:val="20"/>
          <w:szCs w:val="20"/>
          <w:color w:val="auto"/>
        </w:rPr>
      </w:pPr>
    </w:p>
    <w:p>
      <w:pPr>
        <w:ind w:left="1160"/>
        <w:spacing w:after="0" w:line="249" w:lineRule="auto"/>
        <w:rPr>
          <w:rFonts w:ascii="Arial" w:cs="Arial" w:eastAsia="Arial" w:hAnsi="Arial"/>
          <w:sz w:val="18"/>
          <w:szCs w:val="18"/>
          <w:u w:val="single" w:color="auto"/>
          <w:color w:val="0000EE"/>
        </w:rPr>
      </w:pPr>
      <w:hyperlink r:id="rId251">
        <w:r>
          <w:rPr>
            <w:rFonts w:ascii="Arial" w:cs="Arial" w:eastAsia="Arial" w:hAnsi="Arial"/>
            <w:sz w:val="18"/>
            <w:szCs w:val="18"/>
            <w:u w:val="single" w:color="auto"/>
            <w:color w:val="0000EE"/>
          </w:rPr>
          <w:t>Amended and Restated Employment Agreement by and between the Registrant and R. LaDuane Clifton, dated as of June 25, 2015</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u w:val="single" w:color="auto"/>
            <w:color w:val="0000EE"/>
          </w:rPr>
          <w:t>(incorporated herein by reference to the Registrant's Quarterly Report on Form 10-Q as filed with the SEC on August 14, 2015).</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Amendment to Amended and Restated Employment Agreement by and between the Registrant and R. LaDuane Clifton, dated as of October</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13, 2015 (incorporated herein by reference to the Registrant's Quarterly Report on Form 10-Q as filed with the SEC on November 13,</w:t>
        </w:r>
      </w:hyperlink>
      <w:r>
        <w:rPr>
          <w:rFonts w:ascii="Arial" w:cs="Arial" w:eastAsia="Arial" w:hAnsi="Arial"/>
          <w:sz w:val="18"/>
          <w:szCs w:val="18"/>
          <w:u w:val="single" w:color="auto"/>
          <w:color w:val="0000EE"/>
        </w:rPr>
        <w:t xml:space="preserve"> </w:t>
      </w:r>
      <w:hyperlink r:id="rId252">
        <w:r>
          <w:rPr>
            <w:rFonts w:ascii="Arial" w:cs="Arial" w:eastAsia="Arial" w:hAnsi="Arial"/>
            <w:sz w:val="18"/>
            <w:szCs w:val="18"/>
            <w:u w:val="single" w:color="auto"/>
            <w:color w:val="0000EE"/>
          </w:rPr>
          <w:t>2015).</w:t>
        </w:r>
      </w:hyperlink>
    </w:p>
    <w:p>
      <w:pPr>
        <w:spacing w:after="0" w:line="4" w:lineRule="exact"/>
        <w:rPr>
          <w:rFonts w:ascii="Arial" w:cs="Arial" w:eastAsia="Arial" w:hAnsi="Arial"/>
          <w:sz w:val="18"/>
          <w:szCs w:val="18"/>
          <w:u w:val="single" w:color="auto"/>
          <w:color w:val="0000EE"/>
        </w:rPr>
      </w:pPr>
    </w:p>
    <w:p>
      <w:pPr>
        <w:ind w:left="1160"/>
        <w:spacing w:after="0" w:line="249" w:lineRule="auto"/>
        <w:rPr>
          <w:rFonts w:ascii="Arial" w:cs="Arial" w:eastAsia="Arial" w:hAnsi="Arial"/>
          <w:sz w:val="18"/>
          <w:szCs w:val="18"/>
          <w:u w:val="single" w:color="auto"/>
          <w:color w:val="0000EE"/>
        </w:rPr>
      </w:pPr>
      <w:hyperlink r:id="rId253">
        <w:r>
          <w:rPr>
            <w:rFonts w:ascii="Arial" w:cs="Arial" w:eastAsia="Arial" w:hAnsi="Arial"/>
            <w:sz w:val="18"/>
            <w:szCs w:val="18"/>
            <w:u w:val="single" w:color="auto"/>
            <w:color w:val="0000EE"/>
          </w:rPr>
          <w:t>Employment Agreement by and between the Registrant and Christal M.M. Mickle, dated as of May 30, 2014 (incorporated herein by</w:t>
        </w:r>
      </w:hyperlink>
      <w:r>
        <w:rPr>
          <w:rFonts w:ascii="Arial" w:cs="Arial" w:eastAsia="Arial" w:hAnsi="Arial"/>
          <w:sz w:val="18"/>
          <w:szCs w:val="18"/>
          <w:u w:val="single" w:color="auto"/>
          <w:color w:val="0000EE"/>
        </w:rPr>
        <w:t xml:space="preserve"> </w:t>
      </w:r>
      <w:hyperlink r:id="rId253">
        <w:r>
          <w:rPr>
            <w:rFonts w:ascii="Arial" w:cs="Arial" w:eastAsia="Arial" w:hAnsi="Arial"/>
            <w:sz w:val="18"/>
            <w:szCs w:val="18"/>
            <w:u w:val="single" w:color="auto"/>
            <w:color w:val="0000EE"/>
          </w:rPr>
          <w:t>reference to the Registrant's Registration Statement on Form S-1 (File No. 333-202660) as filed with the SEC on March 11, 2015).</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Amendment to Employment Agreement by and between the Registrant and Christal M.M. Mickle, dated as of October 13, 2015</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(incorporated herein by reference to Exhibit 10.1 to the Registrant's Quarterly Report on Form 10-Q filed with the SEC on November 13,</w:t>
        </w:r>
      </w:hyperlink>
      <w:r>
        <w:rPr>
          <w:rFonts w:ascii="Arial" w:cs="Arial" w:eastAsia="Arial" w:hAnsi="Arial"/>
          <w:sz w:val="18"/>
          <w:szCs w:val="18"/>
          <w:u w:val="single" w:color="auto"/>
          <w:color w:val="0000EE"/>
        </w:rPr>
        <w:t xml:space="preserve"> </w:t>
      </w:r>
      <w:hyperlink r:id="rId254">
        <w:r>
          <w:rPr>
            <w:rFonts w:ascii="Arial" w:cs="Arial" w:eastAsia="Arial" w:hAnsi="Arial"/>
            <w:sz w:val="18"/>
            <w:szCs w:val="18"/>
            <w:u w:val="single" w:color="auto"/>
            <w:color w:val="0000EE"/>
          </w:rPr>
          <w:t>2015).</w:t>
        </w:r>
      </w:hyperlink>
    </w:p>
    <w:p>
      <w:pPr>
        <w:spacing w:after="0" w:line="4" w:lineRule="exact"/>
        <w:rPr>
          <w:rFonts w:ascii="Arial" w:cs="Arial" w:eastAsia="Arial" w:hAnsi="Arial"/>
          <w:sz w:val="18"/>
          <w:szCs w:val="18"/>
          <w:u w:val="single" w:color="auto"/>
          <w:color w:val="0000EE"/>
        </w:rPr>
      </w:pPr>
    </w:p>
    <w:p>
      <w:pPr>
        <w:ind w:left="1160"/>
        <w:spacing w:after="0" w:line="264" w:lineRule="auto"/>
        <w:rPr>
          <w:rFonts w:ascii="Arial" w:cs="Arial" w:eastAsia="Arial" w:hAnsi="Arial"/>
          <w:sz w:val="17"/>
          <w:szCs w:val="17"/>
          <w:u w:val="single" w:color="auto"/>
          <w:color w:val="0000EE"/>
        </w:rPr>
      </w:pPr>
      <w:hyperlink r:id="rId255">
        <w:r>
          <w:rPr>
            <w:rFonts w:ascii="Arial" w:cs="Arial" w:eastAsia="Arial" w:hAnsi="Arial"/>
            <w:sz w:val="17"/>
            <w:szCs w:val="17"/>
            <w:u w:val="single" w:color="auto"/>
            <w:color w:val="0000EE"/>
          </w:rPr>
          <w:t>Employment Agreement by and between the Registrant and Travis C. Mickle, Ph.D., dated as of May 30, 2014 (incorporated herein by</w:t>
        </w:r>
      </w:hyperlink>
      <w:r>
        <w:rPr>
          <w:rFonts w:ascii="Arial" w:cs="Arial" w:eastAsia="Arial" w:hAnsi="Arial"/>
          <w:sz w:val="17"/>
          <w:szCs w:val="17"/>
          <w:u w:val="single" w:color="auto"/>
          <w:color w:val="0000EE"/>
        </w:rPr>
        <w:t xml:space="preserve"> </w:t>
      </w:r>
      <w:hyperlink r:id="rId255">
        <w:r>
          <w:rPr>
            <w:rFonts w:ascii="Arial" w:cs="Arial" w:eastAsia="Arial" w:hAnsi="Arial"/>
            <w:sz w:val="17"/>
            <w:szCs w:val="17"/>
            <w:u w:val="single" w:color="auto"/>
            <w:color w:val="0000EE"/>
          </w:rPr>
          <w:t>reference to the Registrant's Registration Statement on Form S-1 (File No. 333-202660) as filed with the SEC on March 11, 2015).</w:t>
        </w:r>
      </w:hyperlink>
      <w:r>
        <w:rPr>
          <w:rFonts w:ascii="Arial" w:cs="Arial" w:eastAsia="Arial" w:hAnsi="Arial"/>
          <w:sz w:val="17"/>
          <w:szCs w:val="17"/>
          <w:u w:val="single" w:color="auto"/>
          <w:color w:val="0000EE"/>
        </w:rPr>
        <w:t xml:space="preserve"> </w:t>
      </w:r>
      <w:hyperlink r:id="rId256">
        <w:r>
          <w:rPr>
            <w:rFonts w:ascii="Arial" w:cs="Arial" w:eastAsia="Arial" w:hAnsi="Arial"/>
            <w:sz w:val="17"/>
            <w:szCs w:val="17"/>
            <w:u w:val="single" w:color="auto"/>
            <w:color w:val="0000EE"/>
          </w:rPr>
          <w:t>Amendment to Employment Agreement by and between the Registrant and Travis C. Mickle, Ph.D., dated as of October 13, 2015</w:t>
        </w:r>
      </w:hyperlink>
      <w:r>
        <w:rPr>
          <w:rFonts w:ascii="Arial" w:cs="Arial" w:eastAsia="Arial" w:hAnsi="Arial"/>
          <w:sz w:val="17"/>
          <w:szCs w:val="17"/>
          <w:u w:val="single" w:color="auto"/>
          <w:color w:val="0000EE"/>
        </w:rPr>
        <w:t xml:space="preserve"> </w:t>
      </w:r>
      <w:hyperlink r:id="rId256">
        <w:r>
          <w:rPr>
            <w:rFonts w:ascii="Arial" w:cs="Arial" w:eastAsia="Arial" w:hAnsi="Arial"/>
            <w:sz w:val="17"/>
            <w:szCs w:val="17"/>
            <w:u w:val="single" w:color="auto"/>
            <w:color w:val="0000EE"/>
          </w:rPr>
          <w:t>(incorporated herein by reference to the Registrant's Quarterly Report on Form 10-Q filed with the SEC on November 13, 2015).</w:t>
        </w:r>
      </w:hyperlink>
    </w:p>
    <w:p>
      <w:pPr>
        <w:spacing w:after="0" w:line="2" w:lineRule="exact"/>
        <w:rPr>
          <w:rFonts w:ascii="Arial" w:cs="Arial" w:eastAsia="Arial" w:hAnsi="Arial"/>
          <w:sz w:val="17"/>
          <w:szCs w:val="17"/>
          <w:u w:val="single" w:color="auto"/>
          <w:color w:val="0000EE"/>
        </w:rPr>
      </w:pPr>
    </w:p>
    <w:p>
      <w:pPr>
        <w:ind w:left="1160"/>
        <w:spacing w:after="0" w:line="264" w:lineRule="auto"/>
        <w:rPr>
          <w:rFonts w:ascii="Arial" w:cs="Arial" w:eastAsia="Arial" w:hAnsi="Arial"/>
          <w:sz w:val="17"/>
          <w:szCs w:val="17"/>
          <w:u w:val="single" w:color="auto"/>
          <w:color w:val="0000EE"/>
        </w:rPr>
      </w:pPr>
      <w:hyperlink r:id="rId257">
        <w:r>
          <w:rPr>
            <w:rFonts w:ascii="Arial" w:cs="Arial" w:eastAsia="Arial" w:hAnsi="Arial"/>
            <w:sz w:val="17"/>
            <w:szCs w:val="17"/>
            <w:u w:val="single" w:color="auto"/>
            <w:color w:val="0000EE"/>
          </w:rPr>
          <w:t>Amended and Restated Employment Agreement by and between the Registrant and Sven Guenther, dated as of April 13, 2016</w:t>
        </w:r>
      </w:hyperlink>
      <w:r>
        <w:rPr>
          <w:rFonts w:ascii="Arial" w:cs="Arial" w:eastAsia="Arial" w:hAnsi="Arial"/>
          <w:sz w:val="17"/>
          <w:szCs w:val="17"/>
          <w:u w:val="single" w:color="auto"/>
          <w:color w:val="0000EE"/>
        </w:rPr>
        <w:t xml:space="preserve"> </w:t>
      </w:r>
      <w:hyperlink r:id="rId257">
        <w:r>
          <w:rPr>
            <w:rFonts w:ascii="Arial" w:cs="Arial" w:eastAsia="Arial" w:hAnsi="Arial"/>
            <w:sz w:val="17"/>
            <w:szCs w:val="17"/>
            <w:u w:val="single" w:color="auto"/>
            <w:color w:val="0000EE"/>
          </w:rPr>
          <w:t>(incorporated herein by reference to the Registrant's Quarterly Report on Form 10-Q as filed with the SEC on May 13, 2016).</w:t>
        </w:r>
      </w:hyperlink>
    </w:p>
    <w:p>
      <w:pPr>
        <w:spacing w:after="0" w:line="1" w:lineRule="exact"/>
        <w:rPr>
          <w:sz w:val="20"/>
          <w:szCs w:val="20"/>
          <w:color w:val="auto"/>
        </w:rPr>
      </w:pPr>
    </w:p>
    <w:p>
      <w:pPr>
        <w:ind w:left="1160" w:right="360"/>
        <w:spacing w:after="0" w:line="289" w:lineRule="auto"/>
        <w:rPr>
          <w:rFonts w:ascii="Arial" w:cs="Arial" w:eastAsia="Arial" w:hAnsi="Arial"/>
          <w:sz w:val="17"/>
          <w:szCs w:val="17"/>
          <w:u w:val="single" w:color="auto"/>
          <w:color w:val="0000EE"/>
        </w:rPr>
      </w:pPr>
      <w:hyperlink r:id="rId258">
        <w:r>
          <w:rPr>
            <w:rFonts w:ascii="Arial" w:cs="Arial" w:eastAsia="Arial" w:hAnsi="Arial"/>
            <w:sz w:val="17"/>
            <w:szCs w:val="17"/>
            <w:u w:val="single" w:color="auto"/>
            <w:color w:val="0000EE"/>
          </w:rPr>
          <w:t>Executive Employment Agreement by and between the Registrant and Richard W. Pascoe, dated as of November 5, 2021 (incorporated</w:t>
        </w:r>
      </w:hyperlink>
      <w:r>
        <w:rPr>
          <w:rFonts w:ascii="Arial" w:cs="Arial" w:eastAsia="Arial" w:hAnsi="Arial"/>
          <w:sz w:val="17"/>
          <w:szCs w:val="17"/>
          <w:u w:val="single" w:color="auto"/>
          <w:color w:val="0000EE"/>
        </w:rPr>
        <w:t xml:space="preserve"> </w:t>
      </w:r>
      <w:hyperlink r:id="rId258">
        <w:r>
          <w:rPr>
            <w:rFonts w:ascii="Arial" w:cs="Arial" w:eastAsia="Arial" w:hAnsi="Arial"/>
            <w:sz w:val="17"/>
            <w:szCs w:val="17"/>
            <w:u w:val="single" w:color="auto"/>
            <w:color w:val="0000EE"/>
          </w:rPr>
          <w:t>herein by reference to the Registrant's Current Report on Form 8-K as filed with the SEC on November 10, 2021).</w:t>
        </w:r>
      </w:hyperlink>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740" w:type="dxa"/>
            <w:vAlign w:val="bottom"/>
            <w:gridSpan w:val="15"/>
          </w:tcPr>
          <w:p>
            <w:pPr>
              <w:jc w:val="right"/>
              <w:ind w:right="4580"/>
              <w:spacing w:after="0"/>
              <w:rPr>
                <w:sz w:val="20"/>
                <w:szCs w:val="20"/>
                <w:color w:val="auto"/>
              </w:rPr>
            </w:pPr>
            <w:r>
              <w:rPr>
                <w:rFonts w:ascii="Arial" w:cs="Arial" w:eastAsia="Arial" w:hAnsi="Arial"/>
                <w:sz w:val="18"/>
                <w:szCs w:val="18"/>
                <w:b w:val="1"/>
                <w:bCs w:val="1"/>
                <w:color w:val="auto"/>
              </w:rPr>
              <w:t>EXHIBITS, CONTINUED</w:t>
            </w:r>
          </w:p>
        </w:tc>
      </w:tr>
      <w:tr>
        <w:trPr>
          <w:trHeight w:val="458"/>
        </w:trPr>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Exhibit No.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14"/>
          </w:tcPr>
          <w:p>
            <w:pPr>
              <w:jc w:val="right"/>
              <w:ind w:right="46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060" w:type="dxa"/>
            <w:vAlign w:val="bottom"/>
            <w:tcBorders>
              <w:bottom w:val="single" w:sz="8" w:color="0000EE"/>
            </w:tcBorders>
            <w:gridSpan w:val="19"/>
          </w:tcPr>
          <w:p>
            <w:pPr>
              <w:spacing w:after="0" w:line="169" w:lineRule="exact"/>
              <w:rPr>
                <w:rFonts w:ascii="Arial" w:cs="Arial" w:eastAsia="Arial" w:hAnsi="Arial"/>
                <w:sz w:val="18"/>
                <w:szCs w:val="18"/>
                <w:color w:val="0000EE"/>
                <w:w w:val="96"/>
              </w:rPr>
            </w:pPr>
            <w:hyperlink r:id="rId260">
              <w:r>
                <w:rPr>
                  <w:rFonts w:ascii="Arial" w:cs="Arial" w:eastAsia="Arial" w:hAnsi="Arial"/>
                  <w:sz w:val="18"/>
                  <w:szCs w:val="18"/>
                  <w:color w:val="0000EE"/>
                  <w:w w:val="96"/>
                </w:rPr>
                <w:t>Lease Agreement, by and between KemPharm, Inc. and BRE/COH FL LLC, dated as of November 3, 2014 (incorporated herein by</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80" w:type="dxa"/>
            <w:vAlign w:val="bottom"/>
            <w:tcBorders>
              <w:bottom w:val="single" w:sz="8" w:color="0000EE"/>
            </w:tcBorders>
            <w:gridSpan w:val="11"/>
          </w:tcPr>
          <w:p>
            <w:pPr>
              <w:spacing w:after="0" w:line="195" w:lineRule="exact"/>
              <w:rPr>
                <w:rFonts w:ascii="Arial" w:cs="Arial" w:eastAsia="Arial" w:hAnsi="Arial"/>
                <w:sz w:val="18"/>
                <w:szCs w:val="18"/>
                <w:color w:val="0000EE"/>
                <w:w w:val="90"/>
              </w:rPr>
            </w:pPr>
            <w:hyperlink r:id="rId260">
              <w:r>
                <w:rPr>
                  <w:rFonts w:ascii="Arial" w:cs="Arial" w:eastAsia="Arial" w:hAnsi="Arial"/>
                  <w:sz w:val="18"/>
                  <w:szCs w:val="18"/>
                  <w:color w:val="0000EE"/>
                  <w:w w:val="90"/>
                </w:rPr>
                <w:t>reference to the Registrant's Annual Report on Form 10-K as filed with the SEC on March 10, 2017).</w:t>
              </w:r>
            </w:hyperlink>
          </w:p>
        </w:tc>
        <w:tc>
          <w:tcPr>
            <w:tcW w:w="2800" w:type="dxa"/>
            <w:vAlign w:val="bottom"/>
            <w:gridSpan w:val="9"/>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10.15.1</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9"/>
              </w:rPr>
            </w:pPr>
            <w:hyperlink r:id="rId261">
              <w:r>
                <w:rPr>
                  <w:rFonts w:ascii="Arial" w:cs="Arial" w:eastAsia="Arial" w:hAnsi="Arial"/>
                  <w:sz w:val="18"/>
                  <w:szCs w:val="18"/>
                  <w:color w:val="0000EE"/>
                  <w:w w:val="99"/>
                </w:rPr>
                <w:t>First Amendment to the Lease Agreement, by and between KemPharm, Inc. and BRE/COH FL LLC, dated as of April 21, 2015</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bottom w:val="single" w:sz="8" w:color="0000EE"/>
            </w:tcBorders>
            <w:gridSpan w:val="16"/>
          </w:tcPr>
          <w:p>
            <w:pPr>
              <w:spacing w:after="0" w:line="195" w:lineRule="exact"/>
              <w:rPr>
                <w:rFonts w:ascii="Arial" w:cs="Arial" w:eastAsia="Arial" w:hAnsi="Arial"/>
                <w:sz w:val="18"/>
                <w:szCs w:val="18"/>
                <w:color w:val="0000EE"/>
                <w:w w:val="91"/>
              </w:rPr>
            </w:pPr>
            <w:hyperlink r:id="rId261">
              <w:r>
                <w:rPr>
                  <w:rFonts w:ascii="Arial" w:cs="Arial" w:eastAsia="Arial" w:hAnsi="Arial"/>
                  <w:sz w:val="18"/>
                  <w:szCs w:val="18"/>
                  <w:color w:val="0000EE"/>
                  <w:w w:val="91"/>
                </w:rPr>
                <w:t>(incorporated herein by reference to the Registrant's Annual Report on Form 10-K as filed with the SEC on March 10, 2017).</w:t>
              </w:r>
            </w:hyperlink>
          </w:p>
        </w:tc>
        <w:tc>
          <w:tcPr>
            <w:tcW w:w="1060" w:type="dxa"/>
            <w:vAlign w:val="bottom"/>
            <w:gridSpan w:val="4"/>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10.15.2</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3"/>
              </w:rPr>
            </w:pPr>
            <w:hyperlink r:id="rId262">
              <w:r>
                <w:rPr>
                  <w:rFonts w:ascii="Arial" w:cs="Arial" w:eastAsia="Arial" w:hAnsi="Arial"/>
                  <w:sz w:val="18"/>
                  <w:szCs w:val="18"/>
                  <w:color w:val="0000EE"/>
                  <w:w w:val="93"/>
                </w:rPr>
                <w:t>Second Amendment to the Lease Agreement, by and between KemPharm, Inc. and BRE/COH FL LLC, dated as of December 22, 2015</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r:id="rId262">
              <w:r>
                <w:rPr>
                  <w:rFonts w:ascii="Arial" w:cs="Arial" w:eastAsia="Arial" w:hAnsi="Arial"/>
                  <w:sz w:val="18"/>
                  <w:szCs w:val="18"/>
                  <w:color w:val="0000EE"/>
                </w:rPr>
                <w:t>(incorporated herein by reference to the Registrant's Annual 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10.15.3</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9"/>
              </w:rPr>
            </w:pPr>
            <w:hyperlink r:id="rId263">
              <w:r>
                <w:rPr>
                  <w:rFonts w:ascii="Arial" w:cs="Arial" w:eastAsia="Arial" w:hAnsi="Arial"/>
                  <w:sz w:val="18"/>
                  <w:szCs w:val="18"/>
                  <w:color w:val="0000EE"/>
                  <w:w w:val="99"/>
                </w:rPr>
                <w:t>Third Amendment to the Lease Agreement, by and between KemPharm, Inc. and BRE/COH FL LLC, dated as of July 15, 2016</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bottom w:val="single" w:sz="8" w:color="0000EE"/>
            </w:tcBorders>
            <w:gridSpan w:val="16"/>
          </w:tcPr>
          <w:p>
            <w:pPr>
              <w:spacing w:after="0" w:line="195" w:lineRule="exact"/>
              <w:rPr>
                <w:rFonts w:ascii="Arial" w:cs="Arial" w:eastAsia="Arial" w:hAnsi="Arial"/>
                <w:sz w:val="18"/>
                <w:szCs w:val="18"/>
                <w:color w:val="0000EE"/>
                <w:w w:val="91"/>
              </w:rPr>
            </w:pPr>
            <w:hyperlink r:id="rId263">
              <w:r>
                <w:rPr>
                  <w:rFonts w:ascii="Arial" w:cs="Arial" w:eastAsia="Arial" w:hAnsi="Arial"/>
                  <w:sz w:val="18"/>
                  <w:szCs w:val="18"/>
                  <w:color w:val="0000EE"/>
                  <w:w w:val="91"/>
                </w:rPr>
                <w:t>(incorporated herein by reference to the Registrant's Annual Report on Form 10-K as filed with the SEC on March 10, 2017).</w:t>
              </w:r>
            </w:hyperlink>
          </w:p>
        </w:tc>
        <w:tc>
          <w:tcPr>
            <w:tcW w:w="1060" w:type="dxa"/>
            <w:vAlign w:val="bottom"/>
            <w:gridSpan w:val="4"/>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4"/>
                <w:szCs w:val="14"/>
                <w:color w:val="auto"/>
              </w:rPr>
              <w:t>10.16</w:t>
            </w:r>
            <w:r>
              <w:rPr>
                <w:rFonts w:ascii="Arial" w:cs="Arial" w:eastAsia="Arial" w:hAnsi="Arial"/>
                <w:sz w:val="22"/>
                <w:szCs w:val="22"/>
                <w:color w:val="auto"/>
                <w:vertAlign w:val="superscript"/>
              </w:rPr>
              <w:t>+</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Collaboration and License Agreement by and between the Company and KVK Tech, Inc. dated as of October 25, 2018 (incorporated herein</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r:id="rId264">
              <w:r>
                <w:rPr>
                  <w:rFonts w:ascii="Arial" w:cs="Arial" w:eastAsia="Arial" w:hAnsi="Arial"/>
                  <w:sz w:val="18"/>
                  <w:szCs w:val="18"/>
                  <w:color w:val="0000EE"/>
                </w:rPr>
                <w:t>by reference to the Registrant's Annual Report on Form 10-K as filed with the SEC on March 1,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4"/>
                <w:szCs w:val="14"/>
                <w:color w:val="auto"/>
              </w:rPr>
              <w:t>10.16.1</w:t>
            </w:r>
            <w:r>
              <w:rPr>
                <w:rFonts w:ascii="Arial" w:cs="Arial" w:eastAsia="Arial" w:hAnsi="Arial"/>
                <w:sz w:val="22"/>
                <w:szCs w:val="22"/>
                <w:color w:val="auto"/>
                <w:vertAlign w:val="superscript"/>
              </w:rPr>
              <w:t>+</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Warrant to Purchase Shares of Common Stock issued to KVK Tech, Inc. dated October 25, 2018 (incorporated herein by reference to the</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r:id="rId265">
              <w:r>
                <w:rPr>
                  <w:rFonts w:ascii="Arial" w:cs="Arial" w:eastAsia="Arial" w:hAnsi="Arial"/>
                  <w:sz w:val="18"/>
                  <w:szCs w:val="18"/>
                  <w:color w:val="0000EE"/>
                </w:rPr>
                <w:t>Registrant's Annual Report on Form 10-K as filed with the SEC on March 1, 2019).</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2"/>
              </w:rPr>
            </w:pPr>
            <w:hyperlink r:id="rId266">
              <w:r>
                <w:rPr>
                  <w:rFonts w:ascii="Arial" w:cs="Arial" w:eastAsia="Arial" w:hAnsi="Arial"/>
                  <w:sz w:val="18"/>
                  <w:szCs w:val="18"/>
                  <w:color w:val="0000EE"/>
                  <w:w w:val="92"/>
                </w:rPr>
                <w:t>Purchase Agreement, dated February 17, 2020, by and between the KemPharm, Inc. and Lincoln Park Capital Fund, LLC. (incorporated</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80" w:type="dxa"/>
            <w:vAlign w:val="bottom"/>
            <w:tcBorders>
              <w:bottom w:val="single" w:sz="8" w:color="0000EE"/>
            </w:tcBorders>
            <w:gridSpan w:val="13"/>
          </w:tcPr>
          <w:p>
            <w:pPr>
              <w:spacing w:after="0" w:line="195" w:lineRule="exact"/>
              <w:rPr>
                <w:rFonts w:ascii="Arial" w:cs="Arial" w:eastAsia="Arial" w:hAnsi="Arial"/>
                <w:sz w:val="18"/>
                <w:szCs w:val="18"/>
                <w:color w:val="0000EE"/>
                <w:w w:val="91"/>
              </w:rPr>
            </w:pPr>
            <w:hyperlink r:id="rId266">
              <w:r>
                <w:rPr>
                  <w:rFonts w:ascii="Arial" w:cs="Arial" w:eastAsia="Arial" w:hAnsi="Arial"/>
                  <w:sz w:val="18"/>
                  <w:szCs w:val="18"/>
                  <w:color w:val="0000EE"/>
                  <w:w w:val="91"/>
                </w:rPr>
                <w:t>herein by reference to the Registrant's Current Report on Form 8-K as filed with the SEC on February 18, 2020).</w:t>
              </w:r>
            </w:hyperlink>
          </w:p>
        </w:tc>
        <w:tc>
          <w:tcPr>
            <w:tcW w:w="1900" w:type="dxa"/>
            <w:vAlign w:val="bottom"/>
            <w:gridSpan w:val="7"/>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4"/>
                <w:szCs w:val="14"/>
                <w:color w:val="auto"/>
              </w:rPr>
              <w:t>10.18</w:t>
            </w:r>
            <w:r>
              <w:rPr>
                <w:rFonts w:ascii="Arial" w:cs="Arial" w:eastAsia="Arial" w:hAnsi="Arial"/>
                <w:sz w:val="22"/>
                <w:szCs w:val="22"/>
                <w:color w:val="auto"/>
                <w:vertAlign w:val="superscript"/>
              </w:rPr>
              <w:t>+</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r:id="rId267">
              <w:r>
                <w:rPr>
                  <w:rFonts w:ascii="Arial" w:cs="Arial" w:eastAsia="Arial" w:hAnsi="Arial"/>
                  <w:sz w:val="18"/>
                  <w:szCs w:val="18"/>
                  <w:color w:val="0000EE"/>
                  <w:w w:val="94"/>
                </w:rPr>
                <w:t>Collaboration and License Agreement, dated as of September 3, 2019, by and between KemPharm, Inc. and Boston Pharmaceuticals</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5"/>
              </w:rPr>
            </w:pPr>
            <w:hyperlink r:id="rId267">
              <w:r>
                <w:rPr>
                  <w:rFonts w:ascii="Arial" w:cs="Arial" w:eastAsia="Arial" w:hAnsi="Arial"/>
                  <w:sz w:val="18"/>
                  <w:szCs w:val="18"/>
                  <w:color w:val="0000EE"/>
                  <w:w w:val="95"/>
                </w:rPr>
                <w:t>Holdings SA.(incorporated herein by reference to the Registrant’s Current Report on Form 8-K as filed with the SEC on September 4,</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5" w:lineRule="exact"/>
              <w:rPr>
                <w:rFonts w:ascii="Arial" w:cs="Arial" w:eastAsia="Arial" w:hAnsi="Arial"/>
                <w:sz w:val="18"/>
                <w:szCs w:val="18"/>
                <w:color w:val="0000EE"/>
                <w:w w:val="86"/>
              </w:rPr>
            </w:pPr>
            <w:hyperlink r:id="rId267">
              <w:r>
                <w:rPr>
                  <w:rFonts w:ascii="Arial" w:cs="Arial" w:eastAsia="Arial" w:hAnsi="Arial"/>
                  <w:sz w:val="18"/>
                  <w:szCs w:val="18"/>
                  <w:color w:val="0000EE"/>
                  <w:w w:val="86"/>
                </w:rPr>
                <w:t>2019)</w:t>
              </w:r>
            </w:hyperlink>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9"/>
              </w:rPr>
              <w:t>10.19+</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r:id="rId268">
              <w:r>
                <w:rPr>
                  <w:rFonts w:ascii="Arial" w:cs="Arial" w:eastAsia="Arial" w:hAnsi="Arial"/>
                  <w:sz w:val="18"/>
                  <w:szCs w:val="18"/>
                  <w:color w:val="0000EE"/>
                  <w:w w:val="94"/>
                </w:rPr>
                <w:t>Amendment No. 1 to Collaboration and License Agreement, effective as of April 8, 2021, by and between the Company and Commave</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Therapeutics SA (formerly known as Boston Pharmaceuticals Holdings SA) (incorporated herein by reference to the Registrant’s Quarterly</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r:id="rId268">
              <w:r>
                <w:rPr>
                  <w:rFonts w:ascii="Arial" w:cs="Arial" w:eastAsia="Arial" w:hAnsi="Arial"/>
                  <w:sz w:val="18"/>
                  <w:szCs w:val="18"/>
                  <w:color w:val="0000EE"/>
                </w:rPr>
                <w:t>Report on Form 10-Q as filed with the SEC on August 13,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8"/>
              </w:rPr>
              <w:t>10.20</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5"/>
              </w:rPr>
            </w:pPr>
            <w:hyperlink r:id="rId269">
              <w:r>
                <w:rPr>
                  <w:rFonts w:ascii="Arial" w:cs="Arial" w:eastAsia="Arial" w:hAnsi="Arial"/>
                  <w:sz w:val="18"/>
                  <w:szCs w:val="18"/>
                  <w:color w:val="0000EE"/>
                  <w:w w:val="95"/>
                </w:rPr>
                <w:t>Form of Inducement Letter (incorporated herein by reference to the Registrant's Current Report on Form 8-K as filed with the SEC on</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r:id="rId269">
              <w:r>
                <w:rPr>
                  <w:rFonts w:ascii="Arial" w:cs="Arial" w:eastAsia="Arial" w:hAnsi="Arial"/>
                  <w:sz w:val="18"/>
                  <w:szCs w:val="18"/>
                  <w:color w:val="0000EE"/>
                </w:rPr>
                <w:t>January 26, 2021).</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270">
              <w:r>
                <w:rPr>
                  <w:rFonts w:ascii="Arial" w:cs="Arial" w:eastAsia="Arial" w:hAnsi="Arial"/>
                  <w:sz w:val="18"/>
                  <w:szCs w:val="18"/>
                  <w:color w:val="0000EE"/>
                  <w:w w:val="91"/>
                </w:rPr>
                <w:t>Form of Inducement Letter (incorporated herein by reference to the Registrant's Current Report on Form 8-K as filed with the SEC on June</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5" w:lineRule="exact"/>
              <w:rPr>
                <w:rFonts w:ascii="Arial" w:cs="Arial" w:eastAsia="Arial" w:hAnsi="Arial"/>
                <w:sz w:val="18"/>
                <w:szCs w:val="18"/>
                <w:color w:val="0000EE"/>
                <w:w w:val="88"/>
              </w:rPr>
            </w:pPr>
            <w:hyperlink r:id="rId270">
              <w:r>
                <w:rPr>
                  <w:rFonts w:ascii="Arial" w:cs="Arial" w:eastAsia="Arial" w:hAnsi="Arial"/>
                  <w:sz w:val="18"/>
                  <w:szCs w:val="18"/>
                  <w:color w:val="0000EE"/>
                  <w:w w:val="88"/>
                </w:rPr>
                <w:t>23, 2021).</w:t>
              </w:r>
            </w:hyperlink>
          </w:p>
        </w:tc>
        <w:tc>
          <w:tcPr>
            <w:tcW w:w="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88"/>
              </w:rPr>
              <w:t>10.22</w:t>
            </w: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w w:val="95"/>
              </w:rPr>
            </w:pPr>
            <w:hyperlink r:id="rId271">
              <w:r>
                <w:rPr>
                  <w:rFonts w:ascii="Arial" w:cs="Arial" w:eastAsia="Arial" w:hAnsi="Arial"/>
                  <w:sz w:val="18"/>
                  <w:szCs w:val="18"/>
                  <w:color w:val="0000EE"/>
                  <w:w w:val="95"/>
                </w:rPr>
                <w:t>Equity Distribution Agreement, dated July 2, 2021, by and among the Company, JMP Securities LLC and RBC Capital Markets, LLC</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(incorporated herein by reference to the Registrant's Current Report on Form 8-K as filed with the SEC on July 2, 2021).</w:t>
              </w:r>
            </w:hyperlink>
          </w:p>
        </w:tc>
        <w:tc>
          <w:tcPr>
            <w:tcW w:w="13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23.1*</w:t>
            </w: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Consent of RSM US LLP, Independent Registered Public Accounting Firm.</w:t>
              </w:r>
            </w:hyperlink>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24.1*</w:t>
            </w:r>
          </w:p>
        </w:tc>
        <w:tc>
          <w:tcPr>
            <w:tcW w:w="160" w:type="dxa"/>
            <w:vAlign w:val="bottom"/>
          </w:tcPr>
          <w:p>
            <w:pPr>
              <w:spacing w:after="0"/>
              <w:rPr>
                <w:sz w:val="17"/>
                <w:szCs w:val="17"/>
                <w:color w:val="auto"/>
              </w:rPr>
            </w:pPr>
          </w:p>
        </w:tc>
        <w:tc>
          <w:tcPr>
            <w:tcW w:w="544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200">
              <w:r>
                <w:rPr>
                  <w:rFonts w:ascii="Arial" w:cs="Arial" w:eastAsia="Arial" w:hAnsi="Arial"/>
                  <w:sz w:val="18"/>
                  <w:szCs w:val="18"/>
                  <w:color w:val="0000EE"/>
                </w:rPr>
                <w:t>Power of Attorney (included on signature page).</w:t>
              </w:r>
            </w:hyperlink>
          </w:p>
        </w:tc>
        <w:tc>
          <w:tcPr>
            <w:tcW w:w="4640" w:type="dxa"/>
            <w:vAlign w:val="bottom"/>
            <w:gridSpan w:val="1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160" w:type="dxa"/>
            <w:vAlign w:val="bottom"/>
          </w:tcPr>
          <w:p>
            <w:pPr>
              <w:spacing w:after="0"/>
              <w:rPr>
                <w:sz w:val="17"/>
                <w:szCs w:val="17"/>
                <w:color w:val="auto"/>
              </w:rPr>
            </w:pPr>
          </w:p>
        </w:tc>
        <w:tc>
          <w:tcPr>
            <w:tcW w:w="9800" w:type="dxa"/>
            <w:vAlign w:val="bottom"/>
            <w:tcBorders>
              <w:bottom w:val="single" w:sz="8" w:color="0000EE"/>
            </w:tcBorders>
            <w:gridSpan w:val="18"/>
          </w:tcPr>
          <w:p>
            <w:pPr>
              <w:spacing w:after="0" w:line="195" w:lineRule="exact"/>
              <w:rPr>
                <w:rFonts w:ascii="Arial" w:cs="Arial" w:eastAsia="Arial" w:hAnsi="Arial"/>
                <w:sz w:val="18"/>
                <w:szCs w:val="18"/>
                <w:color w:val="0000EE"/>
                <w:w w:val="91"/>
              </w:rPr>
            </w:pPr>
            <w:hyperlink w:anchor="page209">
              <w:r>
                <w:rPr>
                  <w:rFonts w:ascii="Arial" w:cs="Arial" w:eastAsia="Arial" w:hAnsi="Arial"/>
                  <w:sz w:val="18"/>
                  <w:szCs w:val="18"/>
                  <w:color w:val="0000EE"/>
                  <w:w w:val="91"/>
                </w:rPr>
                <w:t>Certification of the Principal Executive Officer pursuant to Rule 13a-14(a) or Rule 15d-14(a) of the Securities Exchange Act of 1934, as</w:t>
              </w:r>
            </w:hyperlink>
          </w:p>
        </w:tc>
        <w:tc>
          <w:tcPr>
            <w:tcW w:w="280" w:type="dxa"/>
            <w:vAlign w:val="bottom"/>
            <w:gridSpan w:val="2"/>
          </w:tcPr>
          <w:p>
            <w:pPr>
              <w:spacing w:after="0"/>
              <w:rPr>
                <w:sz w:val="17"/>
                <w:szCs w:val="17"/>
                <w:color w:val="auto"/>
              </w:rPr>
            </w:pPr>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5" w:lineRule="exact"/>
              <w:rPr>
                <w:rFonts w:ascii="Arial" w:cs="Arial" w:eastAsia="Arial" w:hAnsi="Arial"/>
                <w:sz w:val="18"/>
                <w:szCs w:val="18"/>
                <w:color w:val="0000EE"/>
                <w:w w:val="84"/>
              </w:rPr>
            </w:pPr>
            <w:hyperlink w:anchor="page209">
              <w:r>
                <w:rPr>
                  <w:rFonts w:ascii="Arial" w:cs="Arial" w:eastAsia="Arial" w:hAnsi="Arial"/>
                  <w:sz w:val="18"/>
                  <w:szCs w:val="18"/>
                  <w:color w:val="0000EE"/>
                  <w:w w:val="84"/>
                </w:rPr>
                <w:t>amended.</w:t>
              </w:r>
            </w:hyperlink>
          </w:p>
        </w:tc>
        <w:tc>
          <w:tcPr>
            <w:tcW w:w="9380" w:type="dxa"/>
            <w:vAlign w:val="bottom"/>
            <w:gridSpan w:val="17"/>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w w:val="94"/>
              </w:rPr>
            </w:pPr>
            <w:hyperlink w:anchor="page210">
              <w:r>
                <w:rPr>
                  <w:rFonts w:ascii="Arial" w:cs="Arial" w:eastAsia="Arial" w:hAnsi="Arial"/>
                  <w:sz w:val="18"/>
                  <w:szCs w:val="18"/>
                  <w:color w:val="0000EE"/>
                  <w:w w:val="94"/>
                </w:rPr>
                <w:t>Certification of the Principal Financial Officer pursuant to Rule 13a-14(a) or Rule 15d-14(a) of the Securities Exchange Act of 1934, as</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4"/>
              </w:rPr>
            </w:pPr>
            <w:hyperlink w:anchor="page210">
              <w:r>
                <w:rPr>
                  <w:rFonts w:ascii="Arial" w:cs="Arial" w:eastAsia="Arial" w:hAnsi="Arial"/>
                  <w:sz w:val="18"/>
                  <w:szCs w:val="18"/>
                  <w:color w:val="0000EE"/>
                  <w:w w:val="84"/>
                </w:rPr>
                <w:t>amended.</w:t>
              </w:r>
            </w:hyperlink>
          </w:p>
        </w:tc>
        <w:tc>
          <w:tcPr>
            <w:tcW w:w="9040" w:type="dxa"/>
            <w:vAlign w:val="bottom"/>
            <w:tcBorders>
              <w:top w:val="single" w:sz="8" w:color="0000EE"/>
            </w:tcBorders>
            <w:gridSpan w:val="14"/>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w:anchor="page211">
              <w:r>
                <w:rPr>
                  <w:rFonts w:ascii="Arial" w:cs="Arial" w:eastAsia="Arial" w:hAnsi="Arial"/>
                  <w:sz w:val="18"/>
                  <w:szCs w:val="18"/>
                  <w:color w:val="0000EE"/>
                  <w:w w:val="94"/>
                </w:rPr>
                <w:t>Certification of the Principal Executive Officer pursuant to Rule 13a-14(b) of the Securities Exchange Act of 1934, as amended, and 18</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U.S.C. Section 1350, as adopted pursuant to Section 906 of the Sarbanes-Oxley Act of 2002.</w:t>
              </w:r>
            </w:hyperlink>
          </w:p>
        </w:tc>
        <w:tc>
          <w:tcPr>
            <w:tcW w:w="3400" w:type="dxa"/>
            <w:vAlign w:val="bottom"/>
            <w:gridSpan w:val="10"/>
          </w:tcPr>
          <w:p>
            <w:pPr>
              <w:spacing w:after="0"/>
              <w:rPr>
                <w:sz w:val="17"/>
                <w:szCs w:val="17"/>
                <w:color w:val="auto"/>
              </w:rPr>
            </w:pP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5" w:lineRule="exact"/>
              <w:rPr>
                <w:rFonts w:ascii="Arial" w:cs="Arial" w:eastAsia="Arial" w:hAnsi="Arial"/>
                <w:sz w:val="18"/>
                <w:szCs w:val="18"/>
                <w:color w:val="0000EE"/>
                <w:w w:val="94"/>
              </w:rPr>
            </w:pPr>
            <w:hyperlink w:anchor="page212">
              <w:r>
                <w:rPr>
                  <w:rFonts w:ascii="Arial" w:cs="Arial" w:eastAsia="Arial" w:hAnsi="Arial"/>
                  <w:sz w:val="18"/>
                  <w:szCs w:val="18"/>
                  <w:color w:val="0000EE"/>
                  <w:w w:val="94"/>
                </w:rPr>
                <w:t>Certification of the Principal Financial Officer pursuant to Rule 13a-14(b) of the Securities Exchange Act of 1934, as amended, and 18</w:t>
              </w:r>
            </w:hyperlink>
          </w:p>
        </w:tc>
      </w:tr>
      <w:tr>
        <w:trPr>
          <w:trHeight w:val="195"/>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gridSpan w:val="20"/>
          </w:tcPr>
          <w:p>
            <w:pPr>
              <w:spacing w:after="0" w:line="195" w:lineRule="exact"/>
              <w:rPr>
                <w:rFonts w:ascii="Arial" w:cs="Arial" w:eastAsia="Arial" w:hAnsi="Arial"/>
                <w:sz w:val="18"/>
                <w:szCs w:val="18"/>
                <w:color w:val="0000EE"/>
              </w:rPr>
            </w:pPr>
            <w:hyperlink w:anchor="page212">
              <w:r>
                <w:rPr>
                  <w:rFonts w:ascii="Arial" w:cs="Arial" w:eastAsia="Arial" w:hAnsi="Arial"/>
                  <w:sz w:val="18"/>
                  <w:szCs w:val="18"/>
                  <w:color w:val="0000EE"/>
                </w:rPr>
                <w:t>U.S.C. Section 1350, as adopted pursuant to Section 906 of the Sarbanes-Oxley Act of 2002.</w:t>
              </w:r>
            </w:hyperlink>
          </w:p>
        </w:tc>
      </w:tr>
      <w:tr>
        <w:trPr>
          <w:trHeight w:val="452"/>
        </w:trPr>
        <w:tc>
          <w:tcPr>
            <w:tcW w:w="10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680" w:type="dxa"/>
            <w:vAlign w:val="bottom"/>
            <w:tcBorders>
              <w:top w:val="single" w:sz="8" w:color="0000EE"/>
            </w:tcBorders>
            <w:gridSpan w:val="6"/>
          </w:tcPr>
          <w:p>
            <w:pPr>
              <w:jc w:val="right"/>
              <w:ind w:right="10"/>
              <w:spacing w:after="0"/>
              <w:rPr>
                <w:sz w:val="20"/>
                <w:szCs w:val="20"/>
                <w:color w:val="auto"/>
              </w:rPr>
            </w:pPr>
            <w:r>
              <w:rPr>
                <w:rFonts w:ascii="Arial" w:cs="Arial" w:eastAsia="Arial" w:hAnsi="Arial"/>
                <w:sz w:val="18"/>
                <w:szCs w:val="18"/>
                <w:color w:val="auto"/>
              </w:rPr>
              <w:t>196</w:t>
            </w: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80" w:type="dxa"/>
            <w:vAlign w:val="bottom"/>
          </w:tcPr>
          <w:p>
            <w:pPr>
              <w:ind w:left="3460"/>
              <w:spacing w:after="0"/>
              <w:rPr>
                <w:sz w:val="20"/>
                <w:szCs w:val="20"/>
                <w:color w:val="auto"/>
              </w:rPr>
            </w:pPr>
            <w:r>
              <w:rPr>
                <w:rFonts w:ascii="Arial" w:cs="Arial" w:eastAsia="Arial" w:hAnsi="Arial"/>
                <w:sz w:val="18"/>
                <w:szCs w:val="18"/>
                <w:b w:val="1"/>
                <w:bCs w:val="1"/>
                <w:color w:val="auto"/>
              </w:rPr>
              <w:t>EXHIBITS, CONTINUED</w:t>
            </w:r>
          </w:p>
        </w:tc>
      </w:tr>
      <w:tr>
        <w:trPr>
          <w:trHeight w:val="458"/>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60" w:type="dxa"/>
            <w:vAlign w:val="bottom"/>
          </w:tcPr>
          <w:p>
            <w:pPr>
              <w:spacing w:after="0"/>
              <w:rPr>
                <w:sz w:val="24"/>
                <w:szCs w:val="24"/>
                <w:color w:val="auto"/>
              </w:rPr>
            </w:pPr>
          </w:p>
        </w:tc>
        <w:tc>
          <w:tcPr>
            <w:tcW w:w="10080" w:type="dxa"/>
            <w:vAlign w:val="bottom"/>
            <w:tcBorders>
              <w:bottom w:val="single" w:sz="8" w:color="auto"/>
            </w:tcBorders>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7"/>
              </w:rPr>
              <w:t>101.INS*</w:t>
            </w:r>
          </w:p>
        </w:tc>
        <w:tc>
          <w:tcPr>
            <w:tcW w:w="160" w:type="dxa"/>
            <w:vAlign w:val="bottom"/>
          </w:tcPr>
          <w:p>
            <w:pPr>
              <w:spacing w:after="0"/>
              <w:rPr>
                <w:sz w:val="16"/>
                <w:szCs w:val="16"/>
                <w:color w:val="auto"/>
              </w:rPr>
            </w:pPr>
          </w:p>
        </w:tc>
        <w:tc>
          <w:tcPr>
            <w:tcW w:w="10080" w:type="dxa"/>
            <w:vAlign w:val="bottom"/>
          </w:tcPr>
          <w:p>
            <w:pPr>
              <w:spacing w:after="0" w:line="195" w:lineRule="exact"/>
              <w:rPr>
                <w:sz w:val="20"/>
                <w:szCs w:val="20"/>
                <w:color w:val="auto"/>
              </w:rPr>
            </w:pPr>
            <w:r>
              <w:rPr>
                <w:rFonts w:ascii="Arial" w:cs="Arial" w:eastAsia="Arial" w:hAnsi="Arial"/>
                <w:sz w:val="18"/>
                <w:szCs w:val="18"/>
                <w:color w:val="auto"/>
              </w:rPr>
              <w:t>Inline XBRL Instance Document.</w:t>
            </w:r>
          </w:p>
        </w:tc>
      </w:tr>
      <w:tr>
        <w:trPr>
          <w:trHeight w:val="215"/>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0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00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5"/>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240" w:type="dxa"/>
            <w:vAlign w:val="bottom"/>
            <w:gridSpan w:val="2"/>
          </w:tcPr>
          <w:p>
            <w:pPr>
              <w:ind w:left="160"/>
              <w:spacing w:after="0"/>
              <w:rPr>
                <w:sz w:val="20"/>
                <w:szCs w:val="20"/>
                <w:color w:val="auto"/>
              </w:rPr>
            </w:pPr>
            <w:r>
              <w:rPr>
                <w:rFonts w:ascii="Arial" w:cs="Arial" w:eastAsia="Arial" w:hAnsi="Arial"/>
                <w:sz w:val="18"/>
                <w:szCs w:val="18"/>
                <w:color w:val="auto"/>
              </w:rPr>
              <w:t>Cover Page Interactive Data File (embedded within the Inline XBRL and contained in Exhibit 101)</w:t>
            </w:r>
          </w:p>
        </w:tc>
      </w:tr>
    </w:tbl>
    <w:p>
      <w:pPr>
        <w:spacing w:after="0" w:line="214" w:lineRule="exact"/>
        <w:rPr>
          <w:sz w:val="20"/>
          <w:szCs w:val="20"/>
          <w:color w:val="auto"/>
        </w:rPr>
      </w:pPr>
    </w:p>
    <w:p>
      <w:pPr>
        <w:ind w:left="1160" w:hanging="699"/>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9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 w:lineRule="exact"/>
        <w:rPr>
          <w:sz w:val="20"/>
          <w:szCs w:val="20"/>
          <w:color w:val="auto"/>
        </w:rPr>
      </w:pPr>
    </w:p>
    <w:p>
      <w:pPr>
        <w:ind w:left="1160" w:hanging="744"/>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160" w:hanging="69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1160" w:right="60" w:hanging="705"/>
        <w:spacing w:after="0" w:line="259" w:lineRule="auto"/>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portions of the exhibit, identified by the mark, “[*]”, have been omitted because such portions contained information that is both (i) not material and (ii) the type that the Registrant treats as private or confidential.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20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9"/>
              </w:rPr>
              <w:t>FORM 10-K SUMMARY</w:t>
            </w:r>
          </w:p>
        </w:tc>
        <w:tc>
          <w:tcPr>
            <w:tcW w:w="0" w:type="dxa"/>
            <w:vAlign w:val="bottom"/>
          </w:tcPr>
          <w:p>
            <w:pPr>
              <w:spacing w:after="0"/>
              <w:rPr>
                <w:sz w:val="1"/>
                <w:szCs w:val="1"/>
                <w:color w:val="auto"/>
              </w:rPr>
            </w:pPr>
          </w:p>
        </w:tc>
      </w:tr>
      <w:tr>
        <w:trPr>
          <w:trHeight w:val="126"/>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rPr>
              <w:t>16.</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600" w:type="dxa"/>
            <w:vAlign w:val="bottom"/>
          </w:tcPr>
          <w:p>
            <w:pPr>
              <w:spacing w:after="0"/>
              <w:rPr>
                <w:sz w:val="20"/>
                <w:szCs w:val="20"/>
                <w:color w:val="auto"/>
              </w:rPr>
            </w:pPr>
            <w:r>
              <w:rPr>
                <w:rFonts w:ascii="Arial" w:cs="Arial" w:eastAsia="Arial" w:hAnsi="Arial"/>
                <w:sz w:val="18"/>
                <w:szCs w:val="18"/>
                <w:color w:val="auto"/>
              </w:rPr>
              <w:t>None.</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60" w:type="dxa"/>
            <w:vAlign w:val="bottom"/>
            <w:gridSpan w:val="2"/>
          </w:tcPr>
          <w:p>
            <w:pPr>
              <w:ind w:left="3360"/>
              <w:spacing w:after="0"/>
              <w:rPr>
                <w:sz w:val="20"/>
                <w:szCs w:val="20"/>
                <w:color w:val="auto"/>
              </w:rPr>
            </w:pPr>
            <w:r>
              <w:rPr>
                <w:rFonts w:ascii="Arial" w:cs="Arial" w:eastAsia="Arial" w:hAnsi="Arial"/>
                <w:sz w:val="18"/>
                <w:szCs w:val="18"/>
                <w:color w:val="auto"/>
              </w:rPr>
              <w:t>KemPharm, Inc.</w:t>
            </w:r>
          </w:p>
        </w:tc>
      </w:tr>
      <w:tr>
        <w:trPr>
          <w:trHeight w:val="431"/>
        </w:trPr>
        <w:tc>
          <w:tcPr>
            <w:tcW w:w="3580" w:type="dxa"/>
            <w:vAlign w:val="bottom"/>
          </w:tcPr>
          <w:p>
            <w:pPr>
              <w:spacing w:after="0"/>
              <w:rPr>
                <w:sz w:val="20"/>
                <w:szCs w:val="20"/>
                <w:color w:val="auto"/>
              </w:rPr>
            </w:pPr>
            <w:r>
              <w:rPr>
                <w:rFonts w:ascii="Arial" w:cs="Arial" w:eastAsia="Arial" w:hAnsi="Arial"/>
                <w:sz w:val="18"/>
                <w:szCs w:val="18"/>
                <w:color w:val="auto"/>
              </w:rPr>
              <w:t>Dated: March 30, 2022</w:t>
            </w:r>
          </w:p>
        </w:tc>
        <w:tc>
          <w:tcPr>
            <w:tcW w:w="7660" w:type="dxa"/>
            <w:vAlign w:val="bottom"/>
            <w:gridSpan w:val="2"/>
          </w:tcPr>
          <w:p>
            <w:pPr>
              <w:ind w:left="3360"/>
              <w:spacing w:after="0"/>
              <w:rPr>
                <w:sz w:val="20"/>
                <w:szCs w:val="20"/>
                <w:color w:val="auto"/>
              </w:rPr>
            </w:pPr>
            <w:r>
              <w:rPr>
                <w:rFonts w:ascii="Arial" w:cs="Arial" w:eastAsia="Arial" w:hAnsi="Arial"/>
                <w:sz w:val="18"/>
                <w:szCs w:val="18"/>
                <w:color w:val="auto"/>
              </w:rPr>
              <w:t>By:  /s/ Travis C. Mickle</w:t>
            </w:r>
          </w:p>
        </w:tc>
      </w:tr>
      <w:tr>
        <w:trPr>
          <w:trHeight w:val="195"/>
        </w:trPr>
        <w:tc>
          <w:tcPr>
            <w:tcW w:w="3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5"/>
        </w:trPr>
        <w:tc>
          <w:tcPr>
            <w:tcW w:w="3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1"/>
        </w:trPr>
        <w:tc>
          <w:tcPr>
            <w:tcW w:w="3580" w:type="dxa"/>
            <w:vAlign w:val="bottom"/>
          </w:tcPr>
          <w:p>
            <w:pPr>
              <w:spacing w:after="0"/>
              <w:rPr>
                <w:sz w:val="20"/>
                <w:szCs w:val="20"/>
                <w:color w:val="auto"/>
              </w:rPr>
            </w:pPr>
            <w:r>
              <w:rPr>
                <w:rFonts w:ascii="Arial" w:cs="Arial" w:eastAsia="Arial" w:hAnsi="Arial"/>
                <w:sz w:val="18"/>
                <w:szCs w:val="18"/>
                <w:color w:val="auto"/>
              </w:rPr>
              <w:t>Dated: March 30, 2022</w:t>
            </w:r>
          </w:p>
        </w:tc>
        <w:tc>
          <w:tcPr>
            <w:tcW w:w="7660" w:type="dxa"/>
            <w:vAlign w:val="bottom"/>
            <w:gridSpan w:val="2"/>
          </w:tcPr>
          <w:p>
            <w:pPr>
              <w:ind w:left="3360"/>
              <w:spacing w:after="0"/>
              <w:rPr>
                <w:sz w:val="20"/>
                <w:szCs w:val="20"/>
                <w:color w:val="auto"/>
              </w:rPr>
            </w:pPr>
            <w:r>
              <w:rPr>
                <w:rFonts w:ascii="Arial" w:cs="Arial" w:eastAsia="Arial" w:hAnsi="Arial"/>
                <w:sz w:val="18"/>
                <w:szCs w:val="18"/>
                <w:color w:val="auto"/>
              </w:rPr>
              <w:t>By:  /s/ R. LaDuane Clifton</w:t>
            </w:r>
          </w:p>
        </w:tc>
      </w:tr>
      <w:tr>
        <w:trPr>
          <w:trHeight w:val="195"/>
        </w:trPr>
        <w:tc>
          <w:tcPr>
            <w:tcW w:w="3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LaDuane Clifton, CPA</w:t>
            </w:r>
          </w:p>
        </w:tc>
      </w:tr>
      <w:tr>
        <w:trPr>
          <w:trHeight w:val="215"/>
        </w:trPr>
        <w:tc>
          <w:tcPr>
            <w:tcW w:w="3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3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1"/>
        </w:trPr>
        <w:tc>
          <w:tcPr>
            <w:tcW w:w="3580" w:type="dxa"/>
            <w:vAlign w:val="bottom"/>
          </w:tcPr>
          <w:p>
            <w:pPr>
              <w:spacing w:after="0"/>
              <w:rPr>
                <w:sz w:val="24"/>
                <w:szCs w:val="24"/>
                <w:color w:val="auto"/>
              </w:rPr>
            </w:pPr>
          </w:p>
        </w:tc>
        <w:tc>
          <w:tcPr>
            <w:tcW w:w="3720" w:type="dxa"/>
            <w:vAlign w:val="bottom"/>
          </w:tcPr>
          <w:p>
            <w:pPr>
              <w:jc w:val="right"/>
              <w:ind w:right="1450"/>
              <w:spacing w:after="0"/>
              <w:rPr>
                <w:sz w:val="20"/>
                <w:szCs w:val="20"/>
                <w:color w:val="auto"/>
              </w:rPr>
            </w:pPr>
            <w:r>
              <w:rPr>
                <w:rFonts w:ascii="Arial" w:cs="Arial" w:eastAsia="Arial" w:hAnsi="Arial"/>
                <w:sz w:val="18"/>
                <w:szCs w:val="18"/>
                <w:color w:val="auto"/>
              </w:rPr>
              <w:t>198</w:t>
            </w:r>
          </w:p>
        </w:tc>
        <w:tc>
          <w:tcPr>
            <w:tcW w:w="3940" w:type="dxa"/>
            <w:vAlign w:val="bottom"/>
          </w:tcPr>
          <w:p>
            <w:pPr>
              <w:spacing w:after="0"/>
              <w:rPr>
                <w:sz w:val="24"/>
                <w:szCs w:val="24"/>
                <w:color w:val="auto"/>
              </w:rPr>
            </w:pPr>
          </w:p>
        </w:tc>
      </w:tr>
      <w:tr>
        <w:trPr>
          <w:trHeight w:val="115"/>
        </w:trPr>
        <w:tc>
          <w:tcPr>
            <w:tcW w:w="358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6" w:right="3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KNOW ALL BY THESE PRESENTS, that each person whose signature appears below hereby constitute and appoint Travis C. Mickle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882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Travis C. Mickle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Travis C. Mickle, Ph.D.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 LaDuane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LaDuane Clifton, CPA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Timothy J. Sangiovanni, CPA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Matthew R. Plooster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R. Plooster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Richard W. Pascoe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W. Pascoe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Joseph B. Saluri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B. Saluri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Tamara A. Seymour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Tamara A. Seymour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David S.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882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27882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 Tierney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4380" w:type="dxa"/>
            <w:vAlign w:val="bottom"/>
          </w:tcPr>
          <w:p>
            <w:pPr>
              <w:jc w:val="center"/>
              <w:spacing w:after="0" w:line="195" w:lineRule="exact"/>
              <w:rPr>
                <w:sz w:val="20"/>
                <w:szCs w:val="20"/>
                <w:color w:val="auto"/>
              </w:rPr>
            </w:pPr>
            <w:r>
              <w:rPr>
                <w:rFonts w:ascii="Arial" w:cs="Arial" w:eastAsia="Arial" w:hAnsi="Arial"/>
                <w:sz w:val="18"/>
                <w:szCs w:val="18"/>
                <w:color w:val="auto"/>
                <w:w w:val="91"/>
              </w:rPr>
              <w:t>President, Chief Executive Officer and Director</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0"/>
        </w:trPr>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32"/>
        </w:trPr>
        <w:tc>
          <w:tcPr>
            <w:tcW w:w="4380" w:type="dxa"/>
            <w:vAlign w:val="bottom"/>
          </w:tcPr>
          <w:p>
            <w:pPr>
              <w:jc w:val="center"/>
              <w:spacing w:after="0"/>
              <w:rPr>
                <w:sz w:val="20"/>
                <w:szCs w:val="20"/>
                <w:color w:val="auto"/>
              </w:rPr>
            </w:pPr>
            <w:r>
              <w:rPr>
                <w:rFonts w:ascii="Arial" w:cs="Arial" w:eastAsia="Arial" w:hAnsi="Arial"/>
                <w:sz w:val="18"/>
                <w:szCs w:val="18"/>
                <w:color w:val="auto"/>
                <w:w w:val="90"/>
              </w:rPr>
              <w:t>Chief Financial Officer, Secretary and Treasurer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32"/>
        </w:trPr>
        <w:tc>
          <w:tcPr>
            <w:tcW w:w="4380" w:type="dxa"/>
            <w:vAlign w:val="bottom"/>
          </w:tcPr>
          <w:p>
            <w:pPr>
              <w:jc w:val="center"/>
              <w:spacing w:after="0"/>
              <w:rPr>
                <w:sz w:val="20"/>
                <w:szCs w:val="20"/>
                <w:color w:val="auto"/>
              </w:rPr>
            </w:pPr>
            <w:r>
              <w:rPr>
                <w:rFonts w:ascii="Arial" w:cs="Arial" w:eastAsia="Arial" w:hAnsi="Arial"/>
                <w:sz w:val="18"/>
                <w:szCs w:val="18"/>
                <w:color w:val="auto"/>
                <w:w w:val="90"/>
              </w:rPr>
              <w:t>Vice President, Corporate Controller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43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60"/>
        </w:trPr>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60"/>
        </w:trPr>
        <w:tc>
          <w:tcPr>
            <w:tcW w:w="4380" w:type="dxa"/>
            <w:vAlign w:val="bottom"/>
          </w:tcPr>
          <w:p>
            <w:pPr>
              <w:jc w:val="center"/>
              <w:spacing w:after="0"/>
              <w:rPr>
                <w:sz w:val="20"/>
                <w:szCs w:val="20"/>
                <w:color w:val="auto"/>
              </w:rPr>
            </w:pPr>
            <w:r>
              <w:rPr>
                <w:rFonts w:ascii="Arial" w:cs="Arial" w:eastAsia="Arial" w:hAnsi="Arial"/>
                <w:sz w:val="18"/>
                <w:szCs w:val="18"/>
                <w:color w:val="auto"/>
                <w:w w:val="91"/>
              </w:rPr>
              <w:t>Executive Chairman of the Board of Directors</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60"/>
        </w:trPr>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60"/>
        </w:trPr>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60"/>
        </w:trPr>
        <w:tc>
          <w:tcPr>
            <w:tcW w:w="43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March 30, 2022</w:t>
            </w:r>
          </w:p>
        </w:tc>
      </w:tr>
      <w:tr>
        <w:trPr>
          <w:trHeight w:val="646"/>
        </w:trPr>
        <w:tc>
          <w:tcPr>
            <w:tcW w:w="4380" w:type="dxa"/>
            <w:vAlign w:val="bottom"/>
          </w:tcPr>
          <w:p>
            <w:pPr>
              <w:jc w:val="right"/>
              <w:ind w:right="305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2">
            <w:col w:w="3800" w:space="720"/>
            <w:col w:w="6720"/>
          </w:cols>
          <w:pgMar w:left="320" w:top="125" w:right="339"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4.5</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REGISTRANT</w:t>
      </w:r>
      <w:r>
        <w:rPr>
          <w:rFonts w:ascii="Arial" w:cs="Arial" w:eastAsia="Arial" w:hAnsi="Arial"/>
          <w:sz w:val="18"/>
          <w:szCs w:val="18"/>
          <w:color w:val="auto"/>
        </w:rPr>
        <w:t>’</w:t>
      </w:r>
      <w:r>
        <w:rPr>
          <w:rFonts w:ascii="Arial" w:cs="Arial" w:eastAsia="Arial" w:hAnsi="Arial"/>
          <w:sz w:val="18"/>
          <w:szCs w:val="18"/>
          <w:b w:val="1"/>
          <w:bCs w:val="1"/>
          <w:color w:val="auto"/>
        </w:rPr>
        <w:t>S SECURITIES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KemPharm, Inc. (“we,” “our,” or “us”) has one class of securities registered under Section 12 of the Securities Exchange Act of 1934, as amended, our common stock, par value $0.0001 per share, or common stock. The following description of our capital stock is a summary and does not purport to be complete. It is qualified in its entirety by, and should be read in conjunction with, our amended and restated certificate of incorporation, amended and restated bylaws and applicable Delaware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amended and restated certificate of incorporation we are authorized to issue up to 250,000,000 shares of common stock and 10,000,000 shares of preferred stock, $0.0001 par value per share, all of which are currently undesignated. Our board of directors may establish the rights and preferences of the undesignated preferred stock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The affirmative vote of the majority (plurality, in the case of the election of directors) of shares present and entitled to vote generally on a subject matter shall be the act of the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our common stock, and to increase or decrease the number of shares of any such series, but not below the number of shares of such series then outstanding. Our board of directors, without stockholder approval, can issue preferred stock with voting, conversion or other rights that could adversely affect the voting power and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and may adversely affect the voting power of holders of our common stock and reduce the likelihood that our common stockholders will receive dividend payments and payments upon liquidation.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1" w:name="page202"/>
    <w:bookmarkEnd w:id="201"/>
    <w:p>
      <w:pPr>
        <w:jc w:val="both"/>
        <w:spacing w:after="0" w:line="276" w:lineRule="auto"/>
        <w:rPr>
          <w:sz w:val="20"/>
          <w:szCs w:val="20"/>
          <w:color w:val="auto"/>
        </w:rPr>
      </w:pPr>
      <w:r>
        <w:rPr>
          <w:rFonts w:ascii="Arial" w:cs="Arial" w:eastAsia="Arial" w:hAnsi="Arial"/>
          <w:sz w:val="18"/>
          <w:szCs w:val="18"/>
          <w:color w:val="auto"/>
        </w:rPr>
        <w:t>Our board of directors will fix the designations, voting powers, preferences and rights, as well as the qualifications, limitations or restrictions, of the preferred stock of each series that we offer in the certificate of designation relating to that series.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Delaware General Corporation Law, the law governing corporations in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warrants include a net exercise provision and contain provisions for the adjustment of the exercise price and the number of shares issuable upon the exercise of each warrant in the event of certain stock dividends, stock splits, reorganizations, reclassifications and consolidations. We have also granted registration rights to Deerfield Private Design Fund III, L.P., or Deerfield, as more fully described below under “—Registration Rights.”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June 2014, in connection with our entering into a facility agreement, we issued to Deerfield a warrant, or the Deerfield Warrant, to purchase 14,423,076 shares of Series D redeemable convertible preferred stock at an exercise price of $0.78 per share, which is exercisable until June 2, 2024. Upon completion of our initial public offering, the Deerfield Warrant automatically converted into a warrant to purchase 120,192 shares of our common stock at an exercise price of $93.60 per share. According to the terms of the Deerfield Warrant, in no event may Deerfield exercise this warrant if such exercise would result in Deerfield beneficially owning more than 4.985% of the then issued and outstanding shares of our common stock. This exercise limitation may not be waived and any purported exercise that is inconsistent with this exercise limitation is null and void. This exercise limitation will not apply to any exercise made immediately prior to a change of control transaction. If Deerfield is only able to exercise the Deerfield Warrant for a limited number of shares due to this exercise limitation, the Deerfield Warrant could subsequently become exercisable to purchase the remainder of the shares as a result of a variety of events. This could occur, for example, if we issue more shares or Deerfield sells some of its existing shares. The Deerfield Warrant includes a net exercise provision and contains provisions for the adjustment of the exercise price and the number of shares issuable upon the exercise of the warrant in the event of certain stock dividends, stock splits, recapitalizations, reclassifications and consolidations. Under the Deerfield Warrant, Deerfield also has the right to demand upon the occurrence of specified events, including a merger, asset sale or other change of control transaction, that we redeem the Deerfield Warrant for a cash amount equal to the Black-Scholes value of the portion of the Deerfield Warrant to be redeemed. If Deerfield chooses not to redeem the Deerfield Warrant upon the occurrence of such an event, we may not enter into any such transaction unless our successor entity assumes in writing all our obligations under both the Deerfield Warrant and the Deerfield facility and provides Deerfield with certain registration rights.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Deerfield Warrant includes certain exercise price protection provisions pursuant to which the exercise price of the Deerfield Warrant will be adjusted downward on a broad-based weighted average basis if we issue or sell any shares of common stock, convertible securities, warrants or options, at a sale or exercise price per share less than the greater of the Deerfield Warrant’s exercise price or the closing sale price of our common stock on our principal market or exchange on the last trading date immediately prior to such issuance or, in the case of a firm commitment underwritten offering, on the date of execution of the underwriting agreement between us and the underwriters for such offering. The sale price for purposes of this adjustment is measured after giving effect to any underwriting discounts and commissions. This exercise price adjustment does not apply to certain specified sales and in any offering deemed by the Securities and Exchange Commission, or the SEC, to constitute an “at the market offering” as defined in Rule 415 of the Securities Act of 1933, or the Securities Act, of our common stock, the exercise price of the Deerfield Warrant will be adjusted downward pursuant to this anti-dilution adjustment only if such sales are made at a price less than $93.60 per share. In 2021, we entered into a two separate warrant inducement transactions which triggered these exercise price protection provision and the exercise price of the Deerfield Warrant was reduced from $93.60 per share to $46.25 per share and finally to $38.34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2" w:name="page203"/>
    <w:bookmarkEnd w:id="202"/>
    <w:p>
      <w:pPr>
        <w:jc w:val="both"/>
        <w:spacing w:after="0" w:line="269" w:lineRule="auto"/>
        <w:rPr>
          <w:sz w:val="20"/>
          <w:szCs w:val="20"/>
          <w:color w:val="auto"/>
        </w:rPr>
      </w:pPr>
      <w:r>
        <w:rPr>
          <w:rFonts w:ascii="Arial" w:cs="Arial" w:eastAsia="Arial" w:hAnsi="Arial"/>
          <w:sz w:val="17"/>
          <w:szCs w:val="17"/>
          <w:color w:val="auto"/>
        </w:rPr>
        <w:t>In October 2018, in connection with the APADAZ License Agreement, we issued to KVK-Tech, or KVK, a warrant to purchase up to 500,000 shares of our common stock of at an exercise price of $2.30 per share, which reflected the closing price of our common stock on the Nasdaq Stock Market on the execution date of the APADAZ License Agreement, or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our common stock. The exercise price and the number and type of shares underlying the KVK Warrant are subject to adjustment in the event of specified events, including a reclassification of our common stock, a subdivision or combination of our common stock, or in the event of specified dividend payments. The KVK Warrant is exercisable until October 24, 2023. Upon exercise, the aggregate exercise price may be paid, at KVK’s election, in cash or on a net issuance basis, based upon the fair market value of our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January 2021, pursuant to the terms of the underwriting agreement and the December 2020 exchange agreement, we issued warrants to purchase 12,078,361 shares of our common stock, or collectively, the Offering Warrants, in a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us a duly executed exercise notice, provided that payment in full for the number of shares of our common stock purchased upon such exercise is delivered to us in accordance with the terms of the Offering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our outstanding common stock immediately after exercise. Except as otherwise provided in the Offering Warrants or by virtue of such holder’s ownership of shares of our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our common stock. In the event of a fundamental transaction, as described in the Offering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our board of directors, the holders of the warrants have the right to require us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our board of directors, the holders of the Offering Warrants have the right to require us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balance sheets.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2021, pursuant to the terms of an underwriting agreement, we issued to the underwriter a warrant to purchase 806,932 shares of our common stock, or the Underwriter Warrant. The Underwriter Warrant is subject to substantially the same terms and conditions as the Offering Warrants, provided that the exercise price for the Underwriter Warrant is $8.125 per share. In connection with the closing of the underwriter's partial exercise of its over-allotment option, in February 2021, we issued to the underwriter additional warrants to purchase 18,702 shares of common stock under the same terms as the Underwriter Warrant, collectively these are known as the Underwriter Warrants.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03" w:name="page204"/>
    <w:bookmarkEnd w:id="203"/>
    <w:p>
      <w:pPr>
        <w:jc w:val="both"/>
        <w:spacing w:after="0" w:line="293" w:lineRule="auto"/>
        <w:rPr>
          <w:sz w:val="20"/>
          <w:szCs w:val="20"/>
          <w:color w:val="auto"/>
        </w:rPr>
      </w:pPr>
      <w:r>
        <w:rPr>
          <w:rFonts w:ascii="Arial" w:cs="Arial" w:eastAsia="Arial" w:hAnsi="Arial"/>
          <w:sz w:val="16"/>
          <w:szCs w:val="16"/>
          <w:color w:val="auto"/>
        </w:rPr>
        <w:t>In January 2021, we entered into warrant exercise inducement offer letters, or the January 2021 Inducement Transaction, with certain holders of the Offering Warrants pursuant to which such holders agreed to exercise for cash their existing warrants to purchase 6,620,358 shares of our common stock in exchange for our agreement to issue new warrants, or the January 2021 Inducement Warrants, on substantially the same terms as the existing warrants, except as set forth in the following sentence, to purchase up to 7,944,430 shares of our common stock, which is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we entered into warrant exercise inducement offer letters, or the June 2021 Inducement Transaction, with certain holders of the January 2021 Inducement Warrants pursuant to which such holders agreed to exercise for cash their January 2021 Inducement Warrants to purchase 6,117,509 shares of our common stock in exchange for our agreement to issue new warrants, the June 2021 Inducement Warrants, on substantially the same terms as the January 2021 Inducement Warrants, except as set forth in the following sentence, to purchase up to 1,529,379 shares of our common stock, which is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Agreement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and the holders of shares of our common stock issued upon the conversion or reclassification of our redeemable convertible preferred stock have entered into an investors’ rights agreement. The registration rights provisions of this agreement expired as to all holders of our capital stock, other than Deerfield, on the second anniversary of our initial public offering. The registration rights provisions of our investors’ rights agreement currently provide Deerfield with the registration rights described in more detail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Deerfield has the right to demand that we file a Form S-1 registration statement, as long as the anticipated aggregate offering price, net of underwriting discounts and commissions, would exceed $15.0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reasonably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Deerfield will be entitled to include its shares of our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Deerfield is entitled, upon its written request, to have such shares registered by us on a Form S-3 registration statement at our expense, subject to other specified conditions and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registration rights granted under the investors’ rights agreement terminated as to all the holders of our capital stock, other than Deerfield, on the two-year anniversary of our initial public offering. These registration rights will terminate as to Deerfield upon the earliest to occur of (i) written consent of Deerfield, (ii) such time that the Deerfield Warrant has been exercised in full and Rule 144 or another similar exemption under the Securities Act is available for the sale of all shares of our capital stock held by Deerfield without limitation during a three-month period without registration or (iii) six-months following the expiration of the Deerfield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2" w:lineRule="exact"/>
        <w:rPr>
          <w:sz w:val="20"/>
          <w:szCs w:val="20"/>
          <w:color w:val="auto"/>
        </w:rPr>
      </w:pPr>
    </w:p>
    <w:p>
      <w:pPr>
        <w:ind w:left="460" w:hanging="223"/>
        <w:spacing w:after="0" w:line="27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460" w:hanging="223"/>
        <w:spacing w:after="0" w:line="25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9" w:lineRule="exact"/>
        <w:rPr>
          <w:rFonts w:ascii="Arial" w:cs="Arial" w:eastAsia="Arial" w:hAnsi="Arial"/>
          <w:sz w:val="18"/>
          <w:szCs w:val="18"/>
          <w:color w:val="auto"/>
        </w:rPr>
      </w:pPr>
    </w:p>
    <w:p>
      <w:pPr>
        <w:jc w:val="both"/>
        <w:ind w:left="460" w:hanging="223"/>
        <w:spacing w:after="0" w:line="263"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4" w:lineRule="exact"/>
        <w:rPr>
          <w:sz w:val="20"/>
          <w:szCs w:val="20"/>
          <w:color w:val="auto"/>
        </w:rPr>
      </w:pPr>
    </w:p>
    <w:p>
      <w:pPr>
        <w:ind w:left="460" w:hanging="223"/>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3" w:lineRule="exact"/>
        <w:rPr>
          <w:rFonts w:ascii="Arial" w:cs="Arial" w:eastAsia="Arial" w:hAnsi="Arial"/>
          <w:sz w:val="18"/>
          <w:szCs w:val="18"/>
          <w:color w:val="auto"/>
        </w:rPr>
      </w:pPr>
    </w:p>
    <w:p>
      <w:pPr>
        <w:ind w:left="460" w:hanging="223"/>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3"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460" w:hanging="223"/>
        <w:spacing w:after="0" w:line="27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The affirmative vote of the majority (plurality, in the case of the election of directors) of shares present and entitled to vote generally on a subject matter shall be the act of the stockholders.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95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Choice of Forum</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amended and restated bylaws provide that (1)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current or former director, officer or other employee of us, to us or our stockholders; (C) any action or proceeding asserting a claim against us any current or former director, officer or other employee of us, arising out of or pursuant to any provision of the Delaware General Corporation Law, or the DGCL, our amended and restated certificate of incorporation or our amended and restated bylaws (as each may be amended from time to time); (D) any action or proceeding to interpret, apply, enforce or determine the validity of our amended and restated certificate of incorporation or our amended and restated bylaws (including any right, obligation, or remedy thereunder); (E) any action or proceeding as to which the DGCL confers jurisdiction to the Court of Chancery of the State of Delaware; and (F) any action or proceeding asserting a claim against us or any director, officer or other employee of us, governed by the internal affairs doctrine, in all cases to the fullest extent permitted by law and subject to the court’s having personal jurisdiction over the indispensable parties named as defendants, provided that this provision shall not apply to suits brought to enforce a duty or liability created by the Securities Act or the Exchange Act or any other claim for which the federal courts have exclusive jurisdiction; (2)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(3) any person or entity holding, owning or otherwise acquiring any interest in any of our securities shall be deemed to have notice of and consented to the provisions of our amended and restated bylaws.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Stock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“KMPH.”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79"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Statements (No. 333-234235, No. 333-252078, No. 333-252903, No. 333-257433, No. 333-257661 and No. 333-250945) on Form S-3 and Registration Statements (No. 333-203703, No. 333-210369, No. 333-216858, No. 333-224062, No. 333-230041, No. 333-236794, No. 333-252743 and No. 333-257429) on Form S-8 of KemPharm, Inc. of our report dated March 30, 2022 relating to the financial statements of KemPharm, Inc., appearing in this Annual Report on Form 10-K of KemPharm, Inc. for the year ended December 31, 2021.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2022</w:t>
      </w:r>
    </w:p>
    <w:p>
      <w:pPr>
        <w:sectPr>
          <w:pgSz w:w="11900" w:h="16838" w:orient="portrait"/>
          <w:cols w:equalWidth="0" w:num="1">
            <w:col w:w="11240"/>
          </w:cols>
          <w:pgMar w:left="320" w:top="12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4" w:lineRule="exact"/>
        <w:rPr>
          <w:sz w:val="20"/>
          <w:szCs w:val="20"/>
          <w:color w:val="auto"/>
        </w:rPr>
      </w:pPr>
    </w:p>
    <w:p>
      <w:pPr>
        <w:ind w:left="920" w:hanging="454"/>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22" w:lineRule="exact"/>
        <w:rPr>
          <w:rFonts w:ascii="Arial" w:cs="Arial" w:eastAsia="Arial" w:hAnsi="Arial"/>
          <w:sz w:val="18"/>
          <w:szCs w:val="18"/>
          <w:color w:val="auto"/>
        </w:rPr>
      </w:pPr>
    </w:p>
    <w:p>
      <w:pPr>
        <w:jc w:val="both"/>
        <w:ind w:left="920" w:hanging="454"/>
        <w:spacing w:after="0" w:line="249"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920" w:hanging="454"/>
        <w:spacing w:after="0" w:line="264"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20" w:hanging="454"/>
        <w:spacing w:after="0" w:line="281" w:lineRule="auto"/>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480" w:hanging="449"/>
        <w:spacing w:after="0" w:line="24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480" w:hanging="449"/>
        <w:spacing w:after="0" w:line="24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480" w:hanging="449"/>
        <w:spacing w:after="0" w:line="281"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hanging="449"/>
        <w:spacing w:after="0" w:line="24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920" w:hanging="454"/>
        <w:spacing w:after="0" w:line="281" w:lineRule="auto"/>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80" w:hanging="449"/>
        <w:spacing w:after="0" w:line="264" w:lineRule="auto"/>
        <w:tabs>
          <w:tab w:leader="none" w:pos="14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hanging="449"/>
        <w:spacing w:after="0" w:line="25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March 30,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0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040" w:type="dxa"/>
            <w:vAlign w:val="bottom"/>
          </w:tcPr>
          <w:p>
            <w:pPr>
              <w:spacing w:after="0"/>
              <w:rPr>
                <w:sz w:val="19"/>
                <w:szCs w:val="19"/>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4" w:lineRule="exact"/>
        <w:rPr>
          <w:sz w:val="20"/>
          <w:szCs w:val="20"/>
          <w:color w:val="auto"/>
        </w:rPr>
      </w:pPr>
    </w:p>
    <w:p>
      <w:pPr>
        <w:ind w:left="920" w:hanging="454"/>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KemPharm, Inc.;</w:t>
      </w:r>
    </w:p>
    <w:p>
      <w:pPr>
        <w:spacing w:after="0" w:line="22" w:lineRule="exact"/>
        <w:rPr>
          <w:rFonts w:ascii="Arial" w:cs="Arial" w:eastAsia="Arial" w:hAnsi="Arial"/>
          <w:sz w:val="18"/>
          <w:szCs w:val="18"/>
          <w:color w:val="auto"/>
        </w:rPr>
      </w:pPr>
    </w:p>
    <w:p>
      <w:pPr>
        <w:jc w:val="both"/>
        <w:ind w:left="920" w:hanging="454"/>
        <w:spacing w:after="0" w:line="249" w:lineRule="auto"/>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8"/>
          <w:szCs w:val="18"/>
          <w:color w:val="auto"/>
        </w:rPr>
      </w:pPr>
    </w:p>
    <w:p>
      <w:pPr>
        <w:ind w:left="920" w:hanging="454"/>
        <w:spacing w:after="0" w:line="264" w:lineRule="auto"/>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20" w:hanging="454"/>
        <w:spacing w:after="0" w:line="281" w:lineRule="auto"/>
        <w:tabs>
          <w:tab w:leader="none" w:pos="9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480" w:hanging="449"/>
        <w:spacing w:after="0" w:line="24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480" w:hanging="449"/>
        <w:spacing w:after="0" w:line="24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480" w:hanging="449"/>
        <w:spacing w:after="0" w:line="281" w:lineRule="auto"/>
        <w:tabs>
          <w:tab w:leader="none" w:pos="14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hanging="449"/>
        <w:spacing w:after="0" w:line="24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920" w:hanging="454"/>
        <w:spacing w:after="0" w:line="281" w:lineRule="auto"/>
        <w:tabs>
          <w:tab w:leader="none" w:pos="9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80" w:hanging="449"/>
        <w:spacing w:after="0" w:line="264" w:lineRule="auto"/>
        <w:tabs>
          <w:tab w:leader="none" w:pos="1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hanging="449"/>
        <w:spacing w:after="0" w:line="259"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March 30,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0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6040" w:type="dxa"/>
            <w:vAlign w:val="bottom"/>
          </w:tcPr>
          <w:p>
            <w:pPr>
              <w:spacing w:after="0"/>
              <w:rPr>
                <w:sz w:val="19"/>
                <w:szCs w:val="19"/>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8" w:lineRule="exact"/>
        <w:rPr>
          <w:sz w:val="20"/>
          <w:szCs w:val="20"/>
          <w:color w:val="auto"/>
        </w:rPr>
      </w:pPr>
    </w:p>
    <w:p>
      <w:pPr>
        <w:jc w:val="center"/>
        <w:ind w:left="340" w:right="2780"/>
        <w:spacing w:after="0" w:line="285" w:lineRule="auto"/>
        <w:rPr>
          <w:sz w:val="20"/>
          <w:szCs w:val="20"/>
          <w:color w:val="auto"/>
        </w:rPr>
      </w:pPr>
      <w:r>
        <w:rPr>
          <w:rFonts w:ascii="Arial" w:cs="Arial" w:eastAsia="Arial" w:hAnsi="Arial"/>
          <w:sz w:val="17"/>
          <w:szCs w:val="17"/>
          <w:color w:val="auto"/>
        </w:rPr>
        <w:t>CERTIFICATION OF THE PRINCIPAL EXECUTIVE OFFICER PURSUANT TO 18 U.S.C. SECTION 1350, AS ADOPTED PURSUANT TO SECTION 906 OF THE SARBANES-OXLEY ACT OF 2002</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2021,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20" w:hanging="454"/>
        <w:spacing w:after="0"/>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920" w:hanging="454"/>
        <w:spacing w:after="0" w:line="259"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March 30,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5"/>
        </w:trPr>
        <w:tc>
          <w:tcPr>
            <w:tcW w:w="60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040" w:type="dxa"/>
            <w:vAlign w:val="bottom"/>
          </w:tcPr>
          <w:p>
            <w:pPr>
              <w:spacing w:after="0"/>
              <w:rPr>
                <w:sz w:val="19"/>
                <w:szCs w:val="19"/>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8" w:lineRule="exact"/>
        <w:rPr>
          <w:sz w:val="20"/>
          <w:szCs w:val="20"/>
          <w:color w:val="auto"/>
        </w:rPr>
      </w:pPr>
    </w:p>
    <w:p>
      <w:pPr>
        <w:jc w:val="center"/>
        <w:ind w:left="340" w:right="2780"/>
        <w:spacing w:after="0" w:line="285" w:lineRule="auto"/>
        <w:rPr>
          <w:sz w:val="20"/>
          <w:szCs w:val="20"/>
          <w:color w:val="auto"/>
        </w:rPr>
      </w:pPr>
      <w:r>
        <w:rPr>
          <w:rFonts w:ascii="Arial" w:cs="Arial" w:eastAsia="Arial" w:hAnsi="Arial"/>
          <w:sz w:val="17"/>
          <w:szCs w:val="17"/>
          <w:color w:val="auto"/>
        </w:rPr>
        <w:t>CERTIFICATION OF THE PRINCIPAL FINANCIAL OFFICER PURSUANT TO 18 U.S.C. SECTION 1350, AS ADOPTED PURSUANT TO SECTION 906 OF THE SARBANES-OXLEY ACT OF 2002</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on Form 10-K of KemPharm, Inc., (the “Company”) for the fiscal year ended December 31, 2021,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20" w:hanging="454"/>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920" w:hanging="454"/>
        <w:spacing w:after="0" w:line="259"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March 30, 2022</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5"/>
        </w:trPr>
        <w:tc>
          <w:tcPr>
            <w:tcW w:w="604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6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6040" w:type="dxa"/>
            <w:vAlign w:val="bottom"/>
          </w:tcPr>
          <w:p>
            <w:pPr>
              <w:spacing w:after="0"/>
              <w:rPr>
                <w:sz w:val="19"/>
                <w:szCs w:val="19"/>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lowerRoman"/>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lowerRoman"/>
      <w:start w:val="3"/>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lvl w:ilvl="1">
      <w:lvlJc w:val="left"/>
      <w:lvlText w:val="(%2)"/>
      <w:numFmt w:val="lowerLetter"/>
      <w:start w:val="4"/>
    </w:lvl>
  </w:abstractNum>
  <w:abstractNum w:abstractNumId="48">
    <w:nsid w:val="42C296BD"/>
    <w:multiLevelType w:val="hybridMultilevel"/>
    <w:lvl w:ilvl="0">
      <w:lvlJc w:val="left"/>
      <w:lvlText w:val="●"/>
      <w:numFmt w:val="bullet"/>
      <w:start w:val="1"/>
    </w:lvl>
    <w:lvl w:ilvl="1">
      <w:lvlJc w:val="left"/>
      <w:lvlText w:val="(%2)"/>
      <w:numFmt w:val="lowerLetter"/>
      <w:start w:val="4"/>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lowerLetter"/>
      <w:start w:val="2"/>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lowerRoman"/>
      <w:start w:val="2"/>
    </w:lvl>
  </w:abstractNum>
  <w:abstractNum w:abstractNumId="56">
    <w:nsid w:val="613EFDC5"/>
    <w:multiLevelType w:val="hybridMultilevel"/>
    <w:lvl w:ilvl="0">
      <w:lvlJc w:val="left"/>
      <w:lvlText w:val="%1."/>
      <w:numFmt w:val="decimal"/>
      <w:start w:val="12"/>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upperLetter"/>
      <w:start w:val="1"/>
    </w:lvl>
  </w:abstractNum>
  <w:abstractNum w:abstractNumId="61">
    <w:nsid w:val="8F2B15E"/>
    <w:multiLevelType w:val="hybridMultilevel"/>
    <w:lvl w:ilvl="0">
      <w:lvlJc w:val="left"/>
      <w:lvlText w:val="%1."/>
      <w:numFmt w:val="upperLetter"/>
      <w:start w:val="2"/>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upperLetter"/>
      <w:start w:val="3"/>
    </w:lvl>
  </w:abstractNum>
  <w:abstractNum w:abstractNumId="64">
    <w:nsid w:val="68EB2F63"/>
    <w:multiLevelType w:val="hybridMultilevel"/>
    <w:lvl w:ilvl="0">
      <w:lvlJc w:val="left"/>
      <w:lvlText w:val="%1."/>
      <w:numFmt w:val="upperLetter"/>
      <w:start w:val="6"/>
    </w:lvl>
  </w:abstractNum>
  <w:abstractNum w:abstractNumId="65">
    <w:nsid w:val="4962813B"/>
    <w:multiLevelType w:val="hybridMultilevel"/>
    <w:lvl w:ilvl="0">
      <w:lvlJc w:val="left"/>
      <w:lvlText w:val="%1."/>
      <w:numFmt w:val="upperLetter"/>
      <w:start w:val="7"/>
    </w:lvl>
  </w:abstractNum>
  <w:abstractNum w:abstractNumId="66">
    <w:nsid w:val="60B6DF70"/>
    <w:multiLevelType w:val="hybridMultilevel"/>
    <w:lvl w:ilvl="0">
      <w:lvlJc w:val="left"/>
      <w:lvlText w:val="(%1)"/>
      <w:numFmt w:val="lowerRoman"/>
      <w:start w:val="1"/>
    </w:lvl>
  </w:abstractNum>
  <w:abstractNum w:abstractNumId="67">
    <w:nsid w:val="6A5EE64"/>
    <w:multiLevelType w:val="hybridMultilevel"/>
    <w:lvl w:ilvl="0">
      <w:lvlJc w:val="left"/>
      <w:lvlText w:val="(%1)"/>
      <w:numFmt w:val="lowerRoman"/>
      <w:start w:val="2"/>
    </w:lvl>
  </w:abstractNum>
  <w:abstractNum w:abstractNumId="68">
    <w:nsid w:val="14330624"/>
    <w:multiLevelType w:val="hybridMultilevel"/>
    <w:lvl w:ilvl="0">
      <w:lvlJc w:val="left"/>
      <w:lvlText w:val="(%1)"/>
      <w:numFmt w:val="lowerRoman"/>
      <w:start w:val="1"/>
    </w:lvl>
  </w:abstractNum>
  <w:abstractNum w:abstractNumId="69">
    <w:nsid w:val="7FFFCA11"/>
    <w:multiLevelType w:val="hybridMultilevel"/>
    <w:lvl w:ilvl="0">
      <w:lvlJc w:val="left"/>
      <w:lvlText w:val="(%1)"/>
      <w:numFmt w:val="lowerRoman"/>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1."/>
      <w:numFmt w:val="upperLetter"/>
      <w:start w:val="8"/>
    </w:lvl>
  </w:abstractNum>
  <w:abstractNum w:abstractNumId="74">
    <w:nsid w:val="6EB5BD4"/>
    <w:multiLevelType w:val="hybridMultilevel"/>
    <w:lvl w:ilvl="0">
      <w:lvlJc w:val="left"/>
      <w:lvlText w:val="%1."/>
      <w:numFmt w:val="upperLetter"/>
      <w:start w:val="9"/>
    </w:lvl>
  </w:abstractNum>
  <w:abstractNum w:abstractNumId="75">
    <w:nsid w:val="6F6DD9AC"/>
    <w:multiLevelType w:val="hybridMultilevel"/>
    <w:lvl w:ilvl="0">
      <w:lvlJc w:val="left"/>
      <w:lvlText w:val="%1."/>
      <w:numFmt w:val="upperLetter"/>
      <w:start w:val="10"/>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upperLetter"/>
      <w:start w:val="11"/>
    </w:lvl>
  </w:abstractNum>
  <w:abstractNum w:abstractNumId="78">
    <w:nsid w:val="76272110"/>
    <w:multiLevelType w:val="hybridMultilevel"/>
    <w:lvl w:ilvl="0">
      <w:lvlJc w:val="left"/>
      <w:lvlText w:val="%1."/>
      <w:numFmt w:val="upperLetter"/>
      <w:start w:val="12"/>
    </w:lvl>
  </w:abstractNum>
  <w:abstractNum w:abstractNumId="79">
    <w:nsid w:val="4C04A8AF"/>
    <w:multiLevelType w:val="hybridMultilevel"/>
    <w:lvl w:ilvl="0">
      <w:lvlJc w:val="left"/>
      <w:lvlText w:val="%1."/>
      <w:numFmt w:val="upperLetter"/>
      <w:start w:val="13"/>
    </w:lvl>
  </w:abstractNum>
  <w:abstractNum w:abstractNumId="80">
    <w:nsid w:val="1716703B"/>
    <w:multiLevelType w:val="hybridMultilevel"/>
    <w:lvl w:ilvl="0">
      <w:lvlJc w:val="left"/>
      <w:lvlText w:val="%1."/>
      <w:numFmt w:val="upperLetter"/>
      <w:start w:val="14"/>
    </w:lvl>
  </w:abstractNum>
  <w:abstractNum w:abstractNumId="81">
    <w:nsid w:val="14E17E33"/>
    <w:multiLevelType w:val="hybridMultilevel"/>
    <w:lvl w:ilvl="0">
      <w:lvlJc w:val="left"/>
      <w:lvlText w:val="%1."/>
      <w:numFmt w:val="upperLetter"/>
      <w:start w:val="15"/>
    </w:lvl>
  </w:abstractNum>
  <w:abstractNum w:abstractNumId="82">
    <w:nsid w:val="3222E7CD"/>
    <w:multiLevelType w:val="hybridMultilevel"/>
    <w:lvl w:ilvl="0">
      <w:lvlJc w:val="left"/>
      <w:lvlText w:val="%1."/>
      <w:numFmt w:val="upperLetter"/>
      <w:start w:val="16"/>
    </w:lvl>
  </w:abstractNum>
  <w:abstractNum w:abstractNumId="83">
    <w:nsid w:val="74DE0EE3"/>
    <w:multiLevelType w:val="hybridMultilevel"/>
    <w:lvl w:ilvl="0">
      <w:lvlJc w:val="left"/>
      <w:lvlText w:val="%1."/>
      <w:numFmt w:val="upperLetter"/>
      <w:start w:val="17"/>
    </w:lvl>
  </w:abstractNum>
  <w:abstractNum w:abstractNumId="84">
    <w:nsid w:val="68EBC550"/>
    <w:multiLevelType w:val="hybridMultilevel"/>
    <w:lvl w:ilvl="0">
      <w:lvlJc w:val="left"/>
      <w:lvlText w:val="%1."/>
      <w:numFmt w:val="upperLetter"/>
      <w:start w:val="18"/>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59"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17" Type="http://schemas.openxmlformats.org/officeDocument/2006/relationships/hyperlink" Target="http://www.sec.gov/Archives/edgar/data/1434647/000119312515140072/d911803dex31.htm" TargetMode="External"/><Relationship Id="rId218" Type="http://schemas.openxmlformats.org/officeDocument/2006/relationships/hyperlink" Target="http://www.sec.gov/Archives/edgar/data/0001434647/000143774920025891/ex_218888.htm" TargetMode="External"/><Relationship Id="rId219" Type="http://schemas.openxmlformats.org/officeDocument/2006/relationships/hyperlink" Target="http://www.sec.gov/Archives/edgar/data/1434647/000119312521197280/d192970dex31.htm" TargetMode="External"/><Relationship Id="rId220" Type="http://schemas.openxmlformats.org/officeDocument/2006/relationships/hyperlink" Target="http://www.sec.gov/Archives/edgar/data/1434647/000119312521197280/d192970dex32.htm" TargetMode="External"/><Relationship Id="rId221" Type="http://schemas.openxmlformats.org/officeDocument/2006/relationships/hyperlink" Target="http://www.sec.gov/Archives/edgar/data/1434647/000119312521197280/d192970dex33.htm" TargetMode="External"/><Relationship Id="rId222" Type="http://schemas.openxmlformats.org/officeDocument/2006/relationships/hyperlink" Target="http://www.sec.gov/Archives/edgar/data/0001434647/000143774920015351/ex_194015.htm" TargetMode="External"/><Relationship Id="rId223" Type="http://schemas.openxmlformats.org/officeDocument/2006/relationships/hyperlink" Target="http://www.sec.gov/Archives/edgar/data/1434647/000143774921005785/ex_227827.htm" TargetMode="External"/><Relationship Id="rId224" Type="http://schemas.openxmlformats.org/officeDocument/2006/relationships/hyperlink" Target="http://www.sec.gov/Archives/edgar/data/1434647/000119312521007494/d848409dex43.htm" TargetMode="External"/><Relationship Id="rId225" Type="http://schemas.openxmlformats.org/officeDocument/2006/relationships/hyperlink" Target="http://www.sec.gov/Archives/edgar/data/1434647/000143774921001230/ex_222593.htm" TargetMode="External"/><Relationship Id="rId226" Type="http://schemas.openxmlformats.org/officeDocument/2006/relationships/hyperlink" Target="http://www.sec.gov/Archives/edgar/data/1434647/000119312521197280/d192970dex41.htm" TargetMode="External"/><Relationship Id="rId227" Type="http://schemas.openxmlformats.org/officeDocument/2006/relationships/hyperlink" Target="http://www.sec.gov/Archives/edgar/data/1434647/000119312515119078/d793437dex101.htm" TargetMode="External"/><Relationship Id="rId228" Type="http://schemas.openxmlformats.org/officeDocument/2006/relationships/hyperlink" Target="http://www.sec.gov/Archives/edgar/data/1434647/000143774921002351/ex_225425.htm" TargetMode="External"/><Relationship Id="rId229" Type="http://schemas.openxmlformats.org/officeDocument/2006/relationships/hyperlink" Target="http://www.sec.gov/Archives/edgar/data/1434647/000156459016011814/kmph-ex101_35.htm" TargetMode="External"/><Relationship Id="rId230" Type="http://schemas.openxmlformats.org/officeDocument/2006/relationships/hyperlink" Target="http://www.sec.gov/Archives/edgar/data/1434647/000119312516728641/d273331dex102.htm" TargetMode="External"/><Relationship Id="rId231" Type="http://schemas.openxmlformats.org/officeDocument/2006/relationships/hyperlink" Target="http://www.sec.gov/Archives/edgar/data/1434647/000143774918021146/ex_130426.htm" TargetMode="External"/><Relationship Id="rId232" Type="http://schemas.openxmlformats.org/officeDocument/2006/relationships/hyperlink" Target="http://www.sec.gov/Archives/edgar/data/1434647/000143774919003789/ex_136276.htm" TargetMode="External"/><Relationship Id="rId233" Type="http://schemas.openxmlformats.org/officeDocument/2006/relationships/hyperlink" Target="http://www.sec.gov/Archives/edgar/data/1434647/000119312520039368/d832312dex103.htm" TargetMode="External"/><Relationship Id="rId234" Type="http://schemas.openxmlformats.org/officeDocument/2006/relationships/hyperlink" Target="http://www.sec.gov/Archives/edgar/data/1434647/000119312521007494/d848409dex101.htm" TargetMode="External"/><Relationship Id="rId235" Type="http://schemas.openxmlformats.org/officeDocument/2006/relationships/hyperlink" Target="http://www.sec.gov/Archives/edgar/data/1434647/000119312515087360/d793437dex105.htm" TargetMode="External"/><Relationship Id="rId236" Type="http://schemas.openxmlformats.org/officeDocument/2006/relationships/hyperlink" Target="http://www.sec.gov/Archives/edgar/data/1434647/000119312515087360/d793437dex107.htm" TargetMode="External"/><Relationship Id="rId239" Type="http://schemas.openxmlformats.org/officeDocument/2006/relationships/hyperlink" Target="http://www.sec.gov/Archives/edgar/data/1434647/000119312515087360/d793437dex103.htm" TargetMode="External"/><Relationship Id="rId240" Type="http://schemas.openxmlformats.org/officeDocument/2006/relationships/hyperlink" Target="http://www.sec.gov/Archives/edgar/data/1434647/000119312515119078/d793437dex1010.htm" TargetMode="External"/><Relationship Id="rId241" Type="http://schemas.openxmlformats.org/officeDocument/2006/relationships/hyperlink" Target="http://www.sec.gov/Archives/edgar/data/1434647/000119312515087360/d793437dex1011.htm" TargetMode="External"/><Relationship Id="rId242" Type="http://schemas.openxmlformats.org/officeDocument/2006/relationships/hyperlink" Target="http://www.sec.gov/Archives/edgar/data/1434647/000119312515087360/d793437dex1012.htm" TargetMode="External"/><Relationship Id="rId243" Type="http://schemas.openxmlformats.org/officeDocument/2006/relationships/hyperlink" Target="http://www.sec.gov/Archives/edgar/data/1434647/000119312515087360/d793437dex1013.htm" TargetMode="External"/><Relationship Id="rId244" Type="http://schemas.openxmlformats.org/officeDocument/2006/relationships/hyperlink" Target="http://www.sec.gov/Archives/edgar/data/1434647/000143774921019912/ex_272734.htm" TargetMode="External"/><Relationship Id="rId245" Type="http://schemas.openxmlformats.org/officeDocument/2006/relationships/hyperlink" Target="http://www.sec.gov/Archives/edgar/data/1434647/000119312515087360/d793437dex1015.htm" TargetMode="External"/><Relationship Id="rId246" Type="http://schemas.openxmlformats.org/officeDocument/2006/relationships/hyperlink" Target="http://www.sec.gov/Archives/edgar/data/1434647/000119312515087360/d793437dex1016.htm" TargetMode="External"/><Relationship Id="rId247" Type="http://schemas.openxmlformats.org/officeDocument/2006/relationships/hyperlink" Target="http://www.sec.gov/Archives/edgar/data/1434647/000143774919009870/ex_144816.htm" TargetMode="External"/><Relationship Id="rId248" Type="http://schemas.openxmlformats.org/officeDocument/2006/relationships/hyperlink" Target="http://www.sec.gov/Archives/edgar/data/1434647/000143774921019912/ex_272735.htm" TargetMode="External"/><Relationship Id="rId249" Type="http://schemas.openxmlformats.org/officeDocument/2006/relationships/hyperlink" Target="http://www.sec.gov/Archives/edgar/data/1434647/000143774921005785/ex_233334.htm" TargetMode="External"/><Relationship Id="rId250" Type="http://schemas.openxmlformats.org/officeDocument/2006/relationships/hyperlink" Target="http://www.sec.gov/Archives/edgar/data/1434647/000119312515087360/d793437dex1017.htm" TargetMode="External"/><Relationship Id="rId251" Type="http://schemas.openxmlformats.org/officeDocument/2006/relationships/hyperlink" Target="http://www.sec.gov/Archives/edgar/data/1434647/000156459015007410/kmph-ex107_273.htm" TargetMode="External"/><Relationship Id="rId252" Type="http://schemas.openxmlformats.org/officeDocument/2006/relationships/hyperlink" Target="http://www.sec.gov/Archives/edgar/data/1434647/000156459015010727/kmph-ex102_27.htm" TargetMode="External"/><Relationship Id="rId253" Type="http://schemas.openxmlformats.org/officeDocument/2006/relationships/hyperlink" Target="http://www.sec.gov/Archives/edgar/data/1434647/000119312515087360/d793437dex1020.htm" TargetMode="External"/><Relationship Id="rId254" Type="http://schemas.openxmlformats.org/officeDocument/2006/relationships/hyperlink" Target="http://www.sec.gov/Archives/edgar/data/1434647/000156459015010727/kmph-ex101_26.htm" TargetMode="External"/><Relationship Id="rId255" Type="http://schemas.openxmlformats.org/officeDocument/2006/relationships/hyperlink" Target="http://www.sec.gov/Archives/edgar/data/1434647/000119312515087360/d793437dex1019.htm" TargetMode="External"/><Relationship Id="rId256" Type="http://schemas.openxmlformats.org/officeDocument/2006/relationships/hyperlink" Target="http://www.sec.gov/Archives/edgar/data/1434647/000156459015010727/kmph-ex104_29.htm" TargetMode="External"/><Relationship Id="rId257" Type="http://schemas.openxmlformats.org/officeDocument/2006/relationships/hyperlink" Target="http://www.sec.gov/Archives/edgar/data/1434647/000156459016019302/kmph-ex104_84.htm" TargetMode="External"/><Relationship Id="rId258" Type="http://schemas.openxmlformats.org/officeDocument/2006/relationships/hyperlink" Target="http://www.sec.gov/Archives/edgar/data/1434647/000143774921026154/ex_304723.htm" TargetMode="External"/><Relationship Id="rId260" Type="http://schemas.openxmlformats.org/officeDocument/2006/relationships/hyperlink" Target="http://www.sec.gov/Archives/edgar/data/1434647/000143774917004317/ex10-28.htm" TargetMode="External"/><Relationship Id="rId261" Type="http://schemas.openxmlformats.org/officeDocument/2006/relationships/hyperlink" Target="http://www.sec.gov/Archives/edgar/data/1434647/000143774917004317/ex10-29.htm" TargetMode="External"/><Relationship Id="rId262" Type="http://schemas.openxmlformats.org/officeDocument/2006/relationships/hyperlink" Target="http://www.sec.gov/Archives/edgar/data/1434647/000143774917004317/ex10-30.htm" TargetMode="External"/><Relationship Id="rId263" Type="http://schemas.openxmlformats.org/officeDocument/2006/relationships/hyperlink" Target="http://www.sec.gov/Archives/edgar/data/1434647/000143774917004317/ex10-31.htm" TargetMode="External"/><Relationship Id="rId264" Type="http://schemas.openxmlformats.org/officeDocument/2006/relationships/hyperlink" Target="http://www.sec.gov/Archives/edgar/data/1434647/000143774919003789/ex_136268.htm" TargetMode="External"/><Relationship Id="rId265" Type="http://schemas.openxmlformats.org/officeDocument/2006/relationships/hyperlink" Target="http://www.sec.gov/Archives/edgar/data/1434647/000143774919003789/ex_136269.htm" TargetMode="External"/><Relationship Id="rId266" Type="http://schemas.openxmlformats.org/officeDocument/2006/relationships/hyperlink" Target="http://www.sec.gov/Archives/edgar/data/1434647/000119312520039368/d832312dex101.htm" TargetMode="External"/><Relationship Id="rId267" Type="http://schemas.openxmlformats.org/officeDocument/2006/relationships/hyperlink" Target="http://www.sec.gov/Archives/edgar/data/1434647/000119312519237105/d759901dex102.htm" TargetMode="External"/><Relationship Id="rId268" Type="http://schemas.openxmlformats.org/officeDocument/2006/relationships/hyperlink" Target="http://www.sec.gov/Archives/edgar/data/1434647/000143774921019912/ex_263534.htm" TargetMode="External"/><Relationship Id="rId269" Type="http://schemas.openxmlformats.org/officeDocument/2006/relationships/hyperlink" Target="http://www.sec.gov/Archives/edgar/data/1434647/000143774921001230/ex_222594.htm" TargetMode="External"/><Relationship Id="rId270" Type="http://schemas.openxmlformats.org/officeDocument/2006/relationships/hyperlink" Target="http://www.sec.gov/Archives/edgar/data/1434647/000119312521197280/d192970dex101.htm" TargetMode="External"/><Relationship Id="rId271" Type="http://schemas.openxmlformats.org/officeDocument/2006/relationships/hyperlink" Target="http://www.sec.gov/Archives/edgar/data/1434647/000119312521207570/d36597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2022-03-31T05:36:55Z</dcterms:created>
  <dcterms:modified xsi:type="dcterms:W3CDTF">2022-03-31T05:36:55Z</dcterms:modified>
</cp:coreProperties>
</file>