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SCHEDULE 14A INFORMATION</w:t>
      </w:r>
    </w:p>
    <w:p>
      <w:pPr>
        <w:spacing w:after="0" w:line="11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8" w:lineRule="exact"/>
        <w:rPr>
          <w:sz w:val="24"/>
          <w:szCs w:val="24"/>
          <w:color w:val="auto"/>
        </w:rPr>
      </w:pPr>
    </w:p>
    <w:p>
      <w:pPr>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560" w:hanging="556"/>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560" w:hanging="556"/>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560" w:hanging="556"/>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8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KemPharm,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6"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40" w:hanging="536"/>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40" w:hanging="536"/>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20" w:hanging="576"/>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20" w:hanging="576"/>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20" w:hanging="576"/>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1120" w:hanging="576"/>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120" w:hanging="576"/>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40" w:hanging="536"/>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40" w:right="260" w:hanging="536"/>
        <w:spacing w:after="0" w:line="308" w:lineRule="auto"/>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1120" w:hanging="576"/>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120" w:hanging="576"/>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120" w:hanging="576"/>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120" w:hanging="576"/>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-3474720</wp:posOffset>
            </wp:positionV>
            <wp:extent cx="6294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-3105785</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-2600325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-2231390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-1862455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-876300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-507365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-139065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229235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332105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409" w:right="4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00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90043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Online</w:t>
      </w:r>
    </w:p>
    <w:p>
      <w:pPr>
        <w:spacing w:after="0" w:line="9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Go to www.envisionreports.com/KMPH or</w:t>
      </w:r>
    </w:p>
    <w:p>
      <w:pPr>
        <w:ind w:left="7500"/>
        <w:spacing w:after="0" w:line="234" w:lineRule="auto"/>
        <w:rPr>
          <w:sz w:val="20"/>
          <w:szCs w:val="20"/>
          <w:color w:val="auto"/>
        </w:rPr>
      </w:pPr>
      <w:r>
        <w:rPr>
          <w:rFonts w:ascii="Arial" w:cs="Arial" w:eastAsia="Arial" w:hAnsi="Arial"/>
          <w:sz w:val="18"/>
          <w:szCs w:val="18"/>
          <w:color w:val="auto"/>
        </w:rPr>
        <w:t>scan  the  QR  code  —  login  details  are</w:t>
      </w:r>
    </w:p>
    <w:p>
      <w:pPr>
        <w:spacing w:after="0" w:line="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located in the shaded bar below.</w:t>
      </w:r>
    </w:p>
    <w:p>
      <w:pPr>
        <w:spacing w:after="0" w:line="212" w:lineRule="exact"/>
        <w:rPr>
          <w:sz w:val="20"/>
          <w:szCs w:val="20"/>
          <w:color w:val="auto"/>
        </w:rPr>
      </w:pPr>
    </w:p>
    <w:p>
      <w:pPr>
        <w:jc w:val="both"/>
        <w:ind w:left="7500"/>
        <w:spacing w:after="0"/>
        <w:rPr>
          <w:sz w:val="20"/>
          <w:szCs w:val="20"/>
          <w:color w:val="auto"/>
        </w:rPr>
      </w:pPr>
      <w:r>
        <w:rPr>
          <w:rFonts w:ascii="Arial" w:cs="Arial" w:eastAsia="Arial" w:hAnsi="Arial"/>
          <w:sz w:val="18"/>
          <w:szCs w:val="18"/>
          <w:color w:val="auto"/>
        </w:rPr>
        <w:t>Votes submitted electronically must be received by 11:59 p.m. (EST) on April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-350520</wp:posOffset>
            </wp:positionV>
            <wp:extent cx="403225"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3225" cy="3429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03199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19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60" w:right="1000"/>
        <w:spacing w:after="0" w:line="261" w:lineRule="auto"/>
        <w:rPr>
          <w:sz w:val="20"/>
          <w:szCs w:val="20"/>
          <w:color w:val="auto"/>
        </w:rPr>
      </w:pPr>
      <w:r>
        <w:rPr>
          <w:rFonts w:ascii="Arial" w:cs="Arial" w:eastAsia="Arial" w:hAnsi="Arial"/>
          <w:sz w:val="25"/>
          <w:szCs w:val="25"/>
          <w:color w:val="auto"/>
        </w:rPr>
        <w:t>Important Notice Regarding the Availability of Proxy Materials for the KemPharm, Inc. Stockholders’ Meeting to be Held on Wednesday, April 24, 2019</w:t>
      </w:r>
    </w:p>
    <w:p>
      <w:pPr>
        <w:spacing w:after="0" w:line="69"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Under Securities and Exchange Commission rules, you are receiving this notice that the proxy materials for the annual stockholders’ meeting are available on the Internet. Follow the instructions below to view the materials and vote online orrequest a copy. The items to be voted on and location of the annual meeting are on the reverse side. Your vote is important!</w:t>
      </w:r>
    </w:p>
    <w:p>
      <w:pPr>
        <w:spacing w:after="0" w:line="94" w:lineRule="exact"/>
        <w:rPr>
          <w:sz w:val="20"/>
          <w:szCs w:val="20"/>
          <w:color w:val="auto"/>
        </w:rPr>
      </w:pPr>
    </w:p>
    <w:p>
      <w:pPr>
        <w:ind w:right="260"/>
        <w:spacing w:after="0" w:line="235" w:lineRule="auto"/>
        <w:rPr>
          <w:sz w:val="20"/>
          <w:szCs w:val="20"/>
          <w:color w:val="auto"/>
        </w:rPr>
      </w:pPr>
      <w:r>
        <w:rPr>
          <w:rFonts w:ascii="Arial" w:cs="Arial" w:eastAsia="Arial" w:hAnsi="Arial"/>
          <w:sz w:val="22"/>
          <w:szCs w:val="22"/>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stockholders are available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40"/>
        <w:spacing w:after="0"/>
        <w:rPr>
          <w:sz w:val="20"/>
          <w:szCs w:val="20"/>
          <w:color w:val="auto"/>
        </w:rPr>
      </w:pPr>
      <w:r>
        <w:rPr>
          <w:rFonts w:ascii="Arial" w:cs="Arial" w:eastAsia="Arial" w:hAnsi="Arial"/>
          <w:sz w:val="32"/>
          <w:szCs w:val="32"/>
          <w:color w:val="auto"/>
        </w:rPr>
        <w:t>Easy Online Access — View your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-20955</wp:posOffset>
            </wp:positionV>
            <wp:extent cx="60007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531495"/>
                    </a:xfrm>
                    <a:prstGeom prst="rect">
                      <a:avLst/>
                    </a:prstGeom>
                    <a:noFill/>
                  </pic:spPr>
                </pic:pic>
              </a:graphicData>
            </a:graphic>
          </wp:anchor>
        </w:drawing>
      </w:r>
    </w:p>
    <w:p>
      <w:pPr>
        <w:spacing w:after="0" w:line="34" w:lineRule="exact"/>
        <w:rPr>
          <w:sz w:val="20"/>
          <w:szCs w:val="20"/>
          <w:color w:val="auto"/>
        </w:rPr>
      </w:pPr>
    </w:p>
    <w:p>
      <w:pPr>
        <w:ind w:left="1440"/>
        <w:spacing w:after="0"/>
        <w:tabs>
          <w:tab w:leader="none" w:pos="2300" w:val="left"/>
        </w:tabs>
        <w:rPr>
          <w:sz w:val="20"/>
          <w:szCs w:val="20"/>
          <w:color w:val="auto"/>
        </w:rPr>
      </w:pPr>
      <w:r>
        <w:rPr>
          <w:rFonts w:ascii="Arial" w:cs="Arial" w:eastAsia="Arial" w:hAnsi="Arial"/>
          <w:sz w:val="22"/>
          <w:szCs w:val="22"/>
          <w:color w:val="auto"/>
        </w:rPr>
        <w:t>Step 1:</w:t>
      </w:r>
      <w:r>
        <w:rPr>
          <w:sz w:val="20"/>
          <w:szCs w:val="20"/>
          <w:color w:val="auto"/>
        </w:rPr>
        <w:tab/>
      </w:r>
      <w:r>
        <w:rPr>
          <w:rFonts w:ascii="Arial" w:cs="Arial" w:eastAsia="Arial" w:hAnsi="Arial"/>
          <w:sz w:val="21"/>
          <w:szCs w:val="21"/>
          <w:color w:val="auto"/>
        </w:rPr>
        <w:t>Go to www.envisionreports.com/KMPH</w:t>
      </w:r>
    </w:p>
    <w:p>
      <w:pPr>
        <w:spacing w:after="0" w:line="44" w:lineRule="exact"/>
        <w:rPr>
          <w:sz w:val="20"/>
          <w:szCs w:val="20"/>
          <w:color w:val="auto"/>
        </w:rPr>
      </w:pPr>
    </w:p>
    <w:p>
      <w:pPr>
        <w:ind w:left="1440"/>
        <w:spacing w:after="0"/>
        <w:tabs>
          <w:tab w:leader="none" w:pos="2300" w:val="left"/>
        </w:tabs>
        <w:rPr>
          <w:sz w:val="20"/>
          <w:szCs w:val="20"/>
          <w:color w:val="auto"/>
        </w:rPr>
      </w:pPr>
      <w:r>
        <w:rPr>
          <w:rFonts w:ascii="Arial" w:cs="Arial" w:eastAsia="Arial" w:hAnsi="Arial"/>
          <w:sz w:val="22"/>
          <w:szCs w:val="22"/>
          <w:color w:val="auto"/>
        </w:rPr>
        <w:t>Step 2:</w:t>
      </w:r>
      <w:r>
        <w:rPr>
          <w:sz w:val="20"/>
          <w:szCs w:val="20"/>
          <w:color w:val="auto"/>
        </w:rPr>
        <w:tab/>
      </w:r>
      <w:r>
        <w:rPr>
          <w:rFonts w:ascii="Arial" w:cs="Arial" w:eastAsia="Arial" w:hAnsi="Arial"/>
          <w:sz w:val="21"/>
          <w:szCs w:val="21"/>
          <w:color w:val="auto"/>
        </w:rPr>
        <w:t>Click on Cast Your Vote or Request Materials.</w:t>
      </w:r>
    </w:p>
    <w:p>
      <w:pPr>
        <w:spacing w:after="0" w:line="44" w:lineRule="exact"/>
        <w:rPr>
          <w:sz w:val="20"/>
          <w:szCs w:val="20"/>
          <w:color w:val="auto"/>
        </w:rPr>
      </w:pPr>
    </w:p>
    <w:p>
      <w:pPr>
        <w:ind w:left="1440"/>
        <w:spacing w:after="0"/>
        <w:tabs>
          <w:tab w:leader="none" w:pos="2300" w:val="left"/>
        </w:tabs>
        <w:rPr>
          <w:sz w:val="20"/>
          <w:szCs w:val="20"/>
          <w:color w:val="auto"/>
        </w:rPr>
      </w:pPr>
      <w:r>
        <w:rPr>
          <w:rFonts w:ascii="Arial" w:cs="Arial" w:eastAsia="Arial" w:hAnsi="Arial"/>
          <w:sz w:val="22"/>
          <w:szCs w:val="22"/>
          <w:color w:val="auto"/>
        </w:rPr>
        <w:t>Step 3:</w:t>
      </w:r>
      <w:r>
        <w:rPr>
          <w:sz w:val="20"/>
          <w:szCs w:val="20"/>
          <w:color w:val="auto"/>
        </w:rPr>
        <w:tab/>
      </w:r>
      <w:r>
        <w:rPr>
          <w:rFonts w:ascii="Arial" w:cs="Arial" w:eastAsia="Arial" w:hAnsi="Arial"/>
          <w:sz w:val="21"/>
          <w:szCs w:val="21"/>
          <w:color w:val="auto"/>
        </w:rPr>
        <w:t>Follow the instructions on the screen to log in.</w:t>
      </w:r>
    </w:p>
    <w:p>
      <w:pPr>
        <w:spacing w:after="0" w:line="34" w:lineRule="exact"/>
        <w:rPr>
          <w:sz w:val="20"/>
          <w:szCs w:val="20"/>
          <w:color w:val="auto"/>
        </w:rPr>
      </w:pPr>
    </w:p>
    <w:p>
      <w:pPr>
        <w:ind w:left="1440"/>
        <w:spacing w:after="0"/>
        <w:tabs>
          <w:tab w:leader="none" w:pos="2300" w:val="left"/>
        </w:tabs>
        <w:rPr>
          <w:sz w:val="20"/>
          <w:szCs w:val="20"/>
          <w:color w:val="auto"/>
        </w:rPr>
      </w:pPr>
      <w:r>
        <w:rPr>
          <w:rFonts w:ascii="Arial" w:cs="Arial" w:eastAsia="Arial" w:hAnsi="Arial"/>
          <w:sz w:val="22"/>
          <w:szCs w:val="22"/>
          <w:color w:val="auto"/>
        </w:rPr>
        <w:t>Step 4:</w:t>
      </w:r>
      <w:r>
        <w:rPr>
          <w:sz w:val="20"/>
          <w:szCs w:val="20"/>
          <w:color w:val="auto"/>
        </w:rPr>
        <w:tab/>
      </w:r>
      <w:r>
        <w:rPr>
          <w:rFonts w:ascii="Arial" w:cs="Arial" w:eastAsia="Arial" w:hAnsi="Arial"/>
          <w:sz w:val="21"/>
          <w:szCs w:val="21"/>
          <w:color w:val="auto"/>
        </w:rPr>
        <w:t>Make your selections as instructed on each screen for your delivery preferences.</w:t>
      </w:r>
    </w:p>
    <w:p>
      <w:pPr>
        <w:ind w:left="1440"/>
        <w:spacing w:after="0"/>
        <w:tabs>
          <w:tab w:leader="none" w:pos="2300" w:val="left"/>
        </w:tabs>
        <w:rPr>
          <w:sz w:val="20"/>
          <w:szCs w:val="20"/>
          <w:color w:val="auto"/>
        </w:rPr>
      </w:pPr>
      <w:r>
        <w:rPr>
          <w:rFonts w:ascii="Arial" w:cs="Arial" w:eastAsia="Arial" w:hAnsi="Arial"/>
          <w:sz w:val="22"/>
          <w:szCs w:val="22"/>
          <w:color w:val="auto"/>
        </w:rPr>
        <w:t>Step 5:</w:t>
      </w:r>
      <w:r>
        <w:rPr>
          <w:sz w:val="20"/>
          <w:szCs w:val="20"/>
          <w:color w:val="auto"/>
        </w:rPr>
        <w:tab/>
      </w:r>
      <w:r>
        <w:rPr>
          <w:rFonts w:ascii="Arial" w:cs="Arial" w:eastAsia="Arial" w:hAnsi="Arial"/>
          <w:sz w:val="21"/>
          <w:szCs w:val="21"/>
          <w:color w:val="auto"/>
        </w:rPr>
        <w:t>Vote your shares.</w:t>
      </w:r>
    </w:p>
    <w:p>
      <w:pPr>
        <w:spacing w:after="0" w:line="206" w:lineRule="exact"/>
        <w:rPr>
          <w:sz w:val="20"/>
          <w:szCs w:val="20"/>
          <w:color w:val="auto"/>
        </w:rPr>
      </w:pPr>
    </w:p>
    <w:p>
      <w:pPr>
        <w:ind w:left="560" w:right="120"/>
        <w:spacing w:after="0" w:line="238" w:lineRule="auto"/>
        <w:rPr>
          <w:sz w:val="20"/>
          <w:szCs w:val="20"/>
          <w:color w:val="auto"/>
        </w:rPr>
      </w:pPr>
      <w:r>
        <w:rPr>
          <w:rFonts w:ascii="Arial" w:cs="Arial" w:eastAsia="Arial" w:hAnsi="Arial"/>
          <w:sz w:val="22"/>
          <w:szCs w:val="22"/>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6997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7" w:lineRule="exact"/>
        <w:rPr>
          <w:sz w:val="20"/>
          <w:szCs w:val="20"/>
          <w:color w:val="auto"/>
        </w:rPr>
      </w:pPr>
    </w:p>
    <w:p>
      <w:pPr>
        <w:jc w:val="both"/>
        <w:ind w:left="1440"/>
        <w:spacing w:after="0" w:line="235" w:lineRule="auto"/>
        <w:rPr>
          <w:sz w:val="20"/>
          <w:szCs w:val="20"/>
          <w:color w:val="auto"/>
        </w:rPr>
      </w:pPr>
      <w:r>
        <w:rPr>
          <w:rFonts w:ascii="Arial" w:cs="Arial" w:eastAsia="Arial" w:hAnsi="Arial"/>
          <w:sz w:val="22"/>
          <w:szCs w:val="22"/>
          <w:color w:val="auto"/>
        </w:rPr>
        <w:t>Obtaining a Copy of the Proxy Materials - If you want to receive a copy of the proxy materials, you must request one. There is no charge to you for requesting a copy. Please make your request as instructed on the reverse side on or before April 12, 2019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-467360</wp:posOffset>
            </wp:positionV>
            <wp:extent cx="386080"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6080" cy="46291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p>
      <w:pPr>
        <w:spacing w:after="0" w:line="342" w:lineRule="exact"/>
        <w:rPr>
          <w:sz w:val="20"/>
          <w:szCs w:val="20"/>
          <w:color w:val="auto"/>
        </w:rPr>
      </w:pPr>
    </w:p>
    <w:p>
      <w:pPr>
        <w:spacing w:after="0" w:line="361" w:lineRule="exact"/>
        <w:rPr>
          <w:sz w:val="20"/>
          <w:szCs w:val="20"/>
          <w:color w:val="auto"/>
        </w:rPr>
      </w:pPr>
      <w:r>
        <w:rPr>
          <w:rFonts w:ascii="MS PGothic" w:cs="MS PGothic" w:eastAsia="MS PGothic" w:hAnsi="MS PGothic"/>
          <w:sz w:val="36"/>
          <w:szCs w:val="3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1"/>
          <w:szCs w:val="21"/>
          <w:color w:val="auto"/>
        </w:rPr>
        <w:t>2NOT</w:t>
      </w:r>
    </w:p>
    <w:p>
      <w:pPr>
        <w:spacing w:after="0" w:line="8" w:lineRule="exact"/>
        <w:rPr>
          <w:sz w:val="20"/>
          <w:szCs w:val="20"/>
          <w:color w:val="auto"/>
        </w:rPr>
      </w:pPr>
    </w:p>
    <w:p>
      <w:pPr>
        <w:sectPr>
          <w:pgSz w:w="11900" w:h="16838" w:orient="portrait"/>
          <w:cols w:equalWidth="0" w:num="2">
            <w:col w:w="3320" w:space="720"/>
            <w:col w:w="6980"/>
          </w:cols>
          <w:pgMar w:left="440" w:top="1440" w:right="439" w:bottom="1440" w:gutter="0" w:footer="0" w:header="0"/>
          <w:type w:val="continuous"/>
        </w:sectPr>
      </w:pPr>
    </w:p>
    <w:p>
      <w:pPr>
        <w:ind w:left="1440"/>
        <w:spacing w:after="0"/>
        <w:rPr>
          <w:sz w:val="20"/>
          <w:szCs w:val="20"/>
          <w:color w:val="auto"/>
        </w:rPr>
      </w:pPr>
      <w:r>
        <w:rPr>
          <w:rFonts w:ascii="Arial" w:cs="Arial" w:eastAsia="Arial" w:hAnsi="Arial"/>
          <w:sz w:val="11"/>
          <w:szCs w:val="11"/>
          <w:color w:val="auto"/>
        </w:rPr>
        <w:t>030A3B</w:t>
      </w:r>
    </w:p>
    <w:p>
      <w:pPr>
        <w:sectPr>
          <w:pgSz w:w="11900" w:h="16838" w:orient="portrait"/>
          <w:cols w:equalWidth="0" w:num="1">
            <w:col w:w="11020"/>
          </w:cols>
          <w:pgMar w:left="440" w:top="1440" w:right="439" w:bottom="1440" w:gutter="0" w:footer="0" w:header="0"/>
          <w:type w:val="continuous"/>
        </w:sectPr>
      </w:pPr>
    </w:p>
    <w:bookmarkStart w:id="2" w:name="page3"/>
    <w:bookmarkEnd w:id="2"/>
    <w:p>
      <w:pPr>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7031990"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031990" cy="334645"/>
                    </a:xfrm>
                    <a:prstGeom prst="rect">
                      <a:avLst/>
                    </a:prstGeom>
                    <a:noFill/>
                  </pic:spPr>
                </pic:pic>
              </a:graphicData>
            </a:graphic>
          </wp:anchor>
        </w:drawing>
        <w:t>KemPharm Inc.’s Annual Meeting of Stockholders will be held on Wednesday, April 24, 2019 at KemPharm, Inc.’s Headquarters, 1180 Celebration Boulevard, Suite 103, Celebration, FL 34747 at 9:00 a.m. EST.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Proposals to be voted on at the meeting are listed below along with the Board of Directors’ recommendations.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Board of Directors recommend a vote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all the nominees listed and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Proposal 2:</w:t>
      </w:r>
    </w:p>
    <w:p>
      <w:pPr>
        <w:ind w:left="780" w:hanging="326"/>
        <w:spacing w:after="0" w:line="23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w:t>
      </w:r>
    </w:p>
    <w:p>
      <w:pPr>
        <w:ind w:left="780"/>
        <w:spacing w:after="0" w:line="234" w:lineRule="auto"/>
        <w:rPr>
          <w:rFonts w:ascii="Arial" w:cs="Arial" w:eastAsia="Arial" w:hAnsi="Arial"/>
          <w:sz w:val="18"/>
          <w:szCs w:val="18"/>
          <w:color w:val="auto"/>
        </w:rPr>
      </w:pPr>
      <w:r>
        <w:rPr>
          <w:rFonts w:ascii="Arial" w:cs="Arial" w:eastAsia="Arial" w:hAnsi="Arial"/>
          <w:sz w:val="18"/>
          <w:szCs w:val="18"/>
          <w:color w:val="auto"/>
        </w:rPr>
        <w:t>01 - Travis C. Mickle, Ph.D.</w:t>
      </w:r>
    </w:p>
    <w:p>
      <w:pPr>
        <w:ind w:left="780"/>
        <w:spacing w:after="0" w:line="234" w:lineRule="auto"/>
        <w:rPr>
          <w:rFonts w:ascii="Arial" w:cs="Arial" w:eastAsia="Arial" w:hAnsi="Arial"/>
          <w:sz w:val="18"/>
          <w:szCs w:val="18"/>
          <w:color w:val="auto"/>
        </w:rPr>
      </w:pPr>
      <w:r>
        <w:rPr>
          <w:rFonts w:ascii="Arial" w:cs="Arial" w:eastAsia="Arial" w:hAnsi="Arial"/>
          <w:sz w:val="18"/>
          <w:szCs w:val="18"/>
          <w:color w:val="auto"/>
        </w:rPr>
        <w:t>02 - Danny L. Thompson</w:t>
      </w:r>
    </w:p>
    <w:p>
      <w:pPr>
        <w:ind w:left="780" w:right="40" w:hanging="326"/>
        <w:spacing w:after="0" w:line="24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RSM US LLP as the independent registered public accounting firm of the Company for its fiscal year ending December 31, 2019.</w:t>
      </w:r>
    </w:p>
    <w:p>
      <w:pPr>
        <w:spacing w:after="0" w:line="33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NOTE: IN THEIR DISCRETION, THE PROXYHOLDERS ARE AUTHORIZED TO VOTE UPON SUCH OTHER BUSINESS AS MAY PROPERLY COME BEFORE THE MEETING OR ANY ADJOURNMENT THEREOF.</w:t>
      </w: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PLEASE NOTE - YOU CANNOT VOTE BY RETURNING THIS NOTICE. To vote your shares you must go online or request a paper copy of the proxy materials to receive a proxy card. If you wish to attend and vote at the meeting, please bring this notice with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Directions to the KemPharm, Inc. 2019 Annual Meeting are available</w:t>
      </w:r>
    </w:p>
    <w:p>
      <w:pPr>
        <w:jc w:val="center"/>
        <w:ind w:right="-19"/>
        <w:spacing w:after="0"/>
        <w:rPr>
          <w:sz w:val="20"/>
          <w:szCs w:val="20"/>
          <w:color w:val="auto"/>
        </w:rPr>
      </w:pPr>
      <w:r>
        <w:rPr>
          <w:rFonts w:ascii="Arial" w:cs="Arial" w:eastAsia="Arial" w:hAnsi="Arial"/>
          <w:sz w:val="22"/>
          <w:szCs w:val="22"/>
          <w:color w:val="auto"/>
        </w:rPr>
        <w:t>on the company’s website at www.kempharm.com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Here’s how to order a copy of the proxy materials and select delivery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-78740</wp:posOffset>
            </wp:positionV>
            <wp:extent cx="351790"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790" cy="428625"/>
                    </a:xfrm>
                    <a:prstGeom prst="rect">
                      <a:avLst/>
                    </a:prstGeom>
                    <a:noFill/>
                  </pic:spPr>
                </pic:pic>
              </a:graphicData>
            </a:graphic>
          </wp:anchor>
        </w:drawing>
      </w:r>
    </w:p>
    <w:p>
      <w:pPr>
        <w:spacing w:after="0" w:line="7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Current and future delivery requests can be submitted using the options below.</w:t>
      </w:r>
    </w:p>
    <w:p>
      <w:pPr>
        <w:spacing w:after="0" w:line="7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If you request an email copy, you will receive an email with a link to the current meeting materials.</w:t>
      </w:r>
    </w:p>
    <w:p>
      <w:pPr>
        <w:spacing w:after="0" w:line="90" w:lineRule="exact"/>
        <w:rPr>
          <w:sz w:val="20"/>
          <w:szCs w:val="20"/>
          <w:color w:val="auto"/>
        </w:rPr>
      </w:pPr>
    </w:p>
    <w:p>
      <w:pPr>
        <w:ind w:left="1120" w:right="540"/>
        <w:spacing w:after="0" w:line="246" w:lineRule="auto"/>
        <w:rPr>
          <w:sz w:val="20"/>
          <w:szCs w:val="20"/>
          <w:color w:val="auto"/>
        </w:rPr>
      </w:pPr>
      <w:r>
        <w:rPr>
          <w:rFonts w:ascii="Arial" w:cs="Arial" w:eastAsia="Arial" w:hAnsi="Arial"/>
          <w:sz w:val="18"/>
          <w:szCs w:val="18"/>
          <w:color w:val="auto"/>
        </w:rPr>
        <w:t>PLEASE NOTE: You must use the number in the shaded bar on the reverse side when requesting a copy of the proxy materials.</w:t>
      </w:r>
    </w:p>
    <w:p>
      <w:pPr>
        <w:spacing w:after="0" w:line="7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Internet - Go to www.envisionreports.com/KMPH. Click Cast Your Vote or Request Materials.</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Phone - Call us free of charge at 1-866-641-4276.</w:t>
      </w:r>
    </w:p>
    <w:p>
      <w:pPr>
        <w:spacing w:after="0" w:line="90" w:lineRule="exact"/>
        <w:rPr>
          <w:sz w:val="20"/>
          <w:szCs w:val="20"/>
          <w:color w:val="auto"/>
        </w:rPr>
      </w:pPr>
    </w:p>
    <w:p>
      <w:pPr>
        <w:ind w:left="1480" w:right="180" w:hanging="360"/>
        <w:spacing w:after="0"/>
        <w:rPr>
          <w:sz w:val="20"/>
          <w:szCs w:val="20"/>
          <w:color w:val="auto"/>
        </w:rPr>
      </w:pPr>
      <w:r>
        <w:rPr>
          <w:rFonts w:ascii="Arial" w:cs="Arial" w:eastAsia="Arial" w:hAnsi="Arial"/>
          <w:sz w:val="18"/>
          <w:szCs w:val="18"/>
          <w:color w:val="auto"/>
        </w:rPr>
        <w:t>— Email - Send an email to investorvote@computershare.com with “Proxy Materials KemPharm, Inc.” in the subject line. Include your full name and address, plus the number located in the shaded bar on the reverse side, and state that you want a paper copy of the meeting materials.</w:t>
      </w:r>
    </w:p>
    <w:p>
      <w:pPr>
        <w:spacing w:after="0" w:line="8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 facilitate timely delivery, all requests for a paper copy of proxy materials must be received by April 12, 2019.</w:t>
      </w:r>
    </w:p>
    <w:sectPr>
      <w:pgSz w:w="11900" w:h="16838" w:orient="portrait"/>
      <w:cols w:equalWidth="0" w:num="1">
        <w:col w:w="11020"/>
      </w:cols>
      <w:pgMar w:left="440" w:top="91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2."/>
      <w:numFmt w:val="decimal"/>
      <w:start w:val="6"/>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2019-12-21T00:39:45Z</dcterms:created>
  <dcterms:modified xsi:type="dcterms:W3CDTF">2019-12-21T00:39:45Z</dcterms:modified>
</cp:coreProperties>
</file>